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3B66DF">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val="en-US" w:eastAsia="zh-CN"/>
        </w:rPr>
        <w:t>景德镇市珠山区市场监督管理局</w:t>
      </w:r>
    </w:p>
    <w:p w14:paraId="45FC4453">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eastAsia="zh-CN"/>
        </w:rPr>
        <w:t>行政处罚决定书</w:t>
      </w:r>
    </w:p>
    <w:p w14:paraId="3D27921E">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r>
        <w:rPr>
          <w:rFonts w:hint="eastAsia" w:ascii="仿宋_GB2312" w:hAnsi="仿宋_GB2312" w:eastAsia="仿宋_GB2312" w:cs="仿宋_GB2312"/>
          <w:color w:val="auto"/>
          <w:sz w:val="32"/>
          <w:szCs w:val="32"/>
          <w:u w:val="none" w:color="auto"/>
          <w:lang w:val="en-US" w:eastAsia="zh-CN"/>
        </w:rPr>
        <w:t>珠市监（信）处罚〔2025〕</w:t>
      </w:r>
      <w:r>
        <w:rPr>
          <w:rFonts w:hint="eastAsia" w:ascii="仿宋_GB2312" w:hAnsi="仿宋_GB2312" w:eastAsia="仿宋_GB2312" w:cs="仿宋_GB2312"/>
          <w:color w:val="FF0000"/>
          <w:sz w:val="32"/>
          <w:szCs w:val="32"/>
          <w:highlight w:val="none"/>
          <w:u w:val="none" w:color="auto"/>
          <w:lang w:val="en-US" w:eastAsia="zh-CN"/>
        </w:rPr>
        <w:t>149</w:t>
      </w:r>
      <w:r>
        <w:rPr>
          <w:rFonts w:hint="eastAsia" w:ascii="仿宋_GB2312" w:hAnsi="仿宋_GB2312" w:eastAsia="仿宋_GB2312" w:cs="仿宋_GB2312"/>
          <w:color w:val="auto"/>
          <w:sz w:val="32"/>
          <w:szCs w:val="32"/>
          <w:u w:val="none" w:color="auto"/>
          <w:lang w:val="en-US" w:eastAsia="zh-CN"/>
        </w:rPr>
        <w:t>号</w:t>
      </w:r>
    </w:p>
    <w:p w14:paraId="37D4859C">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p>
    <w:p w14:paraId="30778B66">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_GB2312" w:hAnsi="仿宋_GB2312" w:eastAsia="仿宋_GB2312" w:cs="仿宋_GB2312"/>
          <w:color w:val="FF0000"/>
          <w:sz w:val="32"/>
          <w:szCs w:val="32"/>
          <w:u w:val="single" w:color="auto"/>
        </w:rPr>
        <w:t>当事人</w:t>
      </w:r>
      <w:r>
        <w:rPr>
          <w:rFonts w:hint="eastAsia" w:ascii="仿宋" w:hAnsi="仿宋" w:eastAsia="仿宋" w:cs="仿宋"/>
          <w:color w:val="FF0000"/>
          <w:sz w:val="32"/>
          <w:szCs w:val="32"/>
          <w:u w:val="single" w:color="auto"/>
          <w:lang w:val="en-US" w:eastAsia="zh-CN"/>
        </w:rPr>
        <w:t>：</w:t>
      </w:r>
      <w:bookmarkStart w:id="0" w:name="_GoBack"/>
      <w:r>
        <w:rPr>
          <w:rFonts w:hint="eastAsia" w:ascii="仿宋" w:hAnsi="仿宋" w:eastAsia="仿宋" w:cs="仿宋"/>
          <w:color w:val="FF0000"/>
          <w:sz w:val="32"/>
          <w:szCs w:val="32"/>
          <w:u w:val="single" w:color="auto"/>
          <w:lang w:val="en-US" w:eastAsia="zh-CN"/>
        </w:rPr>
        <w:t>景德镇秒达同城配送服务有限公司</w:t>
      </w:r>
      <w:bookmarkEnd w:id="0"/>
      <w:r>
        <w:rPr>
          <w:rFonts w:hint="eastAsia" w:ascii="仿宋" w:hAnsi="仿宋" w:eastAsia="仿宋" w:cs="仿宋"/>
          <w:color w:val="FF0000"/>
          <w:sz w:val="32"/>
          <w:szCs w:val="32"/>
          <w:u w:val="single" w:color="auto"/>
          <w:lang w:val="en-US" w:eastAsia="zh-CN"/>
        </w:rPr>
        <w:t>；</w:t>
      </w:r>
    </w:p>
    <w:p w14:paraId="5B4CCD27">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统一社会信用代码：91360203MA37N94E9A；</w:t>
      </w:r>
    </w:p>
    <w:p w14:paraId="14A09C3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法定代表人：孙双喜；</w:t>
      </w:r>
    </w:p>
    <w:p w14:paraId="4124C471">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类型：有限责任公司(自然人独资)；</w:t>
      </w:r>
    </w:p>
    <w:p w14:paraId="3B34D035">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注册资本：20万人民币；</w:t>
      </w:r>
    </w:p>
    <w:p w14:paraId="52D6C2C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住所：江西省景德镇市珠山区广场南路开门子购物广场一层A区190号商铺；</w:t>
      </w:r>
    </w:p>
    <w:p w14:paraId="341D5D5F">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登记机关：景德镇市珠山区市场监督管理局；</w:t>
      </w:r>
    </w:p>
    <w:p w14:paraId="025C5A49">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成立日期：2017年12月27日；</w:t>
      </w:r>
    </w:p>
    <w:p w14:paraId="0D17BA5B">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核准日期：2017年12月27日；</w:t>
      </w:r>
    </w:p>
    <w:p w14:paraId="0EC8C3D3">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both"/>
        <w:textAlignment w:val="auto"/>
        <w:outlineLvl w:val="9"/>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登记状态：存续（在营、开业、在册）。</w:t>
      </w:r>
    </w:p>
    <w:p w14:paraId="3DF5524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firstLineChars="200"/>
        <w:jc w:val="both"/>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江西省市场监督管理局电子政务云服务平台”进行检索发现当事人2022-2023年连续两年未通过国家企业信用信息公示系统公示年度报告。2024年11月26日我局向国家税务总局景德镇市珠山区税务局发出《关于协助查询企业成立之日起两年内未办理税务登记或连续两年未正常申报纳税情况的函》，同时在珠山区人民政府官网发布“</w:t>
      </w:r>
      <w:r>
        <w:rPr>
          <w:rFonts w:hint="eastAsia" w:ascii="仿宋" w:hAnsi="仿宋" w:eastAsia="仿宋" w:cs="仿宋"/>
          <w:b w:val="0"/>
          <w:bCs w:val="0"/>
          <w:color w:val="auto"/>
          <w:kern w:val="0"/>
          <w:sz w:val="32"/>
          <w:szCs w:val="32"/>
          <w:lang w:val="en-US" w:eastAsia="zh-CN" w:bidi="ar"/>
        </w:rPr>
        <w:t>景德镇市珠山区市场监管局关于拟清理吊销连续2年未按规定报送年度报告且被列入经营异常名录未改正企业的提示公告</w:t>
      </w:r>
      <w:r>
        <w:rPr>
          <w:rFonts w:hint="eastAsia" w:ascii="仿宋" w:hAnsi="仿宋" w:eastAsia="仿宋" w:cs="仿宋"/>
          <w:b w:val="0"/>
          <w:bCs w:val="0"/>
          <w:color w:val="auto"/>
          <w:sz w:val="32"/>
          <w:szCs w:val="32"/>
          <w:lang w:val="en-US" w:eastAsia="zh-CN"/>
        </w:rPr>
        <w:t>”，2024年11月30日收到国家税务总局景德镇市珠山区税务局相关复函，当事人纳税人状态为非正常、未做税务确认和注销等。复函后，我局执法人员通过该企业登记的住所或经营场所无法联系该企业，通过登记的电话号码仍无法联系，案件调查终结。</w:t>
      </w:r>
    </w:p>
    <w:p w14:paraId="6C89E7A3">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u w:val="none"/>
          <w:lang w:val="en-US" w:eastAsia="zh-CN" w:bidi="ar"/>
        </w:rPr>
      </w:pPr>
      <w:r>
        <w:rPr>
          <w:rFonts w:hint="eastAsia" w:ascii="仿宋" w:hAnsi="仿宋" w:eastAsia="仿宋" w:cs="仿宋"/>
          <w:b w:val="0"/>
          <w:bCs w:val="0"/>
          <w:color w:val="auto"/>
          <w:kern w:val="0"/>
          <w:sz w:val="32"/>
          <w:szCs w:val="32"/>
          <w:lang w:val="en-US" w:eastAsia="zh-CN" w:bidi="ar"/>
        </w:rPr>
        <w:t>经查明，当事人</w:t>
      </w:r>
      <w:r>
        <w:rPr>
          <w:rFonts w:hint="eastAsia" w:ascii="仿宋" w:hAnsi="仿宋" w:eastAsia="仿宋" w:cs="仿宋"/>
          <w:color w:val="auto"/>
          <w:sz w:val="32"/>
          <w:szCs w:val="32"/>
          <w:u w:val="none"/>
          <w:lang w:val="en-US" w:eastAsia="zh-CN"/>
        </w:rPr>
        <w:t>连续2年未按规定报送年度报告，且通过登记的住所或者经营场所无法取得联系。</w:t>
      </w:r>
    </w:p>
    <w:p w14:paraId="13B6BEB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上述事实，主要有以下证据证明：</w:t>
      </w:r>
    </w:p>
    <w:p w14:paraId="7648A656">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color w:val="auto"/>
          <w:sz w:val="32"/>
          <w:szCs w:val="32"/>
          <w:u w:val="none" w:color="auto"/>
          <w:lang w:val="en-US" w:eastAsia="zh-CN"/>
        </w:rPr>
      </w:pPr>
      <w:r>
        <w:rPr>
          <w:rFonts w:hint="eastAsia" w:ascii="仿宋" w:hAnsi="仿宋" w:eastAsia="仿宋" w:cs="仿宋"/>
          <w:b w:val="0"/>
          <w:bCs w:val="0"/>
          <w:color w:val="auto"/>
          <w:kern w:val="0"/>
          <w:sz w:val="32"/>
          <w:szCs w:val="32"/>
          <w:lang w:val="en-US" w:eastAsia="zh-CN" w:bidi="ar"/>
        </w:rPr>
        <w:t>1.</w:t>
      </w:r>
      <w:r>
        <w:rPr>
          <w:rFonts w:hint="eastAsia" w:ascii="仿宋" w:hAnsi="仿宋" w:eastAsia="仿宋" w:cs="仿宋"/>
          <w:color w:val="auto"/>
          <w:sz w:val="32"/>
          <w:szCs w:val="32"/>
          <w:u w:val="none" w:color="auto"/>
          <w:lang w:val="en-US" w:eastAsia="zh-CN"/>
        </w:rPr>
        <w:t>景德镇秒达同城配送服务有限公司</w:t>
      </w:r>
    </w:p>
    <w:p w14:paraId="695ECAB7">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在国家企业信用信息公示系统（江西））的公示信息打印件1份，证明当事人连续两年未按规定进行企业年度报告公示，被列入经营异常且未改正的事实。</w:t>
      </w:r>
    </w:p>
    <w:p w14:paraId="0763A50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2.《珠山区市场监督管理局企业公示信息实地核查记录表》1份，证明我局执法人员对</w:t>
      </w:r>
      <w:r>
        <w:rPr>
          <w:rFonts w:hint="eastAsia" w:ascii="仿宋" w:hAnsi="仿宋" w:eastAsia="仿宋" w:cs="仿宋"/>
          <w:color w:val="auto"/>
          <w:sz w:val="32"/>
          <w:szCs w:val="32"/>
          <w:u w:val="none" w:color="auto"/>
          <w:lang w:val="en-US" w:eastAsia="zh-CN"/>
        </w:rPr>
        <w:t>景德镇秒达同城配送服务有限公司</w:t>
      </w:r>
      <w:r>
        <w:rPr>
          <w:rFonts w:hint="eastAsia" w:ascii="仿宋" w:hAnsi="仿宋" w:eastAsia="仿宋" w:cs="仿宋"/>
          <w:b w:val="0"/>
          <w:bCs w:val="0"/>
          <w:color w:val="auto"/>
          <w:kern w:val="0"/>
          <w:sz w:val="32"/>
          <w:szCs w:val="32"/>
          <w:lang w:val="en-US" w:eastAsia="zh-CN" w:bidi="ar"/>
        </w:rPr>
        <w:t xml:space="preserve">进行现场检查的相关情况。                                                  </w:t>
      </w:r>
    </w:p>
    <w:p w14:paraId="1656757A">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default"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3.国家税务总局景德镇市珠山区税务局复函1份，证明当事人</w:t>
      </w:r>
      <w:r>
        <w:rPr>
          <w:rFonts w:hint="eastAsia" w:ascii="仿宋" w:hAnsi="仿宋" w:eastAsia="仿宋" w:cs="仿宋"/>
          <w:color w:val="auto"/>
          <w:sz w:val="32"/>
          <w:szCs w:val="32"/>
          <w:u w:val="none" w:color="auto"/>
          <w:lang w:val="en-US" w:eastAsia="zh-CN"/>
        </w:rPr>
        <w:t>景德镇秒达同城配送服务有限公司</w:t>
      </w:r>
      <w:r>
        <w:rPr>
          <w:rFonts w:hint="eastAsia" w:ascii="仿宋" w:hAnsi="仿宋" w:eastAsia="仿宋" w:cs="仿宋"/>
          <w:b w:val="0"/>
          <w:bCs w:val="0"/>
          <w:color w:val="auto"/>
          <w:kern w:val="0"/>
          <w:sz w:val="32"/>
          <w:szCs w:val="32"/>
          <w:lang w:val="en-US" w:eastAsia="zh-CN" w:bidi="ar"/>
        </w:rPr>
        <w:t>未正常申报纳税。</w:t>
      </w:r>
    </w:p>
    <w:p w14:paraId="5B6A038F">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jc w:val="left"/>
        <w:textAlignment w:val="auto"/>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w:t>
      </w:r>
      <w:r>
        <w:rPr>
          <w:rFonts w:hint="eastAsia" w:ascii="仿宋" w:hAnsi="仿宋" w:eastAsia="仿宋" w:cs="仿宋"/>
          <w:b w:val="0"/>
          <w:bCs w:val="0"/>
          <w:color w:val="auto"/>
          <w:kern w:val="0"/>
          <w:sz w:val="32"/>
          <w:szCs w:val="32"/>
          <w:lang w:val="en-US" w:eastAsia="zh-CN" w:bidi="ar"/>
        </w:rPr>
        <w:t>珠山区人民政府官网发布的“景德镇市珠山区市场监管局关于拟清理吊销连续2年未按规定报送年度报告且被列入经营异常名录未改正企业的提示公告”当事人未联系我局，</w:t>
      </w:r>
      <w:r>
        <w:rPr>
          <w:rFonts w:hint="eastAsia" w:ascii="仿宋" w:hAnsi="仿宋" w:eastAsia="仿宋" w:cs="仿宋"/>
          <w:b w:val="0"/>
          <w:bCs w:val="0"/>
          <w:color w:val="auto"/>
          <w:kern w:val="2"/>
          <w:sz w:val="32"/>
          <w:szCs w:val="32"/>
          <w:lang w:val="en-US" w:eastAsia="zh-CN" w:bidi="ar"/>
        </w:rPr>
        <w:t>法定期限内没有提出陈述、申辩意见和听证要求。</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 w:hAnsi="仿宋" w:eastAsia="仿宋" w:cs="仿宋"/>
          <w:b w:val="0"/>
          <w:bCs w:val="0"/>
          <w:color w:val="auto"/>
          <w:kern w:val="0"/>
          <w:sz w:val="32"/>
          <w:szCs w:val="32"/>
          <w:lang w:val="en-US" w:eastAsia="zh-CN" w:bidi="ar"/>
        </w:rPr>
        <w:t xml:space="preserve"> </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_GB2312" w:hAnsi="仿宋_GB2312" w:eastAsia="仿宋_GB2312" w:cs="仿宋_GB2312"/>
          <w:color w:val="auto"/>
          <w:kern w:val="2"/>
          <w:sz w:val="32"/>
          <w:szCs w:val="32"/>
          <w:lang w:val="en-US" w:eastAsia="zh-CN" w:bidi="ar"/>
        </w:rPr>
        <w:t xml:space="preserve">         </w:t>
      </w:r>
    </w:p>
    <w:p w14:paraId="04CE0914">
      <w:pPr>
        <w:pStyle w:val="10"/>
        <w:keepNext w:val="0"/>
        <w:keepLines w:val="0"/>
        <w:pageBreakBefore w:val="0"/>
        <w:widowControl w:val="0"/>
        <w:kinsoku/>
        <w:wordWrap/>
        <w:overflowPunct/>
        <w:topLinePunct w:val="0"/>
        <w:autoSpaceDE/>
        <w:autoSpaceDN/>
        <w:bidi w:val="0"/>
        <w:spacing w:line="288" w:lineRule="auto"/>
        <w:ind w:right="130" w:rightChars="62"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b w:val="0"/>
          <w:bCs w:val="0"/>
          <w:color w:val="auto"/>
          <w:kern w:val="0"/>
          <w:sz w:val="32"/>
          <w:szCs w:val="32"/>
          <w:lang w:val="en-US" w:eastAsia="zh-CN" w:bidi="ar"/>
        </w:rPr>
        <w:t>综上所述，</w:t>
      </w:r>
      <w:r>
        <w:rPr>
          <w:rFonts w:hint="eastAsia" w:ascii="仿宋" w:hAnsi="仿宋" w:eastAsia="仿宋" w:cs="仿宋"/>
          <w:color w:val="auto"/>
          <w:sz w:val="32"/>
          <w:szCs w:val="32"/>
          <w:u w:val="none"/>
          <w:lang w:val="en-US" w:eastAsia="zh-CN"/>
        </w:rPr>
        <w:t>当事人连续2年</w:t>
      </w:r>
      <w:r>
        <w:rPr>
          <w:rFonts w:hint="eastAsia" w:ascii="仿宋" w:hAnsi="仿宋" w:eastAsia="仿宋" w:cs="仿宋"/>
          <w:b w:val="0"/>
          <w:bCs w:val="0"/>
          <w:color w:val="auto"/>
          <w:kern w:val="0"/>
          <w:sz w:val="32"/>
          <w:szCs w:val="32"/>
          <w:lang w:val="en-US" w:eastAsia="zh-CN" w:bidi="ar"/>
        </w:rPr>
        <w:t>未按规定报送年度报告</w:t>
      </w:r>
      <w:r>
        <w:rPr>
          <w:rFonts w:hint="eastAsia" w:ascii="仿宋" w:hAnsi="仿宋" w:eastAsia="仿宋" w:cs="仿宋"/>
          <w:color w:val="auto"/>
          <w:sz w:val="32"/>
          <w:szCs w:val="32"/>
          <w:u w:val="none"/>
          <w:lang w:val="en-US" w:eastAsia="zh-CN"/>
        </w:rPr>
        <w:t>，且通过登记的住所无法联系该企业，违反了《企业信息公示暂行条例》第第十八条 第二款“企业因连续2年未按规定报送年度报告被列入经营异常名录未改正，且通过登记的住所或者经营场所无法取得联系的，由县级以上市场监督管理部门吊销营业执照”的</w:t>
      </w:r>
      <w:r>
        <w:rPr>
          <w:rFonts w:hint="eastAsia" w:ascii="仿宋" w:hAnsi="仿宋" w:eastAsia="仿宋" w:cs="仿宋"/>
          <w:color w:val="auto"/>
          <w:sz w:val="32"/>
          <w:szCs w:val="32"/>
          <w:lang w:val="en-US" w:eastAsia="zh-CN"/>
        </w:rPr>
        <w:t>规定，决定处罚如下：</w:t>
      </w:r>
    </w:p>
    <w:p w14:paraId="1A8AD798">
      <w:pPr>
        <w:keepNext w:val="0"/>
        <w:keepLines w:val="0"/>
        <w:pageBreakBefore w:val="0"/>
        <w:widowControl w:val="0"/>
        <w:kinsoku/>
        <w:wordWrap/>
        <w:overflowPunct/>
        <w:topLinePunct w:val="0"/>
        <w:autoSpaceDE/>
        <w:autoSpaceDN/>
        <w:bidi w:val="0"/>
        <w:adjustRightInd w:val="0"/>
        <w:snapToGrid w:val="0"/>
        <w:spacing w:line="600" w:lineRule="atLeast"/>
        <w:ind w:firstLine="640" w:firstLineChars="200"/>
        <w:textAlignment w:val="auto"/>
        <w:rPr>
          <w:rFonts w:hint="eastAsia" w:ascii="仿宋" w:hAnsi="仿宋" w:eastAsia="仿宋" w:cs="仿宋"/>
          <w:color w:val="auto"/>
          <w:sz w:val="32"/>
          <w:szCs w:val="32"/>
          <w:u w:val="none"/>
          <w:lang w:val="en-US" w:eastAsia="zh-CN"/>
        </w:rPr>
      </w:pPr>
      <w:r>
        <w:rPr>
          <w:rFonts w:hint="eastAsia" w:ascii="仿宋" w:hAnsi="仿宋" w:eastAsia="仿宋" w:cs="仿宋"/>
          <w:color w:val="auto"/>
          <w:sz w:val="32"/>
          <w:szCs w:val="32"/>
          <w:u w:val="none"/>
          <w:lang w:val="en-US" w:eastAsia="zh-CN"/>
        </w:rPr>
        <w:t>吊销营业执照。</w:t>
      </w:r>
    </w:p>
    <w:p w14:paraId="7507AA88">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如当事人不服本行政处罚决定，可以在收到本行政处罚决定书之日起六十日内日向珠山区人民政府申请行政复议；也可以在六个月内依法向景德镇市昌江区的人民法院提起行政诉讼。申请行政复议或者提起行政诉讼期间，行政处罚不停止执行。  </w:t>
      </w:r>
    </w:p>
    <w:p w14:paraId="05C6E447">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p>
    <w:p w14:paraId="16EB3949">
      <w:pPr>
        <w:keepNext w:val="0"/>
        <w:keepLines w:val="0"/>
        <w:widowControl w:val="0"/>
        <w:suppressLineNumbers w:val="0"/>
        <w:spacing w:before="0" w:beforeAutospacing="0" w:after="0" w:afterAutospacing="0" w:line="560" w:lineRule="exact"/>
        <w:ind w:left="0" w:right="0"/>
        <w:jc w:val="right"/>
        <w:rPr>
          <w:rFonts w:hint="eastAsia" w:ascii="仿宋_GB2312" w:hAnsi="仿宋_GB2312" w:eastAsia="仿宋_GB2312" w:cs="仿宋_GB2312"/>
          <w:color w:val="auto"/>
          <w:sz w:val="32"/>
          <w:szCs w:val="32"/>
          <w:lang w:val="en-US"/>
        </w:rPr>
      </w:pPr>
      <w:r>
        <w:rPr>
          <w:rFonts w:hint="eastAsia" w:ascii="仿宋_GB2312" w:hAnsi="仿宋_GB2312" w:eastAsia="仿宋_GB2312" w:cs="仿宋_GB2312"/>
          <w:color w:val="auto"/>
          <w:kern w:val="2"/>
          <w:sz w:val="32"/>
          <w:szCs w:val="32"/>
          <w:lang w:val="en-US" w:eastAsia="zh-CN" w:bidi="ar"/>
        </w:rPr>
        <w:t>景德镇市珠山区市场监督管理局</w:t>
      </w:r>
    </w:p>
    <w:p w14:paraId="77F0D1C8">
      <w:pPr>
        <w:keepNext w:val="0"/>
        <w:keepLines w:val="0"/>
        <w:widowControl w:val="0"/>
        <w:suppressLineNumbers w:val="0"/>
        <w:wordWrap w:val="0"/>
        <w:spacing w:before="0" w:beforeAutospacing="0" w:after="0" w:afterAutospacing="0" w:line="480" w:lineRule="auto"/>
        <w:ind w:left="0" w:right="0"/>
        <w:jc w:val="righ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                                    2025年2月5日  </w:t>
      </w:r>
    </w:p>
    <w:p w14:paraId="0BB6FFD3">
      <w:pPr>
        <w:pStyle w:val="4"/>
        <w:wordWrap/>
        <w:rPr>
          <w:rFonts w:hint="eastAsia" w:ascii="仿宋_GB2312" w:hAnsi="仿宋_GB2312" w:eastAsia="仿宋_GB2312" w:cs="仿宋_GB2312"/>
          <w:color w:val="auto"/>
          <w:kern w:val="2"/>
          <w:sz w:val="32"/>
          <w:szCs w:val="32"/>
          <w:lang w:val="en-US" w:eastAsia="zh-CN" w:bidi="ar"/>
        </w:rPr>
      </w:pPr>
    </w:p>
    <w:p w14:paraId="574B2AB4">
      <w:pPr>
        <w:pStyle w:val="4"/>
        <w:wordWrap/>
        <w:rPr>
          <w:rFonts w:hint="eastAsia" w:ascii="仿宋_GB2312" w:hAnsi="仿宋_GB2312" w:eastAsia="仿宋_GB2312" w:cs="仿宋_GB2312"/>
          <w:color w:val="auto"/>
          <w:kern w:val="2"/>
          <w:sz w:val="32"/>
          <w:szCs w:val="32"/>
          <w:lang w:val="en-US" w:eastAsia="zh-CN" w:bidi="ar"/>
        </w:rPr>
      </w:pPr>
    </w:p>
    <w:p w14:paraId="4C449D55">
      <w:pPr>
        <w:pStyle w:val="4"/>
        <w:wordWrap/>
        <w:rPr>
          <w:rFonts w:hint="default" w:ascii="仿宋_GB2312" w:hAnsi="仿宋_GB2312" w:eastAsia="仿宋_GB2312" w:cs="仿宋_GB2312"/>
          <w:color w:val="auto"/>
          <w:kern w:val="2"/>
          <w:sz w:val="32"/>
          <w:szCs w:val="32"/>
          <w:lang w:val="en-US" w:eastAsia="zh-CN" w:bidi="ar"/>
        </w:rPr>
      </w:pPr>
    </w:p>
    <w:p w14:paraId="604F6FE3">
      <w:pPr>
        <w:pStyle w:val="3"/>
        <w:spacing w:before="1"/>
        <w:ind w:left="163"/>
        <w:jc w:val="center"/>
        <w:rPr>
          <w:rFonts w:hint="eastAsia" w:ascii="Times New Roman" w:hAnsi="Times New Roman" w:eastAsia="仿宋_GB2312" w:cs="Mongolian Baiti"/>
          <w:color w:val="auto"/>
          <w:sz w:val="32"/>
          <w:szCs w:val="32"/>
          <w:u w:val="single"/>
        </w:rPr>
      </w:pPr>
      <w:r>
        <w:rPr>
          <w:rFonts w:hint="eastAsia" w:ascii="黑体" w:hAnsi="黑体" w:eastAsia="黑体"/>
          <w:color w:val="auto"/>
          <w:spacing w:val="-16"/>
        </w:rPr>
        <w:t>（市场监督管理部门将依法向社会公开行政处罚决定信息）</w:t>
      </w:r>
    </w:p>
    <w:p w14:paraId="4C04AFB1">
      <w:pPr>
        <w:widowControl/>
        <w:snapToGrid w:val="0"/>
        <w:spacing w:line="500" w:lineRule="exact"/>
        <w:jc w:val="right"/>
        <w:rPr>
          <w:rFonts w:hint="eastAsia" w:ascii="Times New Roman" w:hAnsi="Times New Roman" w:eastAsia="仿宋_GB2312" w:cs="Mongolian Baiti"/>
          <w:color w:val="auto"/>
          <w:sz w:val="32"/>
          <w:szCs w:val="32"/>
          <w:u w:val="single"/>
        </w:rPr>
      </w:pPr>
    </w:p>
    <w:p w14:paraId="1A93F637">
      <w:pPr>
        <w:spacing w:line="500" w:lineRule="exact"/>
        <w:rPr>
          <w:rFonts w:hint="eastAsia" w:ascii="Times New Roman" w:hAnsi="Times New Roman" w:eastAsia="仿宋_GB2312" w:cs="仿宋"/>
          <w:bCs/>
          <w:color w:val="auto"/>
          <w:sz w:val="44"/>
          <w:szCs w:val="44"/>
        </w:rPr>
      </w:pPr>
    </w:p>
    <w:p w14:paraId="21BD00C7">
      <w:pPr>
        <w:spacing w:line="500" w:lineRule="exact"/>
        <w:ind w:firstLine="320" w:firstLineChars="100"/>
        <w:rPr>
          <w:rFonts w:hint="eastAsia" w:ascii="Times New Roman" w:hAnsi="Times New Roman" w:eastAsia="仿宋_GB2312" w:cs="Mongolian Baiti"/>
          <w:bCs/>
          <w:color w:val="auto"/>
          <w:sz w:val="32"/>
          <w:szCs w:val="32"/>
        </w:rPr>
      </w:pPr>
      <w:r>
        <w:rPr>
          <w:rFonts w:ascii="Times New Roman" w:hAnsi="Times New Roman" w:eastAsia="仿宋_GB2312"/>
          <w:color w:val="auto"/>
          <w:sz w:val="32"/>
        </w:rPr>
        <mc:AlternateContent>
          <mc:Choice Requires="wps">
            <w:drawing>
              <wp:anchor distT="0" distB="0" distL="114300" distR="114300" simplePos="0" relativeHeight="251660288" behindDoc="0" locked="0" layoutInCell="1" allowOverlap="1">
                <wp:simplePos x="0" y="0"/>
                <wp:positionH relativeFrom="column">
                  <wp:posOffset>173990</wp:posOffset>
                </wp:positionH>
                <wp:positionV relativeFrom="paragraph">
                  <wp:posOffset>5715</wp:posOffset>
                </wp:positionV>
                <wp:extent cx="6002020"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6002020"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3.7pt;margin-top:0.45pt;height:0.05pt;width:472.6pt;z-index:251660288;mso-width-relative:page;mso-height-relative:page;" filled="f" stroked="t" coordsize="21600,21600" o:gfxdata="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6tyMy1AAAAAUBAAAPAAAAAAAAAAEAIAAAACIAAABkcnMvZG93bnJldi54bWxQSwECFAAU&#10;AAAACACHTuJApNSTVfUBAADnAwAADgAAAAAAAAABACAAAAAjAQAAZHJzL2Uyb0RvYy54bWxQSwUG&#10;AAAAAAYABgBZAQAAigUAAAAA&#10;">
                <v:fill on="f" focussize="0,0"/>
                <v:stroke weight="1.25pt" color="#000000" joinstyle="round"/>
                <v:imagedata o:title=""/>
                <o:lock v:ext="edit" aspectratio="f"/>
              </v:line>
            </w:pict>
          </mc:Fallback>
        </mc:AlternateContent>
      </w:r>
      <w:r>
        <w:rPr>
          <w:rFonts w:ascii="Times New Roman" w:hAnsi="Times New Roman" w:eastAsia="仿宋_GB2312" w:cs="仿宋"/>
          <w:bCs/>
          <w:color w:val="auto"/>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auto"/>
          <w:sz w:val="32"/>
          <w:szCs w:val="32"/>
        </w:rPr>
        <w:t>本文书一式</w:t>
      </w:r>
      <w:r>
        <w:rPr>
          <w:rFonts w:hint="eastAsia" w:ascii="Times New Roman" w:hAnsi="Times New Roman" w:eastAsia="仿宋_GB2312" w:cs="仿宋"/>
          <w:color w:val="auto"/>
          <w:sz w:val="32"/>
          <w:szCs w:val="32"/>
          <w:u w:val="single"/>
          <w:lang w:eastAsia="zh-CN"/>
        </w:rPr>
        <w:t>二</w:t>
      </w:r>
      <w:r>
        <w:rPr>
          <w:rFonts w:hint="eastAsia" w:ascii="Times New Roman" w:hAnsi="Times New Roman" w:eastAsia="仿宋_GB2312" w:cs="仿宋"/>
          <w:color w:val="auto"/>
          <w:sz w:val="32"/>
          <w:szCs w:val="32"/>
        </w:rPr>
        <w:t>份，</w:t>
      </w:r>
      <w:r>
        <w:rPr>
          <w:rFonts w:hint="eastAsia" w:ascii="Times New Roman" w:hAnsi="Times New Roman" w:eastAsia="仿宋_GB2312" w:cs="仿宋"/>
          <w:color w:val="auto"/>
          <w:sz w:val="32"/>
          <w:szCs w:val="32"/>
          <w:u w:val="single"/>
          <w:lang w:eastAsia="zh-CN"/>
        </w:rPr>
        <w:t>一</w:t>
      </w:r>
      <w:r>
        <w:rPr>
          <w:rFonts w:hint="eastAsia" w:ascii="Times New Roman" w:hAnsi="Times New Roman" w:eastAsia="仿宋_GB2312" w:cs="仿宋"/>
          <w:color w:val="auto"/>
          <w:sz w:val="32"/>
          <w:szCs w:val="32"/>
        </w:rPr>
        <w:t>份送达，一份归档，</w:t>
      </w:r>
      <w:r>
        <w:rPr>
          <w:rFonts w:hint="eastAsia" w:ascii="Times New Roman" w:hAnsi="Times New Roman" w:eastAsia="仿宋_GB2312" w:cs="仿宋"/>
          <w:color w:val="auto"/>
          <w:sz w:val="32"/>
          <w:szCs w:val="32"/>
          <w:u w:val="single"/>
        </w:rPr>
        <w:t xml:space="preserve">             </w:t>
      </w:r>
      <w:r>
        <w:rPr>
          <w:rFonts w:hint="eastAsia" w:ascii="Times New Roman" w:hAnsi="Times New Roman" w:eastAsia="仿宋_GB2312" w:cs="仿宋"/>
          <w:color w:val="auto"/>
          <w:sz w:val="32"/>
          <w:szCs w:val="32"/>
        </w:rPr>
        <w:t>。</w:t>
      </w:r>
    </w:p>
    <w:p w14:paraId="00047C1A">
      <w:pPr>
        <w:rPr>
          <w:color w:val="auto"/>
        </w:rPr>
      </w:pPr>
    </w:p>
    <w:p w14:paraId="186B2DA8"/>
    <w:sectPr>
      <w:pgSz w:w="11906" w:h="16838"/>
      <w:pgMar w:top="2098" w:right="1531" w:bottom="2098" w:left="153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altName w:val="方正舒体"/>
    <w:panose1 w:val="02000000000000000000"/>
    <w:charset w:val="86"/>
    <w:family w:val="script"/>
    <w:pitch w:val="default"/>
    <w:sig w:usb0="00000000" w:usb1="00000000" w:usb2="00000012" w:usb3="00000000" w:csb0="00040001" w:csb1="00000000"/>
  </w:font>
  <w:font w:name="方正舒体">
    <w:panose1 w:val="02010601030101010101"/>
    <w:charset w:val="86"/>
    <w:family w:val="auto"/>
    <w:pitch w:val="default"/>
    <w:sig w:usb0="00000003"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CB682A"/>
    <w:rsid w:val="01CC50FF"/>
    <w:rsid w:val="0395216D"/>
    <w:rsid w:val="03E33071"/>
    <w:rsid w:val="06D303C0"/>
    <w:rsid w:val="0D2C77AB"/>
    <w:rsid w:val="0EE5457E"/>
    <w:rsid w:val="15863D5C"/>
    <w:rsid w:val="161C3356"/>
    <w:rsid w:val="185773FE"/>
    <w:rsid w:val="198B64F6"/>
    <w:rsid w:val="1A8F0322"/>
    <w:rsid w:val="1B184A03"/>
    <w:rsid w:val="1D1F18D5"/>
    <w:rsid w:val="200C2EDE"/>
    <w:rsid w:val="214B612C"/>
    <w:rsid w:val="21A91D49"/>
    <w:rsid w:val="22CA0C9C"/>
    <w:rsid w:val="23073E84"/>
    <w:rsid w:val="267970AE"/>
    <w:rsid w:val="270F1AC1"/>
    <w:rsid w:val="27C869D0"/>
    <w:rsid w:val="304F63CF"/>
    <w:rsid w:val="320177D9"/>
    <w:rsid w:val="33540C46"/>
    <w:rsid w:val="340A07BA"/>
    <w:rsid w:val="34607C42"/>
    <w:rsid w:val="34681A08"/>
    <w:rsid w:val="35AA7038"/>
    <w:rsid w:val="39371120"/>
    <w:rsid w:val="3A160959"/>
    <w:rsid w:val="3A2C08FF"/>
    <w:rsid w:val="3F43263A"/>
    <w:rsid w:val="411F7C2E"/>
    <w:rsid w:val="43F43C90"/>
    <w:rsid w:val="44A21D28"/>
    <w:rsid w:val="45826E17"/>
    <w:rsid w:val="477914D1"/>
    <w:rsid w:val="48816480"/>
    <w:rsid w:val="4DBD0916"/>
    <w:rsid w:val="50036E81"/>
    <w:rsid w:val="512E04C8"/>
    <w:rsid w:val="52EC7319"/>
    <w:rsid w:val="566F245E"/>
    <w:rsid w:val="56BC4ADC"/>
    <w:rsid w:val="58113D88"/>
    <w:rsid w:val="5AA340C2"/>
    <w:rsid w:val="5CF71093"/>
    <w:rsid w:val="5F0F1702"/>
    <w:rsid w:val="640D429F"/>
    <w:rsid w:val="65110961"/>
    <w:rsid w:val="65221BE3"/>
    <w:rsid w:val="69CD458C"/>
    <w:rsid w:val="6B7F6169"/>
    <w:rsid w:val="6C737CFB"/>
    <w:rsid w:val="6D0B49F7"/>
    <w:rsid w:val="6FC87D72"/>
    <w:rsid w:val="72E75711"/>
    <w:rsid w:val="73632ADC"/>
    <w:rsid w:val="73846894"/>
    <w:rsid w:val="7678419C"/>
    <w:rsid w:val="773C7E2A"/>
    <w:rsid w:val="78232A2D"/>
    <w:rsid w:val="797A0159"/>
    <w:rsid w:val="7AD13CA9"/>
    <w:rsid w:val="7D9426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4"/>
    <w:basedOn w:val="1"/>
    <w:next w:val="1"/>
    <w:unhideWhenUsed/>
    <w:qFormat/>
    <w:uiPriority w:val="0"/>
    <w:pPr>
      <w:spacing w:before="100" w:beforeAutospacing="1" w:after="100" w:afterAutospacing="1"/>
      <w:jc w:val="left"/>
      <w:outlineLvl w:val="3"/>
    </w:pPr>
    <w:rPr>
      <w:rFonts w:hint="eastAsia" w:ascii="宋体" w:hAnsi="宋体" w:eastAsia="宋体" w:cs="宋体"/>
      <w:b/>
      <w:bCs/>
      <w:kern w:val="0"/>
      <w:sz w:val="24"/>
      <w:szCs w:val="24"/>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unhideWhenUsed/>
    <w:qFormat/>
    <w:uiPriority w:val="99"/>
    <w:pPr>
      <w:ind w:left="220"/>
    </w:pPr>
    <w:rPr>
      <w:rFonts w:ascii="Arial Unicode MS" w:hAnsi="Arial Unicode MS" w:eastAsia="Arial Unicode MS"/>
      <w:sz w:val="32"/>
      <w:szCs w:val="32"/>
    </w:rPr>
  </w:style>
  <w:style w:type="paragraph" w:styleId="4">
    <w:name w:val="Plain Text"/>
    <w:basedOn w:val="1"/>
    <w:unhideWhenUsed/>
    <w:qFormat/>
    <w:uiPriority w:val="99"/>
    <w:rPr>
      <w:rFonts w:ascii="宋体" w:hAnsi="Courier New" w:eastAsia="宋体" w:cs="Courier New"/>
    </w:rPr>
  </w:style>
  <w:style w:type="paragraph" w:styleId="5">
    <w:name w:val="Normal (Web)"/>
    <w:basedOn w:val="1"/>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paragraph" w:customStyle="1" w:styleId="9">
    <w:name w:val="Heading 1"/>
    <w:basedOn w:val="1"/>
    <w:qFormat/>
    <w:uiPriority w:val="1"/>
    <w:pPr>
      <w:outlineLvl w:val="1"/>
    </w:pPr>
    <w:rPr>
      <w:rFonts w:ascii="Arial Unicode MS" w:hAnsi="Arial Unicode MS" w:eastAsia="Arial Unicode MS"/>
      <w:sz w:val="42"/>
      <w:szCs w:val="42"/>
    </w:rPr>
  </w:style>
  <w:style w:type="paragraph" w:customStyle="1" w:styleId="10">
    <w:name w:val="Table Paragraph"/>
    <w:basedOn w:val="1"/>
    <w:qFormat/>
    <w:uiPriority w:val="1"/>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1182</Words>
  <Characters>1253</Characters>
  <Lines>0</Lines>
  <Paragraphs>0</Paragraphs>
  <TotalTime>4</TotalTime>
  <ScaleCrop>false</ScaleCrop>
  <LinksUpToDate>false</LinksUpToDate>
  <CharactersWithSpaces>1371</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2022-10-08T01:07:00Z</dcterms:created>
  <dc:creator>lenovo</dc:creator>
  <cp:lastModifiedBy>PinK茜</cp:lastModifiedBy>
  <cp:lastPrinted>2025-03-06T04:49:05Z</cp:lastPrinted>
  <dcterms:modified xsi:type="dcterms:W3CDTF">2025-03-06T08:12:38Z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A1C810DBFC4A497B9C502BFB91311FD4_13</vt:lpwstr>
  </property>
  <property fmtid="{D5CDD505-2E9C-101B-9397-08002B2CF9AE}" pid="4" name="KSOTemplateDocerSaveRecord">
    <vt:lpwstr>eyJoZGlkIjoiMDQwNmY4MmM5Zjk2NDYyNmVkMTNlY2RlYmU0NDFlMjYiLCJ1c2VySWQiOiIzNjExMDg2MzgifQ==</vt:lpwstr>
  </property>
</Properties>
</file>