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695FF9">
      <w:pPr>
        <w:keepNext w:val="0"/>
        <w:keepLines w:val="0"/>
        <w:pageBreakBefore w:val="0"/>
        <w:widowControl w:val="0"/>
        <w:kinsoku/>
        <w:wordWrap/>
        <w:overflowPunct/>
        <w:topLinePunct w:val="0"/>
        <w:autoSpaceDE/>
        <w:autoSpaceDN/>
        <w:bidi w:val="0"/>
        <w:adjustRightInd/>
        <w:snapToGrid/>
        <w:spacing w:line="579" w:lineRule="exact"/>
        <w:jc w:val="center"/>
        <w:textAlignment w:val="auto"/>
        <w:rPr>
          <w:rFonts w:hint="eastAsia" w:ascii="方正小标宋简体" w:hAnsi="方正小标宋简体" w:eastAsia="方正小标宋简体" w:cs="方正小标宋简体"/>
          <w:sz w:val="44"/>
          <w:szCs w:val="44"/>
          <w:u w:val="none"/>
        </w:rPr>
      </w:pPr>
      <w:bookmarkStart w:id="0" w:name="heading_15"/>
      <w:r>
        <w:rPr>
          <w:rFonts w:hint="eastAsia" w:ascii="方正小标宋简体" w:hAnsi="方正小标宋简体" w:eastAsia="方正小标宋简体" w:cs="方正小标宋简体"/>
          <w:sz w:val="44"/>
          <w:szCs w:val="44"/>
          <w:u w:val="none"/>
        </w:rPr>
        <w:t>珠山区电动车全链条规范管理</w:t>
      </w:r>
    </w:p>
    <w:p w14:paraId="2B31D08F">
      <w:pPr>
        <w:keepNext w:val="0"/>
        <w:keepLines w:val="0"/>
        <w:pageBreakBefore w:val="0"/>
        <w:widowControl w:val="0"/>
        <w:kinsoku/>
        <w:wordWrap/>
        <w:overflowPunct/>
        <w:topLinePunct w:val="0"/>
        <w:autoSpaceDE/>
        <w:autoSpaceDN/>
        <w:bidi w:val="0"/>
        <w:adjustRightInd/>
        <w:snapToGrid/>
        <w:spacing w:line="579" w:lineRule="exact"/>
        <w:jc w:val="center"/>
        <w:textAlignment w:val="auto"/>
        <w:rPr>
          <w:rFonts w:hint="eastAsia" w:ascii="方正小标宋简体" w:hAnsi="方正小标宋简体" w:eastAsia="方正小标宋简体" w:cs="方正小标宋简体"/>
          <w:sz w:val="44"/>
          <w:szCs w:val="44"/>
          <w:u w:val="none"/>
        </w:rPr>
      </w:pPr>
      <w:r>
        <w:rPr>
          <w:rFonts w:hint="eastAsia" w:ascii="方正小标宋简体" w:hAnsi="方正小标宋简体" w:eastAsia="方正小标宋简体" w:cs="方正小标宋简体"/>
          <w:sz w:val="44"/>
          <w:szCs w:val="44"/>
          <w:u w:val="none"/>
        </w:rPr>
        <w:t>专项整治工作方案</w:t>
      </w:r>
    </w:p>
    <w:p w14:paraId="211E7320">
      <w:pPr>
        <w:keepNext w:val="0"/>
        <w:keepLines w:val="0"/>
        <w:pageBreakBefore w:val="0"/>
        <w:widowControl w:val="0"/>
        <w:kinsoku/>
        <w:wordWrap/>
        <w:overflowPunct/>
        <w:topLinePunct w:val="0"/>
        <w:autoSpaceDE/>
        <w:autoSpaceDN/>
        <w:bidi w:val="0"/>
        <w:adjustRightInd/>
        <w:snapToGrid/>
        <w:spacing w:line="579" w:lineRule="exact"/>
        <w:jc w:val="center"/>
        <w:textAlignment w:val="auto"/>
        <w:rPr>
          <w:rFonts w:hint="eastAsia" w:ascii="楷体_GB2312" w:hAnsi="楷体_GB2312" w:eastAsia="楷体_GB2312" w:cs="楷体_GB2312"/>
          <w:b w:val="0"/>
          <w:bCs w:val="0"/>
          <w:sz w:val="32"/>
          <w:szCs w:val="32"/>
          <w:u w:val="none"/>
          <w:lang w:eastAsia="zh-CN"/>
        </w:rPr>
      </w:pPr>
      <w:r>
        <w:rPr>
          <w:rFonts w:hint="eastAsia" w:ascii="楷体_GB2312" w:hAnsi="楷体_GB2312" w:eastAsia="楷体_GB2312" w:cs="楷体_GB2312"/>
          <w:b/>
          <w:bCs/>
          <w:sz w:val="32"/>
          <w:szCs w:val="32"/>
          <w:u w:val="none"/>
          <w:lang w:eastAsia="zh-CN"/>
        </w:rPr>
        <w:t>（</w:t>
      </w:r>
      <w:r>
        <w:rPr>
          <w:rFonts w:hint="eastAsia" w:ascii="楷体_GB2312" w:hAnsi="楷体_GB2312" w:eastAsia="楷体_GB2312" w:cs="楷体_GB2312"/>
          <w:b/>
          <w:bCs/>
          <w:sz w:val="32"/>
          <w:szCs w:val="32"/>
          <w:u w:val="none"/>
          <w:lang w:val="en-US" w:eastAsia="zh-CN"/>
        </w:rPr>
        <w:t>征求意见稿</w:t>
      </w:r>
      <w:r>
        <w:rPr>
          <w:rFonts w:hint="eastAsia" w:ascii="楷体_GB2312" w:hAnsi="楷体_GB2312" w:eastAsia="楷体_GB2312" w:cs="楷体_GB2312"/>
          <w:b/>
          <w:bCs/>
          <w:sz w:val="32"/>
          <w:szCs w:val="32"/>
          <w:u w:val="none"/>
          <w:lang w:eastAsia="zh-CN"/>
        </w:rPr>
        <w:t>）</w:t>
      </w:r>
    </w:p>
    <w:p w14:paraId="3529240C">
      <w:pPr>
        <w:keepNext w:val="0"/>
        <w:keepLines w:val="0"/>
        <w:pageBreakBefore w:val="0"/>
        <w:widowControl w:val="0"/>
        <w:kinsoku/>
        <w:wordWrap/>
        <w:overflowPunct/>
        <w:topLinePunct w:val="0"/>
        <w:autoSpaceDE/>
        <w:autoSpaceDN/>
        <w:bidi w:val="0"/>
        <w:adjustRightInd/>
        <w:snapToGrid/>
        <w:spacing w:line="579" w:lineRule="exact"/>
        <w:ind w:firstLine="600" w:firstLineChars="200"/>
        <w:textAlignment w:val="auto"/>
        <w:rPr>
          <w:rFonts w:hint="eastAsia" w:ascii="仿宋" w:hAnsi="仿宋" w:eastAsia="仿宋" w:cs="仿宋"/>
          <w:sz w:val="30"/>
          <w:szCs w:val="30"/>
          <w:u w:val="none"/>
        </w:rPr>
      </w:pPr>
    </w:p>
    <w:p w14:paraId="5A20DB3F">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eastAsia="zh-CN"/>
        </w:rPr>
        <w:t>为全面加强珠山区</w:t>
      </w:r>
      <w:r>
        <w:rPr>
          <w:rFonts w:hint="eastAsia" w:ascii="仿宋_GB2312" w:hAnsi="仿宋_GB2312" w:eastAsia="仿宋_GB2312" w:cs="仿宋_GB2312"/>
          <w:sz w:val="32"/>
          <w:szCs w:val="32"/>
          <w:u w:val="none"/>
          <w:lang w:val="en-US" w:eastAsia="zh-CN"/>
        </w:rPr>
        <w:t>电动车全链条规范管理，切实防范化解安全风险隐患，提升城市精细化治理水平，</w:t>
      </w:r>
      <w:r>
        <w:rPr>
          <w:rFonts w:hint="eastAsia" w:ascii="仿宋_GB2312" w:hAnsi="仿宋_GB2312" w:eastAsia="仿宋_GB2312" w:cs="仿宋_GB2312"/>
          <w:color w:val="000000"/>
          <w:sz w:val="32"/>
          <w:szCs w:val="32"/>
          <w:u w:val="none"/>
          <w:lang w:val="en-US" w:eastAsia="zh-CN"/>
        </w:rPr>
        <w:t>根据《中华人民共和国道路交通安全法》《景德镇市中心城区租赁电动车安全监管规范整治工作方案》《珠山区城市精细化治理（2026-2028年）三年行动方案》等法律法规和文件</w:t>
      </w:r>
      <w:r>
        <w:rPr>
          <w:rFonts w:hint="eastAsia" w:ascii="仿宋_GB2312" w:hAnsi="仿宋_GB2312" w:eastAsia="仿宋_GB2312" w:cs="仿宋_GB2312"/>
          <w:sz w:val="32"/>
          <w:szCs w:val="32"/>
          <w:u w:val="none"/>
          <w:lang w:val="en-US" w:eastAsia="zh-CN"/>
        </w:rPr>
        <w:t>要求，制定本方案。</w:t>
      </w:r>
    </w:p>
    <w:p w14:paraId="007F87C2">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黑体" w:hAnsi="黑体" w:eastAsia="黑体" w:cs="黑体"/>
          <w:b w:val="0"/>
          <w:bCs w:val="0"/>
          <w:sz w:val="32"/>
          <w:szCs w:val="32"/>
          <w:highlight w:val="none"/>
          <w:u w:val="none"/>
        </w:rPr>
      </w:pPr>
      <w:r>
        <w:rPr>
          <w:rFonts w:hint="eastAsia" w:ascii="黑体" w:hAnsi="黑体" w:eastAsia="黑体" w:cs="黑体"/>
          <w:b w:val="0"/>
          <w:bCs w:val="0"/>
          <w:sz w:val="32"/>
          <w:szCs w:val="32"/>
          <w:highlight w:val="none"/>
          <w:u w:val="none"/>
        </w:rPr>
        <w:t>一、工作目标</w:t>
      </w:r>
    </w:p>
    <w:p w14:paraId="482CE240">
      <w:pPr>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640" w:firstLineChars="200"/>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本次整治以电动自行车、电动轻便摩托车、电动摩托车及电动三轮车（以下统称“电动车”）为重点对象，覆盖珠山区全域范围内生产、销售、租赁、维修、改装、登记、通行、停放、充电、动火作业、回收等全流程环节，涵盖生产企业、销售门店、维修网点、改装窝点、租赁经营点、仓库、集中充电停放场所、动火作业点位、回收企业等各类主体。重点治理租赁电动车非法营运、非法改装、无牌无证、乱停乱放等突出安全隐患和违规乱象，全面推行“责任链链主制”管理模式，实现车辆合规上路、经营规范守法、道路市容有序、安全隐患动态清零的工作目标。</w:t>
      </w:r>
    </w:p>
    <w:p w14:paraId="6B24C80B">
      <w:pPr>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640" w:firstLineChars="200"/>
        <w:textAlignment w:val="auto"/>
        <w:rPr>
          <w:rFonts w:hint="default" w:ascii="黑体" w:hAnsi="黑体" w:eastAsia="黑体" w:cs="黑体"/>
          <w:b w:val="0"/>
          <w:bCs w:val="0"/>
          <w:sz w:val="32"/>
          <w:szCs w:val="32"/>
          <w:highlight w:val="none"/>
          <w:u w:val="none"/>
          <w:lang w:val="en-US" w:eastAsia="zh-CN"/>
        </w:rPr>
      </w:pPr>
      <w:r>
        <w:rPr>
          <w:rFonts w:hint="eastAsia" w:ascii="黑体" w:hAnsi="黑体" w:eastAsia="黑体" w:cs="黑体"/>
          <w:b w:val="0"/>
          <w:bCs w:val="0"/>
          <w:kern w:val="2"/>
          <w:sz w:val="32"/>
          <w:szCs w:val="32"/>
          <w:lang w:val="en-US" w:eastAsia="zh-CN" w:bidi="ar-SA"/>
        </w:rPr>
        <w:t>二、</w:t>
      </w:r>
      <w:r>
        <w:rPr>
          <w:rFonts w:hint="eastAsia" w:ascii="黑体" w:hAnsi="黑体" w:eastAsia="黑体" w:cs="黑体"/>
          <w:b w:val="0"/>
          <w:bCs w:val="0"/>
          <w:sz w:val="32"/>
          <w:szCs w:val="32"/>
          <w:highlight w:val="none"/>
          <w:u w:val="none"/>
          <w:lang w:val="en-US" w:eastAsia="zh-CN"/>
        </w:rPr>
        <w:t>工作措施</w:t>
      </w:r>
    </w:p>
    <w:p w14:paraId="72142F9E">
      <w:pPr>
        <w:keepNext w:val="0"/>
        <w:keepLines w:val="0"/>
        <w:pageBreakBefore w:val="0"/>
        <w:widowControl w:val="0"/>
        <w:kinsoku/>
        <w:wordWrap/>
        <w:overflowPunct/>
        <w:topLinePunct w:val="0"/>
        <w:autoSpaceDE/>
        <w:autoSpaceDN/>
        <w:bidi w:val="0"/>
        <w:adjustRightInd/>
        <w:snapToGrid/>
        <w:spacing w:line="579" w:lineRule="exact"/>
        <w:ind w:firstLine="643" w:firstLineChars="200"/>
        <w:textAlignment w:val="auto"/>
        <w:rPr>
          <w:rFonts w:hint="eastAsia" w:eastAsiaTheme="minorEastAsia"/>
          <w:lang w:eastAsia="zh-CN"/>
        </w:rPr>
      </w:pPr>
      <w:r>
        <w:rPr>
          <w:rFonts w:hint="eastAsia" w:ascii="楷体_GB2312" w:hAnsi="楷体_GB2312" w:eastAsia="楷体_GB2312" w:cs="楷体_GB2312"/>
          <w:b/>
          <w:bCs/>
          <w:sz w:val="32"/>
          <w:szCs w:val="32"/>
          <w:u w:val="none"/>
          <w:lang w:val="en-US" w:eastAsia="zh-CN"/>
        </w:rPr>
        <w:t>（一）严把源头管控关口。</w:t>
      </w:r>
      <w:r>
        <w:rPr>
          <w:rFonts w:hint="eastAsia" w:ascii="仿宋_GB2312" w:hAnsi="仿宋_GB2312" w:eastAsia="仿宋_GB2312" w:cs="仿宋_GB2312"/>
          <w:sz w:val="32"/>
          <w:szCs w:val="32"/>
          <w:u w:val="none"/>
          <w:lang w:val="en-US" w:eastAsia="zh-CN"/>
        </w:rPr>
        <w:t>全面摸清全区电动车销售、改装及保有量等基本情况，依法查处非法销售经营点、非法租赁点、非法改装点，重点巡查存储仓库、集中停放点，从源头上强化管控力度。</w:t>
      </w:r>
    </w:p>
    <w:p w14:paraId="786A059E">
      <w:pPr>
        <w:keepNext w:val="0"/>
        <w:keepLines w:val="0"/>
        <w:pageBreakBefore w:val="0"/>
        <w:widowControl w:val="0"/>
        <w:kinsoku/>
        <w:wordWrap/>
        <w:overflowPunct/>
        <w:topLinePunct w:val="0"/>
        <w:autoSpaceDE/>
        <w:autoSpaceDN/>
        <w:bidi w:val="0"/>
        <w:adjustRightInd/>
        <w:snapToGrid/>
        <w:spacing w:line="579" w:lineRule="exact"/>
        <w:ind w:firstLine="643" w:firstLineChars="200"/>
        <w:textAlignment w:val="auto"/>
        <w:rPr>
          <w:rFonts w:hint="default" w:ascii="仿宋_GB2312" w:hAnsi="仿宋_GB2312" w:eastAsia="仿宋_GB2312" w:cs="仿宋_GB2312"/>
          <w:sz w:val="32"/>
          <w:szCs w:val="32"/>
          <w:u w:val="none"/>
          <w:lang w:val="en-US" w:eastAsia="zh-CN"/>
        </w:rPr>
      </w:pPr>
      <w:r>
        <w:rPr>
          <w:rFonts w:hint="eastAsia" w:ascii="仿宋_GB2312" w:hAnsi="仿宋_GB2312" w:eastAsia="仿宋_GB2312" w:cs="仿宋_GB2312"/>
          <w:b/>
          <w:bCs/>
          <w:sz w:val="32"/>
          <w:szCs w:val="32"/>
          <w:u w:val="none"/>
          <w:lang w:val="en-US" w:eastAsia="zh-CN"/>
        </w:rPr>
        <w:t>1.全面摸排底数。</w:t>
      </w:r>
      <w:r>
        <w:rPr>
          <w:rFonts w:hint="eastAsia" w:ascii="仿宋_GB2312" w:hAnsi="仿宋_GB2312" w:eastAsia="仿宋_GB2312" w:cs="仿宋_GB2312"/>
          <w:b w:val="0"/>
          <w:bCs w:val="0"/>
          <w:sz w:val="32"/>
          <w:szCs w:val="32"/>
          <w:u w:val="none"/>
          <w:lang w:val="en-US" w:eastAsia="zh-CN"/>
        </w:rPr>
        <w:t>由区市监局牵头，区交通运输中心、各街道、经开区配合。区市监局负责统一制定登记管理台账，各街道、经开区对辖区范围内电动车经营、销售点位</w:t>
      </w:r>
      <w:r>
        <w:rPr>
          <w:rFonts w:hint="eastAsia" w:ascii="仿宋_GB2312" w:hAnsi="仿宋_GB2312" w:eastAsia="仿宋_GB2312" w:cs="仿宋_GB2312"/>
          <w:sz w:val="32"/>
          <w:szCs w:val="32"/>
          <w:u w:val="none"/>
          <w:lang w:val="en-US" w:eastAsia="zh-CN"/>
        </w:rPr>
        <w:t>开展摸底排查，摸清租赁商户数量、租赁车辆数量、集中停放区域、集中充电场所及车辆合规情况等信息，逐一登记造册，建立“一户一档”台账；区交通运输中心</w:t>
      </w:r>
      <w:r>
        <w:rPr>
          <w:rFonts w:hint="eastAsia" w:ascii="仿宋_GB2312" w:hAnsi="仿宋_GB2312" w:eastAsia="仿宋_GB2312" w:cs="仿宋_GB2312"/>
          <w:b w:val="0"/>
          <w:bCs w:val="0"/>
          <w:sz w:val="32"/>
          <w:szCs w:val="32"/>
          <w:u w:val="none"/>
          <w:lang w:val="en-US" w:eastAsia="zh-CN"/>
        </w:rPr>
        <w:t>负责对接市交管部门，摸清现有挂牌电动车相关底数，并报专班收集汇总。</w:t>
      </w:r>
      <w:r>
        <w:rPr>
          <w:rFonts w:hint="eastAsia" w:ascii="仿宋_GB2312" w:hAnsi="仿宋_GB2312" w:eastAsia="仿宋_GB2312" w:cs="仿宋_GB2312"/>
          <w:sz w:val="32"/>
          <w:szCs w:val="32"/>
          <w:u w:val="none"/>
          <w:lang w:val="en-US" w:eastAsia="zh-CN"/>
        </w:rPr>
        <w:t>（</w:t>
      </w:r>
      <w:r>
        <w:rPr>
          <w:rFonts w:hint="eastAsia" w:ascii="黑体" w:hAnsi="黑体" w:eastAsia="黑体" w:cs="黑体"/>
          <w:sz w:val="32"/>
          <w:szCs w:val="32"/>
          <w:u w:val="none"/>
          <w:lang w:val="en-US" w:eastAsia="zh-CN"/>
        </w:rPr>
        <w:t>责任单位：区市监局、区交通运输中心、</w:t>
      </w:r>
      <w:r>
        <w:rPr>
          <w:rFonts w:hint="eastAsia" w:ascii="黑体" w:hAnsi="黑体" w:eastAsia="黑体" w:cs="黑体"/>
          <w:b w:val="0"/>
          <w:bCs w:val="0"/>
          <w:sz w:val="32"/>
          <w:szCs w:val="32"/>
          <w:u w:val="none"/>
          <w:lang w:val="en-US" w:eastAsia="zh-CN"/>
        </w:rPr>
        <w:t>市交管支队珠山大队、市交管支队南河大队、</w:t>
      </w:r>
      <w:r>
        <w:rPr>
          <w:rFonts w:hint="eastAsia" w:ascii="黑体" w:hAnsi="黑体" w:eastAsia="黑体" w:cs="黑体"/>
          <w:sz w:val="32"/>
          <w:szCs w:val="32"/>
          <w:u w:val="none"/>
          <w:lang w:val="en-US" w:eastAsia="zh-CN"/>
        </w:rPr>
        <w:t>各街道、经开区</w:t>
      </w:r>
      <w:r>
        <w:rPr>
          <w:rFonts w:hint="eastAsia" w:ascii="仿宋_GB2312" w:hAnsi="仿宋_GB2312" w:eastAsia="仿宋_GB2312" w:cs="仿宋_GB2312"/>
          <w:sz w:val="32"/>
          <w:szCs w:val="32"/>
          <w:u w:val="none"/>
          <w:lang w:val="en-US" w:eastAsia="zh-CN"/>
        </w:rPr>
        <w:t>）</w:t>
      </w:r>
    </w:p>
    <w:p w14:paraId="10E31D08">
      <w:pPr>
        <w:keepNext w:val="0"/>
        <w:keepLines w:val="0"/>
        <w:pageBreakBefore w:val="0"/>
        <w:widowControl w:val="0"/>
        <w:kinsoku/>
        <w:wordWrap/>
        <w:overflowPunct/>
        <w:topLinePunct w:val="0"/>
        <w:autoSpaceDE/>
        <w:autoSpaceDN/>
        <w:bidi w:val="0"/>
        <w:adjustRightInd/>
        <w:snapToGrid/>
        <w:spacing w:line="579" w:lineRule="exact"/>
        <w:ind w:firstLine="643" w:firstLineChars="200"/>
        <w:textAlignment w:val="auto"/>
        <w:rPr>
          <w:rFonts w:hint="default" w:ascii="仿宋_GB2312" w:hAnsi="仿宋_GB2312" w:eastAsia="仿宋_GB2312" w:cs="仿宋_GB2312"/>
          <w:sz w:val="32"/>
          <w:szCs w:val="32"/>
          <w:u w:val="none"/>
          <w:lang w:val="en-US" w:eastAsia="zh-CN"/>
        </w:rPr>
      </w:pPr>
      <w:r>
        <w:rPr>
          <w:rFonts w:hint="eastAsia" w:ascii="仿宋_GB2312" w:hAnsi="仿宋_GB2312" w:eastAsia="仿宋_GB2312" w:cs="仿宋_GB2312"/>
          <w:b/>
          <w:bCs/>
          <w:sz w:val="32"/>
          <w:szCs w:val="32"/>
          <w:u w:val="none"/>
          <w:lang w:val="en-US" w:eastAsia="zh-CN"/>
        </w:rPr>
        <w:t>2.严查非法经营。</w:t>
      </w:r>
      <w:r>
        <w:rPr>
          <w:rFonts w:hint="eastAsia" w:ascii="仿宋_GB2312" w:hAnsi="仿宋_GB2312" w:eastAsia="仿宋_GB2312" w:cs="仿宋_GB2312"/>
          <w:b w:val="0"/>
          <w:bCs w:val="0"/>
          <w:sz w:val="32"/>
          <w:szCs w:val="32"/>
          <w:u w:val="none"/>
          <w:lang w:val="en-US" w:eastAsia="zh-CN"/>
        </w:rPr>
        <w:t>由区市监局牵头，市交管部门、区公安分局配合，对摸排掌握的经营主体开展全面核查，负责电动车产品质量监管，核查车辆是否完成注册登记、是否持有合法号牌、是否存在非法改装情形，对无牌、套牌、假牌的电动车依法予以扣留，依法查处无照经营等违法违规行为。</w:t>
      </w:r>
      <w:r>
        <w:rPr>
          <w:rFonts w:hint="eastAsia" w:ascii="仿宋_GB2312" w:hAnsi="仿宋_GB2312" w:eastAsia="仿宋_GB2312" w:cs="仿宋_GB2312"/>
          <w:sz w:val="32"/>
          <w:szCs w:val="32"/>
          <w:u w:val="none"/>
          <w:lang w:val="en-US" w:eastAsia="zh-CN"/>
        </w:rPr>
        <w:t>（</w:t>
      </w:r>
      <w:r>
        <w:rPr>
          <w:rFonts w:hint="eastAsia" w:ascii="黑体" w:hAnsi="黑体" w:eastAsia="黑体" w:cs="黑体"/>
          <w:sz w:val="32"/>
          <w:szCs w:val="32"/>
          <w:u w:val="none"/>
          <w:lang w:val="en-US" w:eastAsia="zh-CN"/>
        </w:rPr>
        <w:t>责任单位：区市监局、</w:t>
      </w:r>
      <w:r>
        <w:rPr>
          <w:rFonts w:hint="eastAsia" w:ascii="黑体" w:hAnsi="黑体" w:eastAsia="黑体" w:cs="黑体"/>
          <w:b w:val="0"/>
          <w:bCs w:val="0"/>
          <w:sz w:val="32"/>
          <w:szCs w:val="32"/>
          <w:u w:val="none"/>
          <w:lang w:val="en-US" w:eastAsia="zh-CN"/>
        </w:rPr>
        <w:t>市交管支队珠山大队、市交管支队南河大队</w:t>
      </w:r>
      <w:r>
        <w:rPr>
          <w:rFonts w:hint="eastAsia" w:ascii="仿宋_GB2312" w:hAnsi="仿宋_GB2312" w:eastAsia="仿宋_GB2312" w:cs="仿宋_GB2312"/>
          <w:sz w:val="32"/>
          <w:szCs w:val="32"/>
          <w:u w:val="none"/>
          <w:lang w:val="en-US" w:eastAsia="zh-CN"/>
        </w:rPr>
        <w:t>）</w:t>
      </w:r>
    </w:p>
    <w:p w14:paraId="1E755D3A">
      <w:pPr>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643" w:firstLineChars="200"/>
        <w:textAlignment w:val="auto"/>
        <w:rPr>
          <w:rFonts w:hint="eastAsia" w:ascii="黑体" w:hAnsi="黑体" w:eastAsia="黑体" w:cs="黑体"/>
          <w:b w:val="0"/>
          <w:bCs w:val="0"/>
          <w:sz w:val="32"/>
          <w:szCs w:val="32"/>
          <w:u w:val="none"/>
          <w:lang w:val="en-US" w:eastAsia="zh-CN"/>
        </w:rPr>
      </w:pPr>
      <w:r>
        <w:rPr>
          <w:rFonts w:hint="eastAsia" w:ascii="仿宋_GB2312" w:hAnsi="仿宋_GB2312" w:eastAsia="仿宋_GB2312" w:cs="仿宋_GB2312"/>
          <w:b/>
          <w:bCs/>
          <w:sz w:val="32"/>
          <w:szCs w:val="32"/>
          <w:u w:val="none"/>
          <w:lang w:val="en-US" w:eastAsia="zh-CN"/>
        </w:rPr>
        <w:t>3.巡查存储点位。</w:t>
      </w:r>
      <w:r>
        <w:rPr>
          <w:rFonts w:hint="eastAsia" w:ascii="仿宋_GB2312" w:hAnsi="仿宋_GB2312" w:eastAsia="仿宋_GB2312" w:cs="仿宋_GB2312"/>
          <w:b w:val="0"/>
          <w:bCs w:val="0"/>
          <w:sz w:val="32"/>
          <w:szCs w:val="32"/>
          <w:u w:val="none"/>
          <w:lang w:val="en-US" w:eastAsia="zh-CN"/>
        </w:rPr>
        <w:t>由区消防救援大队牵头，区住建局、各街道、经开区配合，依法对电动车存储仓库、集中停放区域及集中充电场所等重点部位的建筑工程质量与消防安全标准进行核查，对不符合规范要求的，依法依规予以查处。</w:t>
      </w:r>
      <w:r>
        <w:rPr>
          <w:rFonts w:hint="eastAsia" w:ascii="黑体" w:hAnsi="黑体" w:eastAsia="黑体" w:cs="黑体"/>
          <w:b w:val="0"/>
          <w:bCs w:val="0"/>
          <w:sz w:val="32"/>
          <w:szCs w:val="32"/>
          <w:u w:val="none"/>
          <w:lang w:val="en-US" w:eastAsia="zh-CN"/>
        </w:rPr>
        <w:t>（责任单位：区消防救援大队、区住建局、</w:t>
      </w:r>
      <w:r>
        <w:rPr>
          <w:rFonts w:hint="eastAsia" w:ascii="黑体" w:hAnsi="黑体" w:eastAsia="黑体" w:cs="黑体"/>
          <w:sz w:val="32"/>
          <w:szCs w:val="32"/>
          <w:u w:val="none"/>
          <w:lang w:val="en-US" w:eastAsia="zh-CN"/>
        </w:rPr>
        <w:t>各街道、经开区</w:t>
      </w:r>
      <w:r>
        <w:rPr>
          <w:rFonts w:hint="eastAsia" w:ascii="黑体" w:hAnsi="黑体" w:eastAsia="黑体" w:cs="黑体"/>
          <w:b w:val="0"/>
          <w:bCs w:val="0"/>
          <w:sz w:val="32"/>
          <w:szCs w:val="32"/>
          <w:u w:val="none"/>
          <w:lang w:val="en-US" w:eastAsia="zh-CN"/>
        </w:rPr>
        <w:t>）</w:t>
      </w:r>
    </w:p>
    <w:p w14:paraId="0AABAAEA">
      <w:pPr>
        <w:keepNext w:val="0"/>
        <w:keepLines w:val="0"/>
        <w:pageBreakBefore w:val="0"/>
        <w:widowControl w:val="0"/>
        <w:kinsoku/>
        <w:wordWrap/>
        <w:overflowPunct/>
        <w:topLinePunct w:val="0"/>
        <w:autoSpaceDE/>
        <w:autoSpaceDN/>
        <w:bidi w:val="0"/>
        <w:adjustRightInd/>
        <w:snapToGrid/>
        <w:spacing w:line="579" w:lineRule="exact"/>
        <w:ind w:firstLine="643" w:firstLineChars="200"/>
        <w:textAlignment w:val="auto"/>
        <w:rPr>
          <w:rFonts w:hint="eastAsia" w:ascii="仿宋_GB2312" w:hAnsi="仿宋_GB2312" w:eastAsia="仿宋_GB2312" w:cs="仿宋_GB2312"/>
          <w:sz w:val="32"/>
          <w:szCs w:val="32"/>
          <w:u w:val="none"/>
          <w:lang w:val="en-US" w:eastAsia="zh-CN"/>
        </w:rPr>
      </w:pPr>
      <w:r>
        <w:rPr>
          <w:rFonts w:hint="eastAsia" w:ascii="楷体_GB2312" w:hAnsi="楷体_GB2312" w:eastAsia="楷体_GB2312" w:cs="楷体_GB2312"/>
          <w:b/>
          <w:bCs/>
          <w:sz w:val="32"/>
          <w:szCs w:val="32"/>
          <w:u w:val="none"/>
          <w:lang w:val="en-US" w:eastAsia="zh-CN"/>
        </w:rPr>
        <w:t>（二）严抓路面秩序整治。</w:t>
      </w:r>
      <w:r>
        <w:rPr>
          <w:rFonts w:hint="eastAsia" w:ascii="仿宋_GB2312" w:hAnsi="仿宋_GB2312" w:eastAsia="仿宋_GB2312" w:cs="仿宋_GB2312"/>
          <w:b w:val="0"/>
          <w:bCs w:val="0"/>
          <w:sz w:val="32"/>
          <w:szCs w:val="32"/>
          <w:u w:val="none"/>
          <w:lang w:val="en-US" w:eastAsia="zh-CN"/>
        </w:rPr>
        <w:t>聚焦主次干道、重点区域和时段，加大路面巡查执法力度，严查电动车交通违法行为，整治电动车乱停乱放、侵占盲道、堵塞消防通道等问题，切实提升道路通行秩序和市容环境水平。</w:t>
      </w:r>
    </w:p>
    <w:p w14:paraId="6376ED60">
      <w:pPr>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643" w:firstLineChars="200"/>
        <w:textAlignment w:val="auto"/>
        <w:rPr>
          <w:rFonts w:hint="eastAsia" w:ascii="黑体" w:hAnsi="黑体" w:eastAsia="黑体" w:cs="黑体"/>
          <w:b w:val="0"/>
          <w:bCs w:val="0"/>
          <w:sz w:val="32"/>
          <w:szCs w:val="32"/>
          <w:u w:val="none"/>
          <w:lang w:val="en-US" w:eastAsia="zh-CN"/>
        </w:rPr>
      </w:pPr>
      <w:r>
        <w:rPr>
          <w:rFonts w:hint="eastAsia" w:ascii="仿宋_GB2312" w:hAnsi="仿宋_GB2312" w:eastAsia="仿宋_GB2312" w:cs="仿宋_GB2312"/>
          <w:b/>
          <w:bCs/>
          <w:sz w:val="32"/>
          <w:szCs w:val="32"/>
          <w:u w:val="none"/>
          <w:lang w:val="en-US" w:eastAsia="zh-CN"/>
        </w:rPr>
        <w:t>4.开展设点执法。</w:t>
      </w:r>
      <w:r>
        <w:rPr>
          <w:rFonts w:hint="eastAsia" w:ascii="仿宋_GB2312" w:hAnsi="仿宋_GB2312" w:eastAsia="仿宋_GB2312" w:cs="仿宋_GB2312"/>
          <w:b w:val="0"/>
          <w:bCs w:val="0"/>
          <w:sz w:val="32"/>
          <w:szCs w:val="32"/>
          <w:u w:val="none"/>
          <w:lang w:val="en-US" w:eastAsia="zh-CN"/>
        </w:rPr>
        <w:t>由市交管部门牵头，相关单位配合，在重点路段和重要路口设置查验点，对电动车逐车核对查验，依法查处无牌、套牌、假牌及非法改装三轮电动车及无证驾驶等交通违法行为，严厉查处集中上假牌等违法行为，形成典型震慑。</w:t>
      </w:r>
      <w:r>
        <w:rPr>
          <w:rFonts w:hint="eastAsia" w:ascii="黑体" w:hAnsi="黑体" w:eastAsia="黑体" w:cs="黑体"/>
          <w:b w:val="0"/>
          <w:bCs w:val="0"/>
          <w:sz w:val="32"/>
          <w:szCs w:val="32"/>
          <w:u w:val="none"/>
          <w:lang w:val="en-US" w:eastAsia="zh-CN"/>
        </w:rPr>
        <w:t>（责任单位：市交管支队珠山大队、市交管支队南河大队）</w:t>
      </w:r>
    </w:p>
    <w:p w14:paraId="25B8DBF4">
      <w:pPr>
        <w:keepNext w:val="0"/>
        <w:keepLines w:val="0"/>
        <w:pageBreakBefore w:val="0"/>
        <w:widowControl w:val="0"/>
        <w:kinsoku/>
        <w:wordWrap/>
        <w:overflowPunct/>
        <w:topLinePunct w:val="0"/>
        <w:autoSpaceDE/>
        <w:autoSpaceDN/>
        <w:bidi w:val="0"/>
        <w:adjustRightInd/>
        <w:snapToGrid/>
        <w:spacing w:line="579" w:lineRule="exact"/>
        <w:ind w:firstLine="643" w:firstLineChars="200"/>
        <w:jc w:val="both"/>
        <w:textAlignment w:val="auto"/>
        <w:rPr>
          <w:rFonts w:hint="eastAsia"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b/>
          <w:bCs/>
          <w:sz w:val="32"/>
          <w:szCs w:val="32"/>
          <w:highlight w:val="none"/>
          <w:u w:val="none"/>
          <w:lang w:val="en-US" w:eastAsia="zh-CN"/>
        </w:rPr>
        <w:t>5.加强停放管理。</w:t>
      </w:r>
      <w:r>
        <w:rPr>
          <w:rFonts w:ascii="仿宋_GB2312" w:hAnsi="仿宋_GB2312" w:eastAsia="仿宋_GB2312" w:cs="仿宋_GB2312"/>
          <w:b w:val="0"/>
          <w:bCs w:val="0"/>
          <w:kern w:val="2"/>
          <w:sz w:val="32"/>
          <w:szCs w:val="32"/>
          <w:highlight w:val="none"/>
          <w:u w:val="none"/>
          <w:lang w:bidi="ar-SA"/>
        </w:rPr>
        <w:t>由区城管局牵头，</w:t>
      </w:r>
      <w:r>
        <w:rPr>
          <w:rFonts w:hint="eastAsia" w:ascii="仿宋_GB2312" w:hAnsi="仿宋_GB2312" w:eastAsia="仿宋_GB2312" w:cs="仿宋_GB2312"/>
          <w:b w:val="0"/>
          <w:bCs w:val="0"/>
          <w:kern w:val="2"/>
          <w:sz w:val="32"/>
          <w:szCs w:val="32"/>
          <w:highlight w:val="none"/>
          <w:u w:val="none"/>
          <w:lang w:val="en-US" w:eastAsia="zh-CN" w:bidi="ar-SA"/>
        </w:rPr>
        <w:t>市交管部门、</w:t>
      </w:r>
      <w:r>
        <w:rPr>
          <w:rFonts w:ascii="仿宋_GB2312" w:hAnsi="仿宋_GB2312" w:eastAsia="仿宋_GB2312" w:cs="仿宋_GB2312"/>
          <w:b w:val="0"/>
          <w:bCs w:val="0"/>
          <w:kern w:val="2"/>
          <w:sz w:val="32"/>
          <w:szCs w:val="32"/>
          <w:highlight w:val="none"/>
          <w:u w:val="none"/>
          <w:lang w:bidi="ar-SA"/>
        </w:rPr>
        <w:t>各街道</w:t>
      </w:r>
      <w:r>
        <w:rPr>
          <w:rFonts w:hint="eastAsia" w:ascii="仿宋_GB2312" w:hAnsi="仿宋_GB2312" w:eastAsia="仿宋_GB2312" w:cs="仿宋_GB2312"/>
          <w:b w:val="0"/>
          <w:bCs w:val="0"/>
          <w:kern w:val="2"/>
          <w:sz w:val="32"/>
          <w:szCs w:val="32"/>
          <w:highlight w:val="none"/>
          <w:u w:val="none"/>
          <w:lang w:eastAsia="zh-CN" w:bidi="ar-SA"/>
        </w:rPr>
        <w:t>、</w:t>
      </w:r>
      <w:r>
        <w:rPr>
          <w:rFonts w:ascii="仿宋_GB2312" w:hAnsi="仿宋_GB2312" w:eastAsia="仿宋_GB2312" w:cs="仿宋_GB2312"/>
          <w:b w:val="0"/>
          <w:bCs w:val="0"/>
          <w:kern w:val="2"/>
          <w:sz w:val="32"/>
          <w:szCs w:val="32"/>
          <w:highlight w:val="none"/>
          <w:u w:val="none"/>
          <w:lang w:bidi="ar-SA"/>
        </w:rPr>
        <w:t>经开区配合</w:t>
      </w:r>
      <w:r>
        <w:rPr>
          <w:rFonts w:hint="eastAsia" w:ascii="仿宋_GB2312" w:hAnsi="仿宋_GB2312" w:eastAsia="仿宋_GB2312" w:cs="仿宋_GB2312"/>
          <w:b w:val="0"/>
          <w:bCs w:val="0"/>
          <w:kern w:val="2"/>
          <w:sz w:val="32"/>
          <w:szCs w:val="32"/>
          <w:highlight w:val="none"/>
          <w:u w:val="none"/>
          <w:lang w:eastAsia="zh-CN" w:bidi="ar-SA"/>
        </w:rPr>
        <w:t>。</w:t>
      </w:r>
      <w:r>
        <w:rPr>
          <w:rFonts w:hint="eastAsia" w:ascii="仿宋_GB2312" w:hAnsi="仿宋_GB2312" w:eastAsia="仿宋_GB2312" w:cs="仿宋_GB2312"/>
          <w:b w:val="0"/>
          <w:bCs w:val="0"/>
          <w:kern w:val="2"/>
          <w:sz w:val="32"/>
          <w:szCs w:val="32"/>
          <w:highlight w:val="none"/>
          <w:u w:val="none"/>
          <w:lang w:val="en-US" w:eastAsia="zh-CN" w:bidi="ar-SA"/>
        </w:rPr>
        <w:t>区城管局依法查处经营主体占道经营、流动摊贩治理等市容市貌问题；市交管部门处置</w:t>
      </w:r>
      <w:r>
        <w:rPr>
          <w:rFonts w:ascii="仿宋_GB2312" w:hAnsi="仿宋_GB2312" w:eastAsia="仿宋_GB2312" w:cs="仿宋_GB2312"/>
          <w:b w:val="0"/>
          <w:bCs w:val="0"/>
          <w:kern w:val="2"/>
          <w:sz w:val="32"/>
          <w:szCs w:val="32"/>
          <w:highlight w:val="none"/>
          <w:u w:val="none"/>
          <w:lang w:bidi="ar-SA"/>
        </w:rPr>
        <w:t>城市主次干道、重点区域</w:t>
      </w:r>
      <w:r>
        <w:rPr>
          <w:rFonts w:hint="eastAsia" w:ascii="仿宋_GB2312" w:hAnsi="仿宋_GB2312" w:eastAsia="仿宋_GB2312" w:cs="仿宋_GB2312"/>
          <w:b w:val="0"/>
          <w:bCs w:val="0"/>
          <w:kern w:val="2"/>
          <w:sz w:val="32"/>
          <w:szCs w:val="32"/>
          <w:highlight w:val="none"/>
          <w:u w:val="none"/>
          <w:lang w:val="en-US" w:eastAsia="zh-CN" w:bidi="ar-SA"/>
        </w:rPr>
        <w:t>违停违放相关问题</w:t>
      </w:r>
      <w:r>
        <w:rPr>
          <w:rFonts w:hint="eastAsia" w:ascii="仿宋_GB2312" w:hAnsi="仿宋_GB2312" w:eastAsia="仿宋_GB2312" w:cs="仿宋_GB2312"/>
          <w:b w:val="0"/>
          <w:bCs w:val="0"/>
          <w:kern w:val="2"/>
          <w:sz w:val="32"/>
          <w:szCs w:val="32"/>
          <w:highlight w:val="none"/>
          <w:u w:val="none"/>
          <w:lang w:eastAsia="zh-CN" w:bidi="ar-SA"/>
        </w:rPr>
        <w:t>，对严重影响通行秩序的车辆，依法依规予以拖移处理</w:t>
      </w:r>
      <w:r>
        <w:rPr>
          <w:rFonts w:hint="eastAsia" w:ascii="仿宋_GB2312" w:hAnsi="仿宋_GB2312" w:eastAsia="仿宋_GB2312" w:cs="仿宋_GB2312"/>
          <w:b w:val="0"/>
          <w:bCs w:val="0"/>
          <w:kern w:val="2"/>
          <w:sz w:val="32"/>
          <w:szCs w:val="32"/>
          <w:highlight w:val="none"/>
          <w:u w:val="none"/>
          <w:lang w:val="en-US" w:eastAsia="zh-CN" w:bidi="ar-SA"/>
        </w:rPr>
        <w:t>；各街道、经开区在重点点位、重要路段</w:t>
      </w:r>
      <w:r>
        <w:rPr>
          <w:rFonts w:hint="eastAsia" w:ascii="仿宋_GB2312" w:hAnsi="仿宋_GB2312" w:eastAsia="仿宋_GB2312" w:cs="仿宋_GB2312"/>
          <w:b w:val="0"/>
          <w:bCs w:val="0"/>
          <w:kern w:val="2"/>
          <w:sz w:val="32"/>
          <w:szCs w:val="32"/>
          <w:highlight w:val="none"/>
          <w:u w:val="none"/>
          <w:lang w:eastAsia="zh-CN" w:bidi="ar-SA"/>
        </w:rPr>
        <w:t>安排专人值守，及时劝阻和纠正</w:t>
      </w:r>
      <w:r>
        <w:rPr>
          <w:rFonts w:hint="eastAsia" w:ascii="仿宋_GB2312" w:hAnsi="仿宋_GB2312" w:eastAsia="仿宋_GB2312" w:cs="仿宋_GB2312"/>
          <w:b w:val="0"/>
          <w:bCs w:val="0"/>
          <w:kern w:val="2"/>
          <w:sz w:val="32"/>
          <w:szCs w:val="32"/>
          <w:highlight w:val="none"/>
          <w:u w:val="none"/>
          <w:lang w:val="en-US" w:eastAsia="zh-CN" w:bidi="ar-SA"/>
        </w:rPr>
        <w:t>各类违规停放</w:t>
      </w:r>
      <w:r>
        <w:rPr>
          <w:rFonts w:hint="eastAsia" w:ascii="仿宋_GB2312" w:hAnsi="仿宋_GB2312" w:eastAsia="仿宋_GB2312" w:cs="仿宋_GB2312"/>
          <w:b w:val="0"/>
          <w:bCs w:val="0"/>
          <w:kern w:val="2"/>
          <w:sz w:val="32"/>
          <w:szCs w:val="32"/>
          <w:highlight w:val="none"/>
          <w:u w:val="none"/>
          <w:lang w:eastAsia="zh-CN" w:bidi="ar-SA"/>
        </w:rPr>
        <w:t>行为</w:t>
      </w:r>
      <w:r>
        <w:rPr>
          <w:rFonts w:ascii="仿宋_GB2312" w:hAnsi="仿宋_GB2312" w:eastAsia="仿宋_GB2312" w:cs="仿宋_GB2312"/>
          <w:b w:val="0"/>
          <w:bCs w:val="0"/>
          <w:kern w:val="2"/>
          <w:sz w:val="32"/>
          <w:szCs w:val="32"/>
          <w:highlight w:val="none"/>
          <w:u w:val="none"/>
          <w:lang w:bidi="ar-SA"/>
        </w:rPr>
        <w:t>。</w:t>
      </w:r>
      <w:r>
        <w:rPr>
          <w:rFonts w:hint="eastAsia" w:ascii="仿宋_GB2312" w:hAnsi="仿宋_GB2312" w:eastAsia="仿宋_GB2312" w:cs="仿宋_GB2312"/>
          <w:sz w:val="32"/>
          <w:szCs w:val="32"/>
          <w:highlight w:val="none"/>
          <w:u w:val="none"/>
          <w:lang w:val="en-US" w:eastAsia="zh-CN"/>
        </w:rPr>
        <w:t>（</w:t>
      </w:r>
      <w:r>
        <w:rPr>
          <w:rFonts w:hint="eastAsia" w:ascii="黑体" w:hAnsi="黑体" w:eastAsia="黑体" w:cs="黑体"/>
          <w:sz w:val="32"/>
          <w:szCs w:val="32"/>
          <w:highlight w:val="none"/>
          <w:u w:val="none"/>
          <w:lang w:val="en-US" w:eastAsia="zh-CN"/>
        </w:rPr>
        <w:t>责任单位：区城管局、</w:t>
      </w:r>
      <w:r>
        <w:rPr>
          <w:rFonts w:hint="eastAsia" w:ascii="黑体" w:hAnsi="黑体" w:eastAsia="黑体" w:cs="黑体"/>
          <w:b w:val="0"/>
          <w:bCs w:val="0"/>
          <w:sz w:val="32"/>
          <w:szCs w:val="32"/>
          <w:u w:val="none"/>
          <w:lang w:val="en-US" w:eastAsia="zh-CN"/>
        </w:rPr>
        <w:t>市交管支队珠山大队、市交管支队南河大队、</w:t>
      </w:r>
      <w:r>
        <w:rPr>
          <w:rFonts w:hint="eastAsia" w:ascii="黑体" w:hAnsi="黑体" w:eastAsia="黑体" w:cs="黑体"/>
          <w:sz w:val="32"/>
          <w:szCs w:val="32"/>
          <w:highlight w:val="none"/>
          <w:u w:val="none"/>
          <w:lang w:val="en-US" w:eastAsia="zh-CN"/>
        </w:rPr>
        <w:t>各街道、经开区</w:t>
      </w:r>
      <w:r>
        <w:rPr>
          <w:rFonts w:hint="eastAsia" w:ascii="仿宋_GB2312" w:hAnsi="仿宋_GB2312" w:eastAsia="仿宋_GB2312" w:cs="仿宋_GB2312"/>
          <w:sz w:val="32"/>
          <w:szCs w:val="32"/>
          <w:highlight w:val="none"/>
          <w:u w:val="none"/>
          <w:lang w:val="en-US" w:eastAsia="zh-CN"/>
        </w:rPr>
        <w:t>）</w:t>
      </w:r>
    </w:p>
    <w:p w14:paraId="25EB80DD">
      <w:pPr>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643" w:firstLineChars="200"/>
        <w:jc w:val="both"/>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b/>
          <w:bCs/>
          <w:sz w:val="32"/>
          <w:szCs w:val="32"/>
          <w:u w:val="none"/>
          <w:lang w:val="en-US" w:eastAsia="zh-CN"/>
        </w:rPr>
        <w:t>6.联合执法督查。</w:t>
      </w:r>
      <w:r>
        <w:rPr>
          <w:rFonts w:ascii="仿宋_GB2312" w:hAnsi="仿宋_GB2312" w:eastAsia="仿宋_GB2312" w:cs="仿宋_GB2312"/>
          <w:b w:val="0"/>
          <w:bCs w:val="0"/>
          <w:kern w:val="2"/>
          <w:sz w:val="32"/>
          <w:szCs w:val="32"/>
          <w:u w:val="none"/>
          <w:lang w:bidi="ar-SA"/>
        </w:rPr>
        <w:t>由区</w:t>
      </w:r>
      <w:r>
        <w:rPr>
          <w:rFonts w:hint="eastAsia" w:ascii="仿宋_GB2312" w:hAnsi="仿宋_GB2312" w:eastAsia="仿宋_GB2312" w:cs="仿宋_GB2312"/>
          <w:b w:val="0"/>
          <w:bCs w:val="0"/>
          <w:kern w:val="2"/>
          <w:sz w:val="32"/>
          <w:szCs w:val="32"/>
          <w:u w:val="none"/>
          <w:lang w:val="en-US" w:eastAsia="zh-CN" w:bidi="ar-SA"/>
        </w:rPr>
        <w:t>交通运输中心</w:t>
      </w:r>
      <w:r>
        <w:rPr>
          <w:rFonts w:ascii="仿宋_GB2312" w:hAnsi="仿宋_GB2312" w:eastAsia="仿宋_GB2312" w:cs="仿宋_GB2312"/>
          <w:b w:val="0"/>
          <w:bCs w:val="0"/>
          <w:kern w:val="2"/>
          <w:sz w:val="32"/>
          <w:szCs w:val="32"/>
          <w:u w:val="none"/>
          <w:lang w:bidi="ar-SA"/>
        </w:rPr>
        <w:t>牵头，联合</w:t>
      </w:r>
      <w:r>
        <w:rPr>
          <w:rFonts w:hint="eastAsia" w:ascii="仿宋_GB2312" w:hAnsi="仿宋_GB2312" w:eastAsia="仿宋_GB2312" w:cs="仿宋_GB2312"/>
          <w:b w:val="0"/>
          <w:bCs w:val="0"/>
          <w:kern w:val="2"/>
          <w:sz w:val="32"/>
          <w:szCs w:val="32"/>
          <w:u w:val="none"/>
          <w:lang w:val="en-US" w:eastAsia="zh-CN" w:bidi="ar-SA"/>
        </w:rPr>
        <w:t>市监、城管</w:t>
      </w:r>
      <w:r>
        <w:rPr>
          <w:rFonts w:ascii="仿宋_GB2312" w:hAnsi="仿宋_GB2312" w:eastAsia="仿宋_GB2312" w:cs="仿宋_GB2312"/>
          <w:b w:val="0"/>
          <w:bCs w:val="0"/>
          <w:kern w:val="2"/>
          <w:sz w:val="32"/>
          <w:szCs w:val="32"/>
          <w:u w:val="none"/>
          <w:lang w:bidi="ar-SA"/>
        </w:rPr>
        <w:t>、公安等部门，对全区各街道</w:t>
      </w:r>
      <w:r>
        <w:rPr>
          <w:rFonts w:hint="eastAsia" w:ascii="仿宋_GB2312" w:hAnsi="仿宋_GB2312" w:eastAsia="仿宋_GB2312" w:cs="仿宋_GB2312"/>
          <w:b w:val="0"/>
          <w:bCs w:val="0"/>
          <w:kern w:val="2"/>
          <w:sz w:val="32"/>
          <w:szCs w:val="32"/>
          <w:u w:val="none"/>
          <w:lang w:eastAsia="zh-CN" w:bidi="ar-SA"/>
        </w:rPr>
        <w:t>、</w:t>
      </w:r>
      <w:r>
        <w:rPr>
          <w:rFonts w:ascii="仿宋_GB2312" w:hAnsi="仿宋_GB2312" w:eastAsia="仿宋_GB2312" w:cs="仿宋_GB2312"/>
          <w:b w:val="0"/>
          <w:bCs w:val="0"/>
          <w:kern w:val="2"/>
          <w:sz w:val="32"/>
          <w:szCs w:val="32"/>
          <w:u w:val="none"/>
          <w:lang w:bidi="ar-SA"/>
        </w:rPr>
        <w:t>经开区逐一开展检查，实施联合执法并依法处置违法违规行为。交警、消防、应急等职能部门根据实际情况配合开展执法行动。</w:t>
      </w:r>
      <w:r>
        <w:rPr>
          <w:rFonts w:ascii="仿宋_GB2312" w:hAnsi="仿宋_GB2312" w:eastAsia="仿宋_GB2312" w:cs="仿宋_GB2312"/>
          <w:b/>
          <w:bCs/>
          <w:kern w:val="2"/>
          <w:sz w:val="32"/>
          <w:szCs w:val="32"/>
          <w:u w:val="none"/>
          <w:lang w:bidi="ar-SA"/>
        </w:rPr>
        <w:t>（</w:t>
      </w:r>
      <w:r>
        <w:rPr>
          <w:rFonts w:hint="eastAsia" w:ascii="黑体" w:hAnsi="黑体" w:eastAsia="黑体" w:cs="黑体"/>
          <w:sz w:val="32"/>
          <w:szCs w:val="32"/>
          <w:u w:val="none"/>
          <w:lang w:val="en-US" w:eastAsia="zh-CN"/>
        </w:rPr>
        <w:t>责任单位：区交通运输中心、区市监局、区城管局、区公安分局、市交管支队珠山大队、市交管支队南河大队、区消防救援大队、区应急局</w:t>
      </w:r>
      <w:r>
        <w:rPr>
          <w:rFonts w:ascii="仿宋_GB2312" w:hAnsi="仿宋_GB2312" w:eastAsia="仿宋_GB2312" w:cs="仿宋_GB2312"/>
          <w:b/>
          <w:bCs/>
          <w:kern w:val="2"/>
          <w:sz w:val="32"/>
          <w:szCs w:val="32"/>
          <w:u w:val="none"/>
          <w:lang w:bidi="ar-SA"/>
        </w:rPr>
        <w:t>）</w:t>
      </w:r>
    </w:p>
    <w:p w14:paraId="725E7716">
      <w:pPr>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643" w:firstLineChars="200"/>
        <w:textAlignment w:val="auto"/>
        <w:rPr>
          <w:rFonts w:hint="default" w:ascii="楷体_GB2312" w:hAnsi="楷体_GB2312" w:eastAsia="楷体_GB2312" w:cs="楷体_GB2312"/>
          <w:b/>
          <w:bCs/>
          <w:sz w:val="32"/>
          <w:szCs w:val="32"/>
          <w:u w:val="none"/>
          <w:lang w:val="en-US" w:eastAsia="zh-CN"/>
        </w:rPr>
      </w:pPr>
      <w:r>
        <w:rPr>
          <w:rFonts w:hint="eastAsia" w:ascii="楷体_GB2312" w:hAnsi="楷体_GB2312" w:eastAsia="楷体_GB2312" w:cs="楷体_GB2312"/>
          <w:b/>
          <w:bCs/>
          <w:sz w:val="32"/>
          <w:szCs w:val="32"/>
          <w:u w:val="none"/>
          <w:lang w:val="en-US" w:eastAsia="zh-CN"/>
        </w:rPr>
        <w:t>（三）开展租赁电动车攻坚行动。</w:t>
      </w:r>
      <w:r>
        <w:rPr>
          <w:rFonts w:hint="eastAsia" w:ascii="仿宋_GB2312" w:hAnsi="仿宋_GB2312" w:eastAsia="仿宋_GB2312" w:cs="仿宋_GB2312"/>
          <w:b w:val="0"/>
          <w:bCs w:val="0"/>
          <w:sz w:val="32"/>
          <w:szCs w:val="32"/>
          <w:u w:val="none"/>
          <w:lang w:val="en-US" w:eastAsia="zh-CN"/>
        </w:rPr>
        <w:t>聚焦租赁电动车“资质、上路、车辆”三个关键环节，集中开展资质核查、违法查处、违规车辆清退全链条整治，全面净化租赁电动车市场环境。</w:t>
      </w:r>
    </w:p>
    <w:p w14:paraId="63120F99">
      <w:pPr>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643" w:firstLineChars="200"/>
        <w:textAlignment w:val="auto"/>
        <w:rPr>
          <w:rFonts w:hint="eastAsia" w:ascii="仿宋_GB2312" w:hAnsi="仿宋_GB2312" w:eastAsia="仿宋_GB2312" w:cs="仿宋_GB2312"/>
          <w:b w:val="0"/>
          <w:bCs w:val="0"/>
          <w:sz w:val="32"/>
          <w:szCs w:val="32"/>
          <w:u w:val="none"/>
          <w:lang w:val="en-US" w:eastAsia="zh-CN"/>
        </w:rPr>
      </w:pPr>
      <w:r>
        <w:rPr>
          <w:rFonts w:hint="eastAsia" w:ascii="仿宋_GB2312" w:hAnsi="仿宋_GB2312" w:eastAsia="仿宋_GB2312" w:cs="仿宋_GB2312"/>
          <w:b/>
          <w:bCs/>
          <w:sz w:val="32"/>
          <w:szCs w:val="32"/>
          <w:u w:val="none"/>
          <w:lang w:val="en-US" w:eastAsia="zh-CN"/>
        </w:rPr>
        <w:t>7.严查租赁电动车资质。</w:t>
      </w:r>
      <w:r>
        <w:rPr>
          <w:rFonts w:hint="eastAsia" w:ascii="仿宋_GB2312" w:hAnsi="仿宋_GB2312" w:eastAsia="仿宋_GB2312" w:cs="仿宋_GB2312"/>
          <w:b w:val="0"/>
          <w:bCs w:val="0"/>
          <w:sz w:val="32"/>
          <w:szCs w:val="32"/>
          <w:u w:val="none"/>
          <w:lang w:val="en-US" w:eastAsia="zh-CN"/>
        </w:rPr>
        <w:t>由区市监局牵头，各街道、经开区配合，对辖区电动车租赁经营主体开展全面摸排，重点核查租赁单位是否持有合法有效的营业执照、待租电动车是否取得“3C”认证标志，车辆技术参数是否符合国家标准要求</w:t>
      </w:r>
      <w:r>
        <w:rPr>
          <w:rFonts w:hint="eastAsia" w:ascii="仿宋_GB2312" w:hAnsi="仿宋_GB2312" w:eastAsia="仿宋_GB2312" w:cs="仿宋_GB2312"/>
          <w:b w:val="0"/>
          <w:bCs w:val="0"/>
          <w:sz w:val="32"/>
          <w:szCs w:val="32"/>
          <w:u w:val="none"/>
          <w:lang w:val="en-US" w:eastAsia="zh-CN"/>
        </w:rPr>
        <w:fldChar w:fldCharType="begin"/>
      </w:r>
      <w:r>
        <w:rPr>
          <w:rFonts w:hint="eastAsia" w:ascii="仿宋_GB2312" w:hAnsi="仿宋_GB2312" w:eastAsia="仿宋_GB2312" w:cs="仿宋_GB2312"/>
          <w:b w:val="0"/>
          <w:bCs w:val="0"/>
          <w:sz w:val="32"/>
          <w:szCs w:val="32"/>
          <w:u w:val="none"/>
          <w:lang w:val="en-US" w:eastAsia="zh-CN"/>
        </w:rPr>
        <w:instrText xml:space="preserve"> HYPERLINK "https://scjgj.taiyuan.gov.cn/jcdt/20260318/30288401.html" \t "https://chat.deepseek.com/a/chat/s/_blank" </w:instrText>
      </w:r>
      <w:r>
        <w:rPr>
          <w:rFonts w:hint="eastAsia" w:ascii="仿宋_GB2312" w:hAnsi="仿宋_GB2312" w:eastAsia="仿宋_GB2312" w:cs="仿宋_GB2312"/>
          <w:b w:val="0"/>
          <w:bCs w:val="0"/>
          <w:sz w:val="32"/>
          <w:szCs w:val="32"/>
          <w:u w:val="none"/>
          <w:lang w:val="en-US" w:eastAsia="zh-CN"/>
        </w:rPr>
        <w:fldChar w:fldCharType="separate"/>
      </w:r>
      <w:r>
        <w:rPr>
          <w:rFonts w:hint="eastAsia" w:ascii="仿宋_GB2312" w:hAnsi="仿宋_GB2312" w:eastAsia="仿宋_GB2312" w:cs="仿宋_GB2312"/>
          <w:b w:val="0"/>
          <w:bCs w:val="0"/>
          <w:sz w:val="32"/>
          <w:szCs w:val="32"/>
          <w:u w:val="none"/>
          <w:lang w:val="en-US" w:eastAsia="zh-CN"/>
        </w:rPr>
        <w:fldChar w:fldCharType="end"/>
      </w:r>
      <w:r>
        <w:rPr>
          <w:rFonts w:hint="eastAsia" w:ascii="仿宋_GB2312" w:hAnsi="仿宋_GB2312" w:eastAsia="仿宋_GB2312" w:cs="仿宋_GB2312"/>
          <w:b w:val="0"/>
          <w:bCs w:val="0"/>
          <w:sz w:val="32"/>
          <w:szCs w:val="32"/>
          <w:u w:val="none"/>
          <w:lang w:val="en-US" w:eastAsia="zh-CN"/>
        </w:rPr>
        <w:t>，依法查处相关违法违规行为。</w:t>
      </w:r>
      <w:r>
        <w:rPr>
          <w:rFonts w:hint="eastAsia" w:ascii="黑体" w:hAnsi="黑体" w:eastAsia="黑体" w:cs="黑体"/>
          <w:b w:val="0"/>
          <w:bCs w:val="0"/>
          <w:sz w:val="32"/>
          <w:szCs w:val="32"/>
          <w:u w:val="none"/>
          <w:lang w:val="en-US" w:eastAsia="zh-CN"/>
        </w:rPr>
        <w:t>（责任单位：区市监局、各街道、经开区）</w:t>
      </w:r>
    </w:p>
    <w:p w14:paraId="3EE53425">
      <w:pPr>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643" w:firstLineChars="200"/>
        <w:textAlignment w:val="auto"/>
        <w:rPr>
          <w:rFonts w:hint="default" w:ascii="仿宋_GB2312" w:hAnsi="仿宋_GB2312" w:eastAsia="仿宋_GB2312" w:cs="仿宋_GB2312"/>
          <w:b w:val="0"/>
          <w:bCs w:val="0"/>
          <w:sz w:val="32"/>
          <w:szCs w:val="32"/>
          <w:u w:val="none"/>
          <w:lang w:val="en-US" w:eastAsia="zh-CN"/>
        </w:rPr>
      </w:pPr>
      <w:r>
        <w:rPr>
          <w:rFonts w:hint="eastAsia" w:ascii="仿宋_GB2312" w:hAnsi="仿宋_GB2312" w:eastAsia="仿宋_GB2312" w:cs="仿宋_GB2312"/>
          <w:b/>
          <w:bCs/>
          <w:sz w:val="32"/>
          <w:szCs w:val="32"/>
          <w:u w:val="none"/>
          <w:lang w:val="en-US" w:eastAsia="zh-CN"/>
        </w:rPr>
        <w:t>8.查处租赁电动车违规上路行为。</w:t>
      </w:r>
      <w:r>
        <w:rPr>
          <w:rFonts w:hint="eastAsia" w:ascii="仿宋_GB2312" w:hAnsi="仿宋_GB2312" w:eastAsia="仿宋_GB2312" w:cs="仿宋_GB2312"/>
          <w:b w:val="0"/>
          <w:bCs w:val="0"/>
          <w:sz w:val="32"/>
          <w:szCs w:val="32"/>
          <w:u w:val="none"/>
          <w:lang w:val="en-US" w:eastAsia="zh-CN"/>
        </w:rPr>
        <w:t>由市交管部门牵头，重点查处租赁电动车无牌上路、套牌假牌、未按规定登记上牌等交通违法行为，严禁不合规车辆投入运营。建立“查处溯源”工作机制，对问题车辆倒查租赁单位源头责任，督促租赁企业严格落实安全生产主体责任和源头管理义务。</w:t>
      </w:r>
      <w:r>
        <w:rPr>
          <w:rFonts w:hint="eastAsia" w:ascii="黑体" w:hAnsi="黑体" w:eastAsia="黑体" w:cs="黑体"/>
          <w:b w:val="0"/>
          <w:bCs w:val="0"/>
          <w:sz w:val="32"/>
          <w:szCs w:val="32"/>
          <w:u w:val="none"/>
          <w:lang w:val="en-US" w:eastAsia="zh-CN"/>
        </w:rPr>
        <w:t>（责任单位：市交管支队珠山大队、市交管支队南河大队、各街道、经开区）</w:t>
      </w:r>
    </w:p>
    <w:p w14:paraId="23B8727D">
      <w:pPr>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643" w:firstLineChars="200"/>
        <w:textAlignment w:val="auto"/>
        <w:rPr>
          <w:rFonts w:hint="eastAsia" w:ascii="楷体_GB2312" w:hAnsi="楷体_GB2312" w:eastAsia="楷体_GB2312" w:cs="楷体_GB2312"/>
          <w:b/>
          <w:bCs/>
          <w:sz w:val="32"/>
          <w:szCs w:val="32"/>
          <w:u w:val="none"/>
          <w:lang w:val="en-US" w:eastAsia="zh-CN"/>
        </w:rPr>
      </w:pPr>
      <w:r>
        <w:rPr>
          <w:rFonts w:hint="eastAsia" w:ascii="仿宋_GB2312" w:hAnsi="仿宋_GB2312" w:eastAsia="仿宋_GB2312" w:cs="仿宋_GB2312"/>
          <w:b/>
          <w:bCs/>
          <w:sz w:val="32"/>
          <w:szCs w:val="32"/>
          <w:u w:val="none"/>
          <w:lang w:val="en-US" w:eastAsia="zh-CN"/>
        </w:rPr>
        <w:t>9.重点整治三轮电动车。</w:t>
      </w:r>
      <w:r>
        <w:rPr>
          <w:rFonts w:hint="eastAsia" w:ascii="仿宋_GB2312" w:hAnsi="仿宋_GB2312" w:eastAsia="仿宋_GB2312" w:cs="仿宋_GB2312"/>
          <w:b w:val="0"/>
          <w:bCs w:val="0"/>
          <w:sz w:val="32"/>
          <w:szCs w:val="32"/>
          <w:highlight w:val="none"/>
          <w:u w:val="none"/>
          <w:lang w:val="en-US" w:eastAsia="zh-CN"/>
        </w:rPr>
        <w:t>由区市监局牵头，</w:t>
      </w:r>
      <w:r>
        <w:rPr>
          <w:rFonts w:hint="eastAsia" w:ascii="仿宋_GB2312" w:hAnsi="仿宋_GB2312" w:eastAsia="仿宋_GB2312" w:cs="仿宋_GB2312"/>
          <w:b w:val="0"/>
          <w:bCs w:val="0"/>
          <w:sz w:val="32"/>
          <w:szCs w:val="32"/>
          <w:u w:val="none"/>
          <w:lang w:val="en-US" w:eastAsia="zh-CN"/>
        </w:rPr>
        <w:t>市交管部门、区城管局、区交通运输中心、各街道、经开区配合，对三轮租赁电动车开展专项排查整治：一是重点排查违规销售和改装的电动三轮车，以及拐的违规运营、摊贩非法改装车辆；二是重点核查车辆是否存在以“老年代步车”“观光车”等名义规避监管的情形，参照安全技术标准，依法查处违规行为。</w:t>
      </w:r>
      <w:r>
        <w:rPr>
          <w:rFonts w:hint="eastAsia" w:ascii="黑体" w:hAnsi="黑体" w:eastAsia="黑体" w:cs="黑体"/>
          <w:b w:val="0"/>
          <w:bCs w:val="0"/>
          <w:sz w:val="32"/>
          <w:szCs w:val="32"/>
          <w:u w:val="none"/>
          <w:lang w:val="en-US" w:eastAsia="zh-CN"/>
        </w:rPr>
        <w:t>（责任单位：区市监局、市交管支队珠山大队、市交管支队南河大队、区城管局、区交通运输中心、各街道、经开区）</w:t>
      </w:r>
    </w:p>
    <w:p w14:paraId="62F979B2">
      <w:pPr>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643" w:firstLineChars="200"/>
        <w:textAlignment w:val="auto"/>
        <w:rPr>
          <w:rFonts w:hint="default" w:ascii="仿宋_GB2312" w:hAnsi="仿宋_GB2312" w:eastAsia="仿宋_GB2312" w:cs="仿宋_GB2312"/>
          <w:b w:val="0"/>
          <w:bCs w:val="0"/>
          <w:sz w:val="32"/>
          <w:szCs w:val="32"/>
          <w:u w:val="none"/>
          <w:lang w:val="en-US" w:eastAsia="zh-CN"/>
        </w:rPr>
      </w:pPr>
      <w:r>
        <w:rPr>
          <w:rFonts w:hint="eastAsia" w:ascii="楷体_GB2312" w:hAnsi="楷体_GB2312" w:eastAsia="楷体_GB2312" w:cs="楷体_GB2312"/>
          <w:b/>
          <w:bCs/>
          <w:sz w:val="32"/>
          <w:szCs w:val="32"/>
          <w:u w:val="none"/>
          <w:lang w:val="en-US" w:eastAsia="zh-CN"/>
        </w:rPr>
        <w:t>（四）夯实安全监管根基。</w:t>
      </w:r>
      <w:r>
        <w:rPr>
          <w:rFonts w:hint="eastAsia" w:ascii="仿宋_GB2312" w:hAnsi="仿宋_GB2312" w:eastAsia="仿宋_GB2312" w:cs="仿宋_GB2312"/>
          <w:b w:val="0"/>
          <w:bCs w:val="0"/>
          <w:sz w:val="32"/>
          <w:szCs w:val="32"/>
          <w:u w:val="none"/>
          <w:lang w:val="en-US" w:eastAsia="zh-CN"/>
        </w:rPr>
        <w:t>聚焦电动车充电停放、维修动火等关键环节，督促经营主体严格落实安全生产主体责任，构建</w:t>
      </w:r>
      <w:r>
        <w:rPr>
          <w:rFonts w:hint="default" w:ascii="仿宋_GB2312" w:hAnsi="仿宋_GB2312" w:eastAsia="仿宋_GB2312" w:cs="仿宋_GB2312"/>
          <w:b w:val="0"/>
          <w:bCs w:val="0"/>
          <w:sz w:val="32"/>
          <w:szCs w:val="32"/>
          <w:u w:val="none"/>
          <w:lang w:val="en-US" w:eastAsia="zh-CN"/>
        </w:rPr>
        <w:t>源头防范、过程严管、末端处置的闭环安全</w:t>
      </w:r>
      <w:r>
        <w:rPr>
          <w:rFonts w:hint="eastAsia" w:ascii="仿宋_GB2312" w:hAnsi="仿宋_GB2312" w:eastAsia="仿宋_GB2312" w:cs="仿宋_GB2312"/>
          <w:b w:val="0"/>
          <w:bCs w:val="0"/>
          <w:sz w:val="32"/>
          <w:szCs w:val="32"/>
          <w:u w:val="none"/>
          <w:lang w:val="en-US" w:eastAsia="zh-CN"/>
        </w:rPr>
        <w:t>防控体系</w:t>
      </w:r>
      <w:r>
        <w:rPr>
          <w:rFonts w:hint="default" w:ascii="仿宋_GB2312" w:hAnsi="仿宋_GB2312" w:eastAsia="仿宋_GB2312" w:cs="仿宋_GB2312"/>
          <w:b w:val="0"/>
          <w:bCs w:val="0"/>
          <w:sz w:val="32"/>
          <w:szCs w:val="32"/>
          <w:u w:val="none"/>
          <w:lang w:val="en-US" w:eastAsia="zh-CN"/>
        </w:rPr>
        <w:t>。</w:t>
      </w:r>
    </w:p>
    <w:p w14:paraId="5EF93F6E">
      <w:pPr>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643" w:firstLineChars="200"/>
        <w:textAlignment w:val="auto"/>
        <w:rPr>
          <w:rFonts w:hint="eastAsia" w:ascii="仿宋_GB2312" w:hAnsi="仿宋_GB2312" w:eastAsia="仿宋_GB2312" w:cs="仿宋_GB2312"/>
          <w:b w:val="0"/>
          <w:bCs w:val="0"/>
          <w:sz w:val="32"/>
          <w:szCs w:val="32"/>
          <w:u w:val="none"/>
          <w:lang w:val="en-US" w:eastAsia="zh-CN"/>
        </w:rPr>
      </w:pPr>
      <w:r>
        <w:rPr>
          <w:rFonts w:hint="eastAsia" w:ascii="仿宋_GB2312" w:hAnsi="仿宋_GB2312" w:eastAsia="仿宋_GB2312" w:cs="仿宋_GB2312"/>
          <w:b/>
          <w:bCs/>
          <w:kern w:val="2"/>
          <w:sz w:val="32"/>
          <w:szCs w:val="32"/>
          <w:lang w:val="en-US" w:eastAsia="zh-CN" w:bidi="ar-SA"/>
        </w:rPr>
        <w:t>10.</w:t>
      </w:r>
      <w:r>
        <w:rPr>
          <w:rFonts w:hint="eastAsia" w:ascii="仿宋_GB2312" w:hAnsi="仿宋_GB2312" w:eastAsia="仿宋_GB2312" w:cs="仿宋_GB2312"/>
          <w:b/>
          <w:bCs/>
          <w:sz w:val="32"/>
          <w:szCs w:val="32"/>
          <w:u w:val="none"/>
          <w:lang w:val="en-US" w:eastAsia="zh-CN"/>
        </w:rPr>
        <w:t>消防安全管理。</w:t>
      </w:r>
      <w:r>
        <w:rPr>
          <w:rFonts w:hint="eastAsia" w:ascii="仿宋_GB2312" w:hAnsi="仿宋_GB2312" w:eastAsia="仿宋_GB2312" w:cs="仿宋_GB2312"/>
          <w:b w:val="0"/>
          <w:bCs w:val="0"/>
          <w:sz w:val="32"/>
          <w:szCs w:val="32"/>
          <w:u w:val="none"/>
          <w:lang w:val="en-US" w:eastAsia="zh-CN"/>
        </w:rPr>
        <w:t>由区消防救援大队牵头，区住建局、区文旅局、各街道、经开区配合，对电动车经营门店、集中充电点位、住宅小区及民宿等场所开展消防安全排查整治，健全完善消防安全管理制度，依法查处违规占用、堵塞消防通道，未按规定配置消防设施器材，私拉乱接飞线充电、入户入电梯等违法违规行为，对存在重大火灾隐患的场所依法责令停业整改。</w:t>
      </w:r>
      <w:r>
        <w:rPr>
          <w:rFonts w:hint="eastAsia" w:ascii="黑体" w:hAnsi="黑体" w:eastAsia="黑体" w:cs="黑体"/>
          <w:sz w:val="32"/>
          <w:szCs w:val="32"/>
          <w:u w:val="none"/>
          <w:lang w:val="en-US" w:eastAsia="zh-CN"/>
        </w:rPr>
        <w:t>（责任单位：区消防救援大队、区住建局、区文旅局、各街道、经开区）</w:t>
      </w:r>
    </w:p>
    <w:p w14:paraId="5B87A270">
      <w:pPr>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643" w:firstLineChars="200"/>
        <w:textAlignment w:val="auto"/>
        <w:rPr>
          <w:rFonts w:hint="eastAsia" w:ascii="黑体" w:hAnsi="黑体" w:eastAsia="黑体" w:cs="黑体"/>
          <w:sz w:val="32"/>
          <w:szCs w:val="32"/>
          <w:u w:val="none"/>
          <w:lang w:val="en-US" w:eastAsia="zh-CN"/>
        </w:rPr>
      </w:pPr>
      <w:r>
        <w:rPr>
          <w:rFonts w:hint="eastAsia" w:ascii="仿宋_GB2312" w:hAnsi="仿宋_GB2312" w:eastAsia="仿宋_GB2312" w:cs="仿宋_GB2312"/>
          <w:b/>
          <w:bCs/>
          <w:sz w:val="32"/>
          <w:szCs w:val="32"/>
          <w:u w:val="none"/>
          <w:lang w:val="en-US" w:eastAsia="zh-CN"/>
        </w:rPr>
        <w:t>11.动火作业监管。</w:t>
      </w:r>
      <w:r>
        <w:rPr>
          <w:rFonts w:hint="eastAsia" w:ascii="仿宋_GB2312" w:hAnsi="仿宋_GB2312" w:eastAsia="仿宋_GB2312" w:cs="仿宋_GB2312"/>
          <w:b w:val="0"/>
          <w:bCs w:val="0"/>
          <w:sz w:val="32"/>
          <w:szCs w:val="32"/>
          <w:u w:val="none"/>
          <w:lang w:val="en-US" w:eastAsia="zh-CN"/>
        </w:rPr>
        <w:t>由区应急局牵头，联合区住建局、区消防救援大队，对涉及电动车维修、改装的动火作业场所进行安全监管，严格核查作业人员持证上岗情况、现场安全防护措施落实情况，严禁无证作业、违规操作，坚决防范遏制动火作业引发安全事故。</w:t>
      </w:r>
      <w:r>
        <w:rPr>
          <w:rFonts w:hint="eastAsia" w:ascii="黑体" w:hAnsi="黑体" w:eastAsia="黑体" w:cs="黑体"/>
          <w:sz w:val="32"/>
          <w:szCs w:val="32"/>
          <w:u w:val="none"/>
          <w:lang w:val="en-US" w:eastAsia="zh-CN"/>
        </w:rPr>
        <w:t>（责任单位：区应急局、区住建局、区消防救援大队）</w:t>
      </w:r>
    </w:p>
    <w:p w14:paraId="3A7D1221">
      <w:pPr>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643" w:firstLineChars="200"/>
        <w:textAlignment w:val="auto"/>
        <w:rPr>
          <w:rFonts w:hint="eastAsia" w:ascii="黑体" w:hAnsi="黑体" w:eastAsia="黑体" w:cs="黑体"/>
          <w:sz w:val="32"/>
          <w:szCs w:val="32"/>
          <w:u w:val="none"/>
          <w:lang w:val="en-US" w:eastAsia="zh-CN"/>
        </w:rPr>
      </w:pPr>
      <w:r>
        <w:rPr>
          <w:rFonts w:hint="eastAsia" w:ascii="仿宋_GB2312" w:hAnsi="仿宋_GB2312" w:eastAsia="仿宋_GB2312" w:cs="仿宋_GB2312"/>
          <w:b/>
          <w:bCs/>
          <w:sz w:val="32"/>
          <w:szCs w:val="32"/>
          <w:u w:val="none"/>
          <w:lang w:val="en-US" w:eastAsia="zh-CN"/>
        </w:rPr>
        <w:t>12.强化回收处置。</w:t>
      </w:r>
      <w:r>
        <w:rPr>
          <w:rFonts w:hint="eastAsia" w:ascii="仿宋_GB2312" w:hAnsi="仿宋_GB2312" w:eastAsia="仿宋_GB2312" w:cs="仿宋_GB2312"/>
          <w:b w:val="0"/>
          <w:bCs w:val="0"/>
          <w:sz w:val="32"/>
          <w:szCs w:val="32"/>
          <w:u w:val="none"/>
          <w:lang w:val="en-US" w:eastAsia="zh-CN"/>
        </w:rPr>
        <w:t>由区工信局牵头，会同区商务局、珠山生态环境局、区市监局，督促电动车回收企业依法依规开展废旧电池及整车回收处置，严格落实危险废物管理规定，严禁非法拆解、倒卖、违规处置行为，推动构建闭环可追溯的回收利用体系。</w:t>
      </w:r>
      <w:r>
        <w:rPr>
          <w:rFonts w:hint="eastAsia" w:ascii="黑体" w:hAnsi="黑体" w:eastAsia="黑体" w:cs="黑体"/>
          <w:sz w:val="32"/>
          <w:szCs w:val="32"/>
          <w:u w:val="none"/>
          <w:lang w:val="en-US" w:eastAsia="zh-CN"/>
        </w:rPr>
        <w:t>（责任单位：区工信局、区商务局、珠山生态环境局、区市监局）</w:t>
      </w:r>
    </w:p>
    <w:p w14:paraId="7F952ED4">
      <w:pPr>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643" w:firstLineChars="200"/>
        <w:textAlignment w:val="auto"/>
        <w:rPr>
          <w:rFonts w:hint="eastAsia" w:ascii="黑体" w:hAnsi="黑体" w:eastAsia="黑体" w:cs="黑体"/>
          <w:sz w:val="32"/>
          <w:szCs w:val="32"/>
          <w:u w:val="none"/>
          <w:lang w:val="en-US" w:eastAsia="zh-CN"/>
        </w:rPr>
      </w:pPr>
      <w:r>
        <w:rPr>
          <w:rFonts w:hint="eastAsia" w:ascii="仿宋_GB2312" w:hAnsi="仿宋_GB2312" w:eastAsia="仿宋_GB2312" w:cs="仿宋_GB2312"/>
          <w:b/>
          <w:bCs/>
          <w:sz w:val="32"/>
          <w:szCs w:val="32"/>
          <w:u w:val="none"/>
          <w:lang w:val="en-US" w:eastAsia="zh-CN"/>
        </w:rPr>
        <w:t>13.配套基础设施。</w:t>
      </w:r>
      <w:r>
        <w:rPr>
          <w:rFonts w:hint="eastAsia" w:ascii="仿宋_GB2312" w:hAnsi="仿宋_GB2312" w:eastAsia="仿宋_GB2312" w:cs="仿宋_GB2312"/>
          <w:b w:val="0"/>
          <w:bCs w:val="0"/>
          <w:sz w:val="32"/>
          <w:szCs w:val="32"/>
          <w:u w:val="none"/>
          <w:lang w:val="en-US" w:eastAsia="zh-CN"/>
        </w:rPr>
        <w:t>由区住建局牵头，区城管局、各街道、经开区配合，统筹推进电动车集中停放点、规范充电区规划建设，在主次干道、商业街区、居民小区等区域科学增设电动车停车泊位和智能充电设施，补齐配套设施短板，引导群众规范停放、安全充电，从硬件层面支撑管理秩序提升。</w:t>
      </w:r>
      <w:r>
        <w:rPr>
          <w:rFonts w:hint="eastAsia" w:ascii="黑体" w:hAnsi="黑体" w:eastAsia="黑体" w:cs="黑体"/>
          <w:sz w:val="32"/>
          <w:szCs w:val="32"/>
          <w:u w:val="none"/>
          <w:lang w:val="en-US" w:eastAsia="zh-CN"/>
        </w:rPr>
        <w:t>（责任单位：区住建局、区城管局、各街道、经开区）</w:t>
      </w:r>
    </w:p>
    <w:p w14:paraId="417F577C">
      <w:pPr>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643" w:firstLineChars="200"/>
        <w:textAlignment w:val="auto"/>
        <w:rPr>
          <w:rFonts w:hint="eastAsia" w:ascii="楷体_GB2312" w:hAnsi="楷体_GB2312" w:eastAsia="楷体_GB2312" w:cs="楷体_GB2312"/>
          <w:b/>
          <w:bCs/>
          <w:sz w:val="32"/>
          <w:szCs w:val="32"/>
          <w:u w:val="none"/>
          <w:lang w:val="en-US" w:eastAsia="zh-CN"/>
        </w:rPr>
      </w:pPr>
      <w:r>
        <w:rPr>
          <w:rFonts w:hint="eastAsia" w:ascii="楷体_GB2312" w:hAnsi="楷体_GB2312" w:eastAsia="楷体_GB2312" w:cs="楷体_GB2312"/>
          <w:b/>
          <w:bCs/>
          <w:sz w:val="32"/>
          <w:szCs w:val="32"/>
          <w:u w:val="none"/>
          <w:lang w:val="en-US" w:eastAsia="zh-CN"/>
        </w:rPr>
        <w:t>（五）健全常态长效机制。</w:t>
      </w:r>
      <w:r>
        <w:rPr>
          <w:rFonts w:hint="eastAsia" w:ascii="仿宋_GB2312" w:hAnsi="仿宋_GB2312" w:eastAsia="仿宋_GB2312" w:cs="仿宋_GB2312"/>
          <w:b w:val="0"/>
          <w:bCs w:val="0"/>
          <w:sz w:val="32"/>
          <w:szCs w:val="32"/>
          <w:u w:val="none"/>
          <w:lang w:val="en-US" w:eastAsia="zh-CN"/>
        </w:rPr>
        <w:t>完善宣传教育与法治引导体系建设，建立多部门信息互通、会商研判、联合执法的常态化工作机制，推动整治工作常态长效运行。</w:t>
      </w:r>
    </w:p>
    <w:p w14:paraId="5EB139B9">
      <w:pPr>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643" w:firstLineChars="200"/>
        <w:textAlignment w:val="auto"/>
        <w:rPr>
          <w:rFonts w:hint="eastAsia" w:ascii="仿宋_GB2312" w:hAnsi="仿宋_GB2312" w:eastAsia="仿宋_GB2312" w:cs="仿宋_GB2312"/>
          <w:b w:val="0"/>
          <w:bCs w:val="0"/>
          <w:sz w:val="32"/>
          <w:szCs w:val="32"/>
          <w:u w:val="none"/>
          <w:lang w:val="en-US" w:eastAsia="zh-CN"/>
        </w:rPr>
      </w:pPr>
      <w:r>
        <w:rPr>
          <w:rFonts w:hint="eastAsia" w:ascii="仿宋_GB2312" w:hAnsi="仿宋_GB2312" w:eastAsia="仿宋_GB2312" w:cs="仿宋_GB2312"/>
          <w:b/>
          <w:bCs/>
          <w:sz w:val="32"/>
          <w:szCs w:val="32"/>
          <w:u w:val="none"/>
          <w:lang w:val="en-US" w:eastAsia="zh-CN"/>
        </w:rPr>
        <w:t>14.加强文明劝导。</w:t>
      </w:r>
      <w:r>
        <w:rPr>
          <w:rFonts w:hint="eastAsia" w:ascii="仿宋_GB2312" w:hAnsi="仿宋_GB2312" w:eastAsia="仿宋_GB2312" w:cs="仿宋_GB2312"/>
          <w:b w:val="0"/>
          <w:bCs w:val="0"/>
          <w:sz w:val="32"/>
          <w:szCs w:val="32"/>
          <w:u w:val="none"/>
          <w:lang w:val="en-US" w:eastAsia="zh-CN"/>
        </w:rPr>
        <w:t>各成员单位广泛参与，深入开展文明劝导“进小区、进机关、进单位、进企业”活动，对电动车乱停乱放、闯红灯、不戴头盔等不文明行为开展常态化文明劝导，引导群众自觉抵制违规电动车，主动遵守通行、停放、充电相关规定，及时劝阻身边不文明交通行为，营造全民参与整治的良好氛围。</w:t>
      </w:r>
      <w:r>
        <w:rPr>
          <w:rFonts w:hint="eastAsia" w:ascii="黑体" w:hAnsi="黑体" w:eastAsia="黑体" w:cs="黑体"/>
          <w:sz w:val="32"/>
          <w:szCs w:val="32"/>
          <w:u w:val="none"/>
          <w:lang w:val="en-US" w:eastAsia="zh-CN"/>
        </w:rPr>
        <w:t>（责任单位：各成员单位）</w:t>
      </w:r>
    </w:p>
    <w:p w14:paraId="7FF36AE2">
      <w:pPr>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643" w:firstLineChars="200"/>
        <w:textAlignment w:val="auto"/>
        <w:rPr>
          <w:rFonts w:hint="eastAsia" w:ascii="仿宋_GB2312" w:hAnsi="仿宋_GB2312" w:eastAsia="仿宋_GB2312" w:cs="仿宋_GB2312"/>
          <w:b w:val="0"/>
          <w:bCs w:val="0"/>
          <w:sz w:val="32"/>
          <w:szCs w:val="32"/>
          <w:u w:val="none"/>
          <w:lang w:val="en-US" w:eastAsia="zh-CN"/>
        </w:rPr>
      </w:pPr>
      <w:r>
        <w:rPr>
          <w:rFonts w:hint="eastAsia" w:ascii="仿宋_GB2312" w:hAnsi="仿宋_GB2312" w:eastAsia="仿宋_GB2312" w:cs="仿宋_GB2312"/>
          <w:b/>
          <w:bCs/>
          <w:sz w:val="32"/>
          <w:szCs w:val="32"/>
          <w:u w:val="none"/>
          <w:lang w:val="en-US" w:eastAsia="zh-CN"/>
        </w:rPr>
        <w:t>15.加大法治宣传。</w:t>
      </w:r>
      <w:r>
        <w:rPr>
          <w:rFonts w:hint="eastAsia" w:ascii="仿宋_GB2312" w:hAnsi="仿宋_GB2312" w:eastAsia="仿宋_GB2312" w:cs="仿宋_GB2312"/>
          <w:b w:val="0"/>
          <w:bCs w:val="0"/>
          <w:sz w:val="32"/>
          <w:szCs w:val="32"/>
          <w:u w:val="none"/>
          <w:lang w:val="en-US" w:eastAsia="zh-CN"/>
        </w:rPr>
        <w:t>严格落实“谁执法谁普法、谁主管谁普法、谁服务谁普法”原则，各成员单位结合自身职能职责，坚持“线上+线下”协同推进：线上依托抖音、微信公众号等新媒体平台开设法治宣传专栏</w:t>
      </w:r>
      <w:r>
        <w:rPr>
          <w:rFonts w:hint="eastAsia" w:ascii="仿宋_GB2312" w:hAnsi="仿宋_GB2312" w:eastAsia="仿宋_GB2312" w:cs="仿宋_GB2312"/>
          <w:b w:val="0"/>
          <w:bCs w:val="0"/>
          <w:sz w:val="32"/>
          <w:szCs w:val="32"/>
          <w:u w:val="none"/>
          <w:lang w:val="en-US" w:eastAsia="zh-CN"/>
        </w:rPr>
        <w:fldChar w:fldCharType="begin"/>
      </w:r>
      <w:r>
        <w:rPr>
          <w:rFonts w:hint="eastAsia" w:ascii="仿宋_GB2312" w:hAnsi="仿宋_GB2312" w:eastAsia="仿宋_GB2312" w:cs="仿宋_GB2312"/>
          <w:b w:val="0"/>
          <w:bCs w:val="0"/>
          <w:sz w:val="32"/>
          <w:szCs w:val="32"/>
          <w:u w:val="none"/>
          <w:lang w:val="en-US" w:eastAsia="zh-CN"/>
        </w:rPr>
        <w:instrText xml:space="preserve"> HYPERLINK "https://pf.ah.gov.cn/4148191/48052828.html" \t "https://chat.deepseek.com/a/chat/s/_blank" </w:instrText>
      </w:r>
      <w:r>
        <w:rPr>
          <w:rFonts w:hint="eastAsia" w:ascii="仿宋_GB2312" w:hAnsi="仿宋_GB2312" w:eastAsia="仿宋_GB2312" w:cs="仿宋_GB2312"/>
          <w:b w:val="0"/>
          <w:bCs w:val="0"/>
          <w:sz w:val="32"/>
          <w:szCs w:val="32"/>
          <w:u w:val="none"/>
          <w:lang w:val="en-US" w:eastAsia="zh-CN"/>
        </w:rPr>
        <w:fldChar w:fldCharType="separate"/>
      </w:r>
      <w:r>
        <w:rPr>
          <w:rFonts w:hint="eastAsia" w:ascii="仿宋_GB2312" w:hAnsi="仿宋_GB2312" w:eastAsia="仿宋_GB2312" w:cs="仿宋_GB2312"/>
          <w:b w:val="0"/>
          <w:bCs w:val="0"/>
          <w:sz w:val="32"/>
          <w:szCs w:val="32"/>
          <w:u w:val="none"/>
          <w:lang w:val="en-US" w:eastAsia="zh-CN"/>
        </w:rPr>
        <w:fldChar w:fldCharType="end"/>
      </w:r>
      <w:r>
        <w:rPr>
          <w:rFonts w:hint="eastAsia" w:ascii="仿宋_GB2312" w:hAnsi="仿宋_GB2312" w:eastAsia="仿宋_GB2312" w:cs="仿宋_GB2312"/>
          <w:b w:val="0"/>
          <w:bCs w:val="0"/>
          <w:sz w:val="32"/>
          <w:szCs w:val="32"/>
          <w:u w:val="none"/>
          <w:lang w:val="en-US" w:eastAsia="zh-CN"/>
        </w:rPr>
        <w:t>，定期发布政策解读、典型案例和安全提示；线下依托社区宣传栏、电子屏、主题宣传活动等载体开展宣传，增强群众法治意识和安全意识，着力营造全民支持、社会共治的良好治理氛围。</w:t>
      </w:r>
      <w:r>
        <w:rPr>
          <w:rFonts w:hint="eastAsia" w:ascii="黑体" w:hAnsi="黑体" w:eastAsia="黑体" w:cs="黑体"/>
          <w:sz w:val="32"/>
          <w:szCs w:val="32"/>
          <w:u w:val="none"/>
          <w:lang w:val="en-US" w:eastAsia="zh-CN"/>
        </w:rPr>
        <w:t xml:space="preserve">（责任单位：各成员单位） </w:t>
      </w:r>
      <w:r>
        <w:rPr>
          <w:rFonts w:hint="eastAsia" w:ascii="仿宋_GB2312" w:hAnsi="仿宋_GB2312" w:eastAsia="仿宋_GB2312" w:cs="仿宋_GB2312"/>
          <w:b w:val="0"/>
          <w:bCs w:val="0"/>
          <w:sz w:val="32"/>
          <w:szCs w:val="32"/>
          <w:u w:val="none"/>
          <w:lang w:val="en-US" w:eastAsia="zh-CN"/>
        </w:rPr>
        <w:t xml:space="preserve"> </w:t>
      </w:r>
    </w:p>
    <w:p w14:paraId="6AAF6DB1">
      <w:pPr>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643" w:firstLineChars="200"/>
        <w:textAlignment w:val="auto"/>
        <w:rPr>
          <w:rFonts w:hint="eastAsia" w:ascii="仿宋_GB2312" w:hAnsi="仿宋_GB2312" w:eastAsia="仿宋_GB2312" w:cs="仿宋_GB2312"/>
          <w:b w:val="0"/>
          <w:bCs w:val="0"/>
          <w:sz w:val="32"/>
          <w:szCs w:val="32"/>
          <w:u w:val="none"/>
          <w:lang w:val="en-US" w:eastAsia="zh-CN"/>
        </w:rPr>
      </w:pPr>
      <w:r>
        <w:rPr>
          <w:rFonts w:hint="eastAsia" w:ascii="仿宋_GB2312" w:hAnsi="仿宋_GB2312" w:eastAsia="仿宋_GB2312" w:cs="仿宋_GB2312"/>
          <w:b/>
          <w:bCs/>
          <w:sz w:val="32"/>
          <w:szCs w:val="32"/>
          <w:u w:val="none"/>
          <w:lang w:val="en-US" w:eastAsia="zh-CN"/>
        </w:rPr>
        <w:t>16.完善运行机制。</w:t>
      </w:r>
      <w:r>
        <w:rPr>
          <w:rFonts w:hint="eastAsia" w:ascii="仿宋_GB2312" w:hAnsi="仿宋_GB2312" w:eastAsia="仿宋_GB2312" w:cs="仿宋_GB2312"/>
          <w:sz w:val="32"/>
          <w:szCs w:val="32"/>
          <w:u w:val="none"/>
          <w:lang w:val="en-US" w:eastAsia="zh-CN"/>
        </w:rPr>
        <w:t>由区市监局牵头，建立电动车全链条管理联席会议制度，定期研判风险隐患，通报工作进展，安排部署重点任务。及时梳理经验做法，逐步健全完善“综合治理、联合执法、数据共享”工作运行机制，为精准执法和动态监管提供体制机制支撑。</w:t>
      </w:r>
      <w:r>
        <w:rPr>
          <w:rFonts w:hint="eastAsia" w:ascii="黑体" w:hAnsi="黑体" w:eastAsia="黑体" w:cs="黑体"/>
          <w:sz w:val="32"/>
          <w:szCs w:val="32"/>
          <w:u w:val="none"/>
          <w:lang w:val="en-US" w:eastAsia="zh-CN"/>
        </w:rPr>
        <w:t>（责任单位：区市监局、各成员单位）</w:t>
      </w:r>
    </w:p>
    <w:p w14:paraId="54A233F3">
      <w:pPr>
        <w:keepNext w:val="0"/>
        <w:keepLines w:val="0"/>
        <w:pageBreakBefore w:val="0"/>
        <w:widowControl w:val="0"/>
        <w:numPr>
          <w:ilvl w:val="0"/>
          <w:numId w:val="0"/>
        </w:numPr>
        <w:kinsoku/>
        <w:wordWrap/>
        <w:overflowPunct/>
        <w:topLinePunct w:val="0"/>
        <w:autoSpaceDE/>
        <w:autoSpaceDN/>
        <w:bidi w:val="0"/>
        <w:adjustRightInd/>
        <w:snapToGrid/>
        <w:spacing w:line="579" w:lineRule="exact"/>
        <w:ind w:firstLine="640" w:firstLineChars="200"/>
        <w:textAlignment w:val="auto"/>
        <w:rPr>
          <w:rFonts w:hint="eastAsia" w:ascii="黑体" w:hAnsi="黑体" w:eastAsia="黑体" w:cs="黑体"/>
          <w:b w:val="0"/>
          <w:bCs w:val="0"/>
          <w:sz w:val="32"/>
          <w:szCs w:val="32"/>
          <w:u w:val="none"/>
        </w:rPr>
      </w:pPr>
      <w:r>
        <w:rPr>
          <w:rFonts w:hint="eastAsia" w:ascii="黑体" w:hAnsi="黑体" w:eastAsia="黑体" w:cs="黑体"/>
          <w:b w:val="0"/>
          <w:bCs w:val="0"/>
          <w:sz w:val="32"/>
          <w:szCs w:val="32"/>
          <w:u w:val="none"/>
          <w:lang w:val="en-US" w:eastAsia="zh-CN"/>
        </w:rPr>
        <w:t>三</w:t>
      </w:r>
      <w:r>
        <w:rPr>
          <w:rFonts w:hint="eastAsia" w:ascii="黑体" w:hAnsi="黑体" w:eastAsia="黑体" w:cs="黑体"/>
          <w:b w:val="0"/>
          <w:bCs w:val="0"/>
          <w:sz w:val="32"/>
          <w:szCs w:val="32"/>
          <w:u w:val="none"/>
          <w:lang w:eastAsia="zh-CN"/>
        </w:rPr>
        <w:t>、</w:t>
      </w:r>
      <w:r>
        <w:rPr>
          <w:rFonts w:hint="eastAsia" w:ascii="黑体" w:hAnsi="黑体" w:eastAsia="黑体" w:cs="黑体"/>
          <w:b w:val="0"/>
          <w:bCs w:val="0"/>
          <w:sz w:val="32"/>
          <w:szCs w:val="32"/>
          <w:u w:val="none"/>
        </w:rPr>
        <w:t>工作要求</w:t>
      </w:r>
    </w:p>
    <w:p w14:paraId="00D3A7C8">
      <w:pPr>
        <w:keepNext w:val="0"/>
        <w:keepLines w:val="0"/>
        <w:pageBreakBefore w:val="0"/>
        <w:widowControl w:val="0"/>
        <w:kinsoku/>
        <w:wordWrap/>
        <w:overflowPunct/>
        <w:topLinePunct w:val="0"/>
        <w:autoSpaceDE/>
        <w:autoSpaceDN/>
        <w:bidi w:val="0"/>
        <w:adjustRightInd/>
        <w:snapToGrid/>
        <w:spacing w:line="579" w:lineRule="exact"/>
        <w:ind w:firstLine="643" w:firstLineChars="200"/>
        <w:textAlignment w:val="auto"/>
        <w:rPr>
          <w:rFonts w:hint="eastAsia" w:ascii="仿宋_GB2312" w:hAnsi="仿宋_GB2312" w:eastAsia="仿宋_GB2312" w:cs="仿宋_GB2312"/>
          <w:sz w:val="32"/>
          <w:szCs w:val="32"/>
          <w:u w:val="none"/>
          <w:lang w:val="en-US" w:eastAsia="zh-CN"/>
        </w:rPr>
      </w:pPr>
      <w:r>
        <w:rPr>
          <w:rFonts w:hint="eastAsia" w:ascii="楷体_GB2312" w:hAnsi="楷体_GB2312" w:eastAsia="楷体_GB2312" w:cs="楷体_GB2312"/>
          <w:b/>
          <w:bCs/>
          <w:sz w:val="32"/>
          <w:szCs w:val="32"/>
          <w:u w:val="none"/>
          <w:lang w:val="en-US" w:eastAsia="zh-CN"/>
        </w:rPr>
        <w:t>（一）加强组织领导。</w:t>
      </w:r>
      <w:r>
        <w:rPr>
          <w:rFonts w:hint="eastAsia" w:ascii="仿宋_GB2312" w:hAnsi="仿宋_GB2312" w:eastAsia="仿宋_GB2312" w:cs="仿宋_GB2312"/>
          <w:sz w:val="32"/>
          <w:szCs w:val="32"/>
          <w:u w:val="none"/>
          <w:lang w:val="en-US" w:eastAsia="zh-CN"/>
        </w:rPr>
        <w:t>成立由区政府主要领导任专班总召集人，区政府相关领导任专班召集人，区市监局为专班牵头单位，各相关职能部门、各街道、经开区主要负责同志为珠山区电动车规范整治工作专班成员，确保各项整治任务落到实处。</w:t>
      </w:r>
    </w:p>
    <w:p w14:paraId="40A833A7">
      <w:pPr>
        <w:keepNext w:val="0"/>
        <w:keepLines w:val="0"/>
        <w:pageBreakBefore w:val="0"/>
        <w:widowControl w:val="0"/>
        <w:kinsoku/>
        <w:wordWrap/>
        <w:overflowPunct/>
        <w:topLinePunct w:val="0"/>
        <w:autoSpaceDE/>
        <w:autoSpaceDN/>
        <w:bidi w:val="0"/>
        <w:adjustRightInd/>
        <w:snapToGrid/>
        <w:spacing w:line="579" w:lineRule="exact"/>
        <w:ind w:firstLine="643" w:firstLineChars="200"/>
        <w:textAlignment w:val="auto"/>
        <w:rPr>
          <w:rFonts w:hint="eastAsia" w:ascii="仿宋_GB2312" w:hAnsi="仿宋_GB2312" w:eastAsia="仿宋_GB2312" w:cs="仿宋_GB2312"/>
          <w:sz w:val="32"/>
          <w:szCs w:val="32"/>
          <w:u w:val="none"/>
          <w:lang w:val="en-US" w:eastAsia="zh-CN"/>
        </w:rPr>
      </w:pPr>
      <w:r>
        <w:rPr>
          <w:rFonts w:hint="eastAsia" w:ascii="楷体_GB2312" w:hAnsi="楷体_GB2312" w:eastAsia="楷体_GB2312" w:cs="楷体_GB2312"/>
          <w:b/>
          <w:bCs/>
          <w:sz w:val="32"/>
          <w:szCs w:val="32"/>
          <w:u w:val="none"/>
          <w:lang w:val="en-US" w:eastAsia="zh-CN"/>
        </w:rPr>
        <w:t>（二）压紧压实责任。</w:t>
      </w:r>
      <w:r>
        <w:rPr>
          <w:rFonts w:hint="eastAsia" w:ascii="仿宋_GB2312" w:hAnsi="仿宋_GB2312" w:eastAsia="仿宋_GB2312" w:cs="仿宋_GB2312"/>
          <w:sz w:val="32"/>
          <w:szCs w:val="32"/>
          <w:u w:val="none"/>
          <w:lang w:val="en-US" w:eastAsia="zh-CN"/>
        </w:rPr>
        <w:t>按照“谁主管、谁负责”原则，各职能部门履行行业主管职责和包片挂点责任，各街道、经开区履行属地管理职责，各单位、各部门要加强协作配合，形成齐抓共管、协同高效的工作格局；工作专班要加强统筹协调和督导检查，及时协调处置整治过程中难点堵点问题及困难矛盾，保障全链条管理机制稳固运行。</w:t>
      </w:r>
    </w:p>
    <w:p w14:paraId="7B606807">
      <w:pPr>
        <w:keepNext w:val="0"/>
        <w:keepLines w:val="0"/>
        <w:pageBreakBefore w:val="0"/>
        <w:widowControl w:val="0"/>
        <w:kinsoku/>
        <w:wordWrap/>
        <w:overflowPunct/>
        <w:topLinePunct w:val="0"/>
        <w:autoSpaceDE/>
        <w:autoSpaceDN/>
        <w:bidi w:val="0"/>
        <w:adjustRightInd/>
        <w:snapToGrid/>
        <w:spacing w:line="579" w:lineRule="exact"/>
        <w:ind w:firstLine="643" w:firstLineChars="200"/>
        <w:textAlignment w:val="auto"/>
        <w:rPr>
          <w:rFonts w:hint="eastAsia" w:ascii="仿宋_GB2312" w:hAnsi="仿宋_GB2312" w:eastAsia="仿宋_GB2312" w:cs="仿宋_GB2312"/>
          <w:sz w:val="32"/>
          <w:szCs w:val="32"/>
          <w:u w:val="none"/>
        </w:rPr>
      </w:pPr>
      <w:r>
        <w:rPr>
          <w:rFonts w:hint="eastAsia" w:ascii="楷体_GB2312" w:hAnsi="楷体_GB2312" w:eastAsia="楷体_GB2312" w:cs="楷体_GB2312"/>
          <w:b/>
          <w:bCs/>
          <w:sz w:val="32"/>
          <w:szCs w:val="32"/>
          <w:u w:val="none"/>
          <w:lang w:val="en-US" w:eastAsia="zh-CN"/>
        </w:rPr>
        <w:t>（三）坚持依法行政。</w:t>
      </w:r>
      <w:r>
        <w:rPr>
          <w:rFonts w:hint="eastAsia" w:ascii="仿宋_GB2312" w:hAnsi="仿宋_GB2312" w:eastAsia="仿宋_GB2312" w:cs="仿宋_GB2312"/>
          <w:sz w:val="32"/>
          <w:szCs w:val="32"/>
          <w:u w:val="none"/>
        </w:rPr>
        <w:t>严格按照法定权限和程序开展执法工作，规范执法行为，提高执法公信力</w:t>
      </w:r>
      <w:r>
        <w:rPr>
          <w:rFonts w:hint="eastAsia" w:ascii="仿宋_GB2312" w:hAnsi="仿宋_GB2312" w:eastAsia="仿宋_GB2312" w:cs="仿宋_GB2312"/>
          <w:sz w:val="32"/>
          <w:szCs w:val="32"/>
          <w:u w:val="none"/>
          <w:lang w:val="en-US" w:eastAsia="zh-CN"/>
        </w:rPr>
        <w:t>；</w:t>
      </w:r>
      <w:r>
        <w:rPr>
          <w:rFonts w:hint="eastAsia" w:ascii="仿宋_GB2312" w:hAnsi="仿宋_GB2312" w:eastAsia="仿宋_GB2312" w:cs="仿宋_GB2312"/>
          <w:sz w:val="32"/>
          <w:szCs w:val="32"/>
          <w:u w:val="none"/>
        </w:rPr>
        <w:t>坚持处罚与教育相结合，做到宽严相济、过罚相当</w:t>
      </w:r>
      <w:r>
        <w:rPr>
          <w:rFonts w:hint="eastAsia" w:ascii="仿宋_GB2312" w:hAnsi="仿宋_GB2312" w:eastAsia="仿宋_GB2312" w:cs="仿宋_GB2312"/>
          <w:sz w:val="32"/>
          <w:szCs w:val="32"/>
          <w:u w:val="none"/>
          <w:lang w:val="en-US" w:eastAsia="zh-CN"/>
        </w:rPr>
        <w:t>；</w:t>
      </w:r>
      <w:r>
        <w:rPr>
          <w:rFonts w:hint="eastAsia" w:ascii="仿宋_GB2312" w:hAnsi="仿宋_GB2312" w:eastAsia="仿宋_GB2312" w:cs="仿宋_GB2312"/>
          <w:sz w:val="32"/>
          <w:szCs w:val="32"/>
          <w:u w:val="none"/>
        </w:rPr>
        <w:t>注重执法方式方法，做好群众工作，争取理解支持，防止简单粗暴执法引发矛盾纠纷。</w:t>
      </w:r>
    </w:p>
    <w:p w14:paraId="6F56C379">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_GB2312" w:hAnsi="仿宋_GB2312" w:eastAsia="仿宋_GB2312" w:cs="仿宋_GB2312"/>
          <w:sz w:val="32"/>
          <w:szCs w:val="32"/>
          <w:u w:val="none"/>
        </w:rPr>
      </w:pPr>
    </w:p>
    <w:p w14:paraId="431CC0FD">
      <w:pPr>
        <w:keepNext w:val="0"/>
        <w:keepLines w:val="0"/>
        <w:pageBreakBefore w:val="0"/>
        <w:widowControl w:val="0"/>
        <w:numPr>
          <w:ilvl w:val="0"/>
          <w:numId w:val="0"/>
        </w:numPr>
        <w:kinsoku/>
        <w:wordWrap w:val="0"/>
        <w:overflowPunct/>
        <w:topLinePunct w:val="0"/>
        <w:autoSpaceDE/>
        <w:autoSpaceDN/>
        <w:bidi w:val="0"/>
        <w:adjustRightInd/>
        <w:snapToGrid/>
        <w:spacing w:line="579" w:lineRule="exact"/>
        <w:jc w:val="right"/>
        <w:textAlignment w:val="auto"/>
        <w:rPr>
          <w:rFonts w:hint="eastAsia" w:ascii="仿宋_GB2312" w:hAnsi="仿宋_GB2312" w:eastAsia="仿宋_GB2312" w:cs="仿宋_GB2312"/>
          <w:sz w:val="32"/>
          <w:szCs w:val="32"/>
          <w:u w:val="none"/>
          <w:lang w:val="en-US" w:eastAsia="zh-CN"/>
        </w:rPr>
      </w:pPr>
    </w:p>
    <w:p w14:paraId="2E855719">
      <w:pPr>
        <w:keepNext w:val="0"/>
        <w:keepLines w:val="0"/>
        <w:pageBreakBefore w:val="0"/>
        <w:widowControl w:val="0"/>
        <w:numPr>
          <w:ilvl w:val="0"/>
          <w:numId w:val="0"/>
        </w:numPr>
        <w:kinsoku/>
        <w:wordWrap w:val="0"/>
        <w:overflowPunct/>
        <w:topLinePunct w:val="0"/>
        <w:autoSpaceDE/>
        <w:autoSpaceDN/>
        <w:bidi w:val="0"/>
        <w:adjustRightInd/>
        <w:snapToGrid/>
        <w:spacing w:line="579" w:lineRule="exact"/>
        <w:jc w:val="right"/>
        <w:textAlignment w:val="auto"/>
        <w:rPr>
          <w:rFonts w:hint="default" w:ascii="仿宋_GB2312" w:hAnsi="仿宋_GB2312" w:eastAsia="仿宋_GB2312" w:cs="仿宋_GB2312"/>
          <w:sz w:val="32"/>
          <w:szCs w:val="32"/>
          <w:u w:val="none"/>
          <w:lang w:val="en-US" w:eastAsia="zh-CN"/>
        </w:rPr>
      </w:pPr>
      <w:bookmarkStart w:id="1" w:name="_GoBack"/>
      <w:r>
        <w:rPr>
          <w:rFonts w:hint="eastAsia" w:ascii="仿宋_GB2312" w:hAnsi="仿宋_GB2312" w:eastAsia="仿宋_GB2312" w:cs="仿宋_GB2312"/>
          <w:sz w:val="32"/>
          <w:szCs w:val="32"/>
          <w:u w:val="none"/>
          <w:lang w:val="en-US" w:eastAsia="zh-CN"/>
        </w:rPr>
        <w:t xml:space="preserve">区电动车规范整治工作专班    </w:t>
      </w:r>
    </w:p>
    <w:p w14:paraId="28818C9C">
      <w:pPr>
        <w:keepNext w:val="0"/>
        <w:keepLines w:val="0"/>
        <w:pageBreakBefore w:val="0"/>
        <w:widowControl w:val="0"/>
        <w:numPr>
          <w:ilvl w:val="0"/>
          <w:numId w:val="0"/>
        </w:numPr>
        <w:kinsoku/>
        <w:wordWrap w:val="0"/>
        <w:overflowPunct/>
        <w:topLinePunct w:val="0"/>
        <w:autoSpaceDE/>
        <w:autoSpaceDN/>
        <w:bidi w:val="0"/>
        <w:adjustRightInd/>
        <w:snapToGrid/>
        <w:spacing w:line="579" w:lineRule="exact"/>
        <w:jc w:val="right"/>
        <w:textAlignment w:val="auto"/>
        <w:rPr>
          <w:rFonts w:hint="default" w:ascii="黑体" w:hAnsi="黑体" w:eastAsia="黑体" w:cs="黑体"/>
          <w:sz w:val="32"/>
          <w:szCs w:val="32"/>
          <w:u w:val="none"/>
          <w:lang w:val="en-US" w:eastAsia="zh-CN"/>
        </w:rPr>
        <w:sectPr>
          <w:footerReference r:id="rId3" w:type="default"/>
          <w:pgSz w:w="11906" w:h="16838"/>
          <w:pgMar w:top="2098" w:right="1474" w:bottom="1984" w:left="1587" w:header="851" w:footer="992" w:gutter="0"/>
          <w:pgNumType w:fmt="decimal"/>
          <w:cols w:space="425" w:num="1"/>
          <w:docGrid w:type="lines" w:linePitch="312" w:charSpace="0"/>
        </w:sectPr>
      </w:pPr>
      <w:r>
        <w:rPr>
          <w:rFonts w:hint="eastAsia" w:ascii="仿宋_GB2312" w:hAnsi="仿宋_GB2312" w:eastAsia="仿宋_GB2312" w:cs="仿宋_GB2312"/>
          <w:sz w:val="32"/>
          <w:szCs w:val="32"/>
          <w:u w:val="none"/>
          <w:lang w:val="en-US" w:eastAsia="zh-CN"/>
        </w:rPr>
        <w:t>2026年8月5日</w:t>
      </w:r>
      <w:bookmarkEnd w:id="1"/>
      <w:r>
        <w:rPr>
          <w:rFonts w:hint="eastAsia" w:ascii="仿宋_GB2312" w:hAnsi="仿宋_GB2312" w:eastAsia="仿宋_GB2312" w:cs="仿宋_GB2312"/>
          <w:sz w:val="32"/>
          <w:szCs w:val="32"/>
          <w:u w:val="none"/>
          <w:lang w:val="en-US" w:eastAsia="zh-CN"/>
        </w:rPr>
        <w:t xml:space="preserve">       </w:t>
      </w:r>
    </w:p>
    <w:bookmarkEnd w:id="0"/>
    <w:p w14:paraId="600700ED">
      <w:pPr>
        <w:keepNext w:val="0"/>
        <w:keepLines w:val="0"/>
        <w:pageBreakBefore w:val="0"/>
        <w:widowControl w:val="0"/>
        <w:kinsoku/>
        <w:wordWrap/>
        <w:overflowPunct/>
        <w:topLinePunct w:val="0"/>
        <w:autoSpaceDE/>
        <w:autoSpaceDN/>
        <w:bidi w:val="0"/>
        <w:adjustRightInd/>
        <w:snapToGrid/>
        <w:spacing w:line="579" w:lineRule="exact"/>
        <w:jc w:val="both"/>
        <w:textAlignment w:val="auto"/>
        <w:rPr>
          <w:rFonts w:hint="eastAsia" w:ascii="仿宋_GB2312" w:hAnsi="仿宋_GB2312" w:eastAsia="仿宋_GB2312" w:cs="仿宋_GB2312"/>
          <w:sz w:val="32"/>
          <w:szCs w:val="32"/>
          <w:u w:val="none"/>
          <w:lang w:val="en-US" w:eastAsia="zh-CN"/>
        </w:rPr>
      </w:pPr>
    </w:p>
    <w:sectPr>
      <w:pgSz w:w="11906" w:h="16838"/>
      <w:pgMar w:top="2098" w:right="1474" w:bottom="1984"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6AAFD5B-CA64-4594-B66C-768AF1E1793B}"/>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auto"/>
    <w:pitch w:val="default"/>
    <w:sig w:usb0="00000001" w:usb1="080E0000" w:usb2="00000000" w:usb3="00000000" w:csb0="00040000" w:csb1="00000000"/>
    <w:embedRegular r:id="rId2" w:fontKey="{A1AAB833-7B7B-48FF-A184-6CB905A7CAA5}"/>
  </w:font>
  <w:font w:name="方正小标宋简体">
    <w:panose1 w:val="02000000000000000000"/>
    <w:charset w:val="86"/>
    <w:family w:val="auto"/>
    <w:pitch w:val="default"/>
    <w:sig w:usb0="A00002BF" w:usb1="184F6CFA" w:usb2="00000012" w:usb3="00000000" w:csb0="00040001" w:csb1="00000000"/>
    <w:embedRegular r:id="rId3" w:fontKey="{BE014095-15D5-4270-B29E-21C4872EAEDA}"/>
  </w:font>
  <w:font w:name="楷体_GB2312">
    <w:panose1 w:val="02010609030101010101"/>
    <w:charset w:val="86"/>
    <w:family w:val="auto"/>
    <w:pitch w:val="default"/>
    <w:sig w:usb0="00000001" w:usb1="080E0000" w:usb2="00000000" w:usb3="00000000" w:csb0="00040000" w:csb1="00000000"/>
    <w:embedRegular r:id="rId4" w:fontKey="{816FB51E-D108-42B9-893D-8C0410A32504}"/>
  </w:font>
  <w:font w:name="仿宋">
    <w:panose1 w:val="02010609060101010101"/>
    <w:charset w:val="86"/>
    <w:family w:val="modern"/>
    <w:pitch w:val="default"/>
    <w:sig w:usb0="800002BF" w:usb1="38CF7CFA" w:usb2="00000016" w:usb3="00000000" w:csb0="00040001" w:csb1="00000000"/>
    <w:embedRegular r:id="rId5" w:fontKey="{CA2091D1-02A4-4979-9B7B-C038841D6841}"/>
  </w:font>
  <w:font w:name="方正大标宋简体">
    <w:panose1 w:val="02000000000000000000"/>
    <w:charset w:val="86"/>
    <w:family w:val="script"/>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5E5FB4">
    <w:pPr>
      <w:pStyle w:val="2"/>
    </w:pPr>
    <w:r>
      <w:rPr>
        <w:sz w:val="18"/>
      </w:rPr>
      <mc:AlternateContent>
        <mc:Choice Requires="wps">
          <w:drawing>
            <wp:anchor distT="0" distB="0" distL="114300" distR="114300" simplePos="0" relativeHeight="251659264" behindDoc="0" locked="0" layoutInCell="1" allowOverlap="1">
              <wp:simplePos x="0" y="0"/>
              <wp:positionH relativeFrom="margin">
                <wp:posOffset>2680970</wp:posOffset>
              </wp:positionH>
              <wp:positionV relativeFrom="paragraph">
                <wp:posOffset>-112395</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4AF028D">
                          <w:pPr>
                            <w:pStyle w:val="2"/>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  \* MERGEFORMAT </w:instrText>
                          </w:r>
                          <w:r>
                            <w:rPr>
                              <w:rFonts w:hint="eastAsia" w:ascii="宋体" w:hAnsi="宋体" w:eastAsia="宋体" w:cs="宋体"/>
                              <w:sz w:val="24"/>
                              <w:szCs w:val="24"/>
                            </w:rPr>
                            <w:fldChar w:fldCharType="separate"/>
                          </w:r>
                          <w:r>
                            <w:rPr>
                              <w:rFonts w:hint="eastAsia" w:ascii="宋体" w:hAnsi="宋体" w:eastAsia="宋体" w:cs="宋体"/>
                              <w:sz w:val="24"/>
                              <w:szCs w:val="24"/>
                            </w:rPr>
                            <w:t>1</w:t>
                          </w:r>
                          <w:r>
                            <w:rPr>
                              <w:rFonts w:hint="eastAsia" w:ascii="宋体" w:hAnsi="宋体" w:eastAsia="宋体" w:cs="宋体"/>
                              <w:sz w:val="24"/>
                              <w:szCs w:val="24"/>
                            </w:rPr>
                            <w:fldChar w:fldCharType="end"/>
                          </w:r>
                          <w:r>
                            <w:rPr>
                              <w:rFonts w:hint="eastAsia" w:ascii="宋体" w:hAnsi="宋体" w:eastAsia="宋体" w:cs="宋体"/>
                              <w:sz w:val="24"/>
                              <w:szCs w:val="24"/>
                              <w:lang w:val="en-US" w:eastAsia="zh-CN"/>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211.1pt;margin-top:-8.85pt;height:144pt;width:144pt;mso-position-horizontal-relative:margin;mso-wrap-style:none;z-index:251659264;mso-width-relative:page;mso-height-relative:page;" filled="f" stroked="f" coordsize="21600,21600" o:gfxdata="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4t7hZNgAAAALAQAADwAAAAAAAAABACAAAAAiAAAAZHJzL2Rvd25yZXYueG1s&#10;UEsBAhQAFAAAAAgAh07iQGuF+fsxAgAAYQQAAA4AAAAAAAAAAQAgAAAAJwEAAGRycy9lMm9Eb2Mu&#10;eG1sUEsFBgAAAAAGAAYAWQEAAMoFAAAAAA==&#10;">
              <v:fill on="f" focussize="0,0"/>
              <v:stroke on="f" weight="0.5pt"/>
              <v:imagedata o:title=""/>
              <o:lock v:ext="edit" aspectratio="f"/>
              <v:textbox inset="0mm,0mm,0mm,0mm" style="mso-fit-shape-to-text:t;">
                <w:txbxContent>
                  <w:p w14:paraId="04AF028D">
                    <w:pPr>
                      <w:pStyle w:val="2"/>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  \* MERGEFORMAT </w:instrText>
                    </w:r>
                    <w:r>
                      <w:rPr>
                        <w:rFonts w:hint="eastAsia" w:ascii="宋体" w:hAnsi="宋体" w:eastAsia="宋体" w:cs="宋体"/>
                        <w:sz w:val="24"/>
                        <w:szCs w:val="24"/>
                      </w:rPr>
                      <w:fldChar w:fldCharType="separate"/>
                    </w:r>
                    <w:r>
                      <w:rPr>
                        <w:rFonts w:hint="eastAsia" w:ascii="宋体" w:hAnsi="宋体" w:eastAsia="宋体" w:cs="宋体"/>
                        <w:sz w:val="24"/>
                        <w:szCs w:val="24"/>
                      </w:rPr>
                      <w:t>1</w:t>
                    </w:r>
                    <w:r>
                      <w:rPr>
                        <w:rFonts w:hint="eastAsia" w:ascii="宋体" w:hAnsi="宋体" w:eastAsia="宋体" w:cs="宋体"/>
                        <w:sz w:val="24"/>
                        <w:szCs w:val="24"/>
                      </w:rPr>
                      <w:fldChar w:fldCharType="end"/>
                    </w:r>
                    <w:r>
                      <w:rPr>
                        <w:rFonts w:hint="eastAsia" w:ascii="宋体" w:hAnsi="宋体" w:eastAsia="宋体" w:cs="宋体"/>
                        <w:sz w:val="24"/>
                        <w:szCs w:val="24"/>
                        <w:lang w:val="en-US" w:eastAsia="zh-CN"/>
                      </w:rPr>
                      <w:t>-</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657CDA"/>
    <w:rsid w:val="028B23E2"/>
    <w:rsid w:val="03AD0C94"/>
    <w:rsid w:val="05473F03"/>
    <w:rsid w:val="057B6B0A"/>
    <w:rsid w:val="0A847219"/>
    <w:rsid w:val="0B595C28"/>
    <w:rsid w:val="0D1628D9"/>
    <w:rsid w:val="0E1F1149"/>
    <w:rsid w:val="0E87331E"/>
    <w:rsid w:val="108C5EE4"/>
    <w:rsid w:val="115C7BD3"/>
    <w:rsid w:val="13FC2122"/>
    <w:rsid w:val="16EB5DE4"/>
    <w:rsid w:val="17E53404"/>
    <w:rsid w:val="1BA61F5C"/>
    <w:rsid w:val="1CBB61F5"/>
    <w:rsid w:val="1CBE6F7F"/>
    <w:rsid w:val="1DF377F3"/>
    <w:rsid w:val="1E6F2F9B"/>
    <w:rsid w:val="1E7E078C"/>
    <w:rsid w:val="1EDA591D"/>
    <w:rsid w:val="1F2947F1"/>
    <w:rsid w:val="1FBE0986"/>
    <w:rsid w:val="2014062E"/>
    <w:rsid w:val="21ED4759"/>
    <w:rsid w:val="22B618A4"/>
    <w:rsid w:val="23BC004E"/>
    <w:rsid w:val="2ACA09BD"/>
    <w:rsid w:val="2C41725A"/>
    <w:rsid w:val="2E3644FF"/>
    <w:rsid w:val="31CF1D46"/>
    <w:rsid w:val="323B744E"/>
    <w:rsid w:val="32AE772B"/>
    <w:rsid w:val="32E07AAF"/>
    <w:rsid w:val="33881127"/>
    <w:rsid w:val="339B66C7"/>
    <w:rsid w:val="35AC5FA5"/>
    <w:rsid w:val="35B95B71"/>
    <w:rsid w:val="38622787"/>
    <w:rsid w:val="39432B7F"/>
    <w:rsid w:val="3A6539FD"/>
    <w:rsid w:val="3BE20BBA"/>
    <w:rsid w:val="3DB6308D"/>
    <w:rsid w:val="3DC450E9"/>
    <w:rsid w:val="3E543335"/>
    <w:rsid w:val="3E6F38A3"/>
    <w:rsid w:val="3E8E1DAD"/>
    <w:rsid w:val="40624CB7"/>
    <w:rsid w:val="46646A2F"/>
    <w:rsid w:val="4D6136C1"/>
    <w:rsid w:val="4EAE7898"/>
    <w:rsid w:val="4EBB3E71"/>
    <w:rsid w:val="50140629"/>
    <w:rsid w:val="51346287"/>
    <w:rsid w:val="528154FB"/>
    <w:rsid w:val="54DF3DB9"/>
    <w:rsid w:val="54F54ACD"/>
    <w:rsid w:val="57C81E9B"/>
    <w:rsid w:val="57FC7BAC"/>
    <w:rsid w:val="5D611851"/>
    <w:rsid w:val="5E1D6092"/>
    <w:rsid w:val="5FBFFE59"/>
    <w:rsid w:val="5FDF6268"/>
    <w:rsid w:val="60100810"/>
    <w:rsid w:val="60712F99"/>
    <w:rsid w:val="607934F6"/>
    <w:rsid w:val="6240163D"/>
    <w:rsid w:val="634C36B2"/>
    <w:rsid w:val="669B2AA8"/>
    <w:rsid w:val="6AD37783"/>
    <w:rsid w:val="6BD7133E"/>
    <w:rsid w:val="6CAA3083"/>
    <w:rsid w:val="6CF43DFC"/>
    <w:rsid w:val="6D4F6607"/>
    <w:rsid w:val="6E7D355F"/>
    <w:rsid w:val="6F422848"/>
    <w:rsid w:val="707BB21A"/>
    <w:rsid w:val="72250C58"/>
    <w:rsid w:val="72945CE8"/>
    <w:rsid w:val="72A323FE"/>
    <w:rsid w:val="73C82B32"/>
    <w:rsid w:val="73E82C77"/>
    <w:rsid w:val="74B36503"/>
    <w:rsid w:val="750E7A85"/>
    <w:rsid w:val="76EC0CD8"/>
    <w:rsid w:val="76EE2E72"/>
    <w:rsid w:val="76F20A6E"/>
    <w:rsid w:val="77D5581E"/>
    <w:rsid w:val="7AD2114A"/>
    <w:rsid w:val="7BA357E8"/>
    <w:rsid w:val="7C2154D6"/>
    <w:rsid w:val="7EE439D4"/>
    <w:rsid w:val="7FAC74AA"/>
    <w:rsid w:val="DFEE96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unhideWhenUsed/>
    <w:qFormat/>
    <w:uiPriority w:val="1"/>
  </w:style>
  <w:style w:type="table" w:default="1" w:styleId="4">
    <w:name w:val="Normal Table"/>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
    <w:name w:val="Table Text"/>
    <w:basedOn w:val="1"/>
    <w:semiHidden/>
    <w:qFormat/>
    <w:uiPriority w:val="0"/>
    <w:rPr>
      <w:rFonts w:ascii="宋体" w:hAnsi="宋体" w:eastAsia="宋体" w:cs="宋体"/>
      <w:sz w:val="28"/>
      <w:szCs w:val="28"/>
      <w:lang w:val="en-US" w:eastAsia="en-US"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1597</Words>
  <Characters>1613</Characters>
  <Lines>71</Lines>
  <Paragraphs>20</Paragraphs>
  <TotalTime>35</TotalTime>
  <ScaleCrop>false</ScaleCrop>
  <LinksUpToDate>false</LinksUpToDate>
  <CharactersWithSpaces>1614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2026-08-05T06:04:00Z</dcterms:created>
  <dc:creator>计勇</dc:creator>
  <cp:lastModifiedBy>计勇</cp:lastModifiedBy>
  <cp:lastPrinted>2026-08-05T14:21:00Z</cp:lastPrinted>
  <dcterms:modified xsi:type="dcterms:W3CDTF">2026-09-14T03:37:54Z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8B89455125F54051875A9C94FA1094E7_13</vt:lpwstr>
  </property>
  <property fmtid="{D5CDD505-2E9C-101B-9397-08002B2CF9AE}" pid="4" name="KSOTemplateDocerSaveRecord">
    <vt:lpwstr>eyJoZGlkIjoiYmU4OWI3ODgyYTc3YjVkNWVhMWJhMTk5MmNlOWU2YTkiLCJ1c2VySWQiOiI3MzIwODg1NjAifQ==</vt:lpwstr>
  </property>
</Properties>
</file>