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A4828">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楷体" w:hAnsi="楷体" w:eastAsia="楷体" w:cs="楷体"/>
          <w:b w:val="0"/>
          <w:bCs w:val="0"/>
          <w:i w:val="0"/>
          <w:iCs w:val="0"/>
          <w:color w:val="auto"/>
          <w:sz w:val="32"/>
          <w:szCs w:val="32"/>
        </w:rPr>
      </w:pPr>
      <w:r>
        <w:rPr>
          <w:rFonts w:hint="eastAsia" w:ascii="楷体" w:hAnsi="楷体" w:eastAsia="楷体" w:cs="楷体"/>
          <w:b w:val="0"/>
          <w:bCs w:val="0"/>
          <w:i w:val="0"/>
          <w:iCs w:val="0"/>
          <w:color w:val="auto"/>
          <w:sz w:val="32"/>
          <w:szCs w:val="32"/>
        </w:rPr>
        <w:t>区十一届人大</w:t>
      </w:r>
      <w:r>
        <w:rPr>
          <w:rFonts w:hint="eastAsia" w:ascii="楷体" w:hAnsi="楷体" w:eastAsia="楷体" w:cs="楷体"/>
          <w:b w:val="0"/>
          <w:bCs w:val="0"/>
          <w:i w:val="0"/>
          <w:iCs w:val="0"/>
          <w:color w:val="auto"/>
          <w:sz w:val="32"/>
          <w:szCs w:val="32"/>
          <w:lang w:val="en-US" w:eastAsia="zh-CN"/>
        </w:rPr>
        <w:t>五</w:t>
      </w:r>
      <w:r>
        <w:rPr>
          <w:rFonts w:hint="eastAsia" w:ascii="楷体" w:hAnsi="楷体" w:eastAsia="楷体" w:cs="楷体"/>
          <w:b w:val="0"/>
          <w:bCs w:val="0"/>
          <w:i w:val="0"/>
          <w:iCs w:val="0"/>
          <w:color w:val="auto"/>
          <w:sz w:val="32"/>
          <w:szCs w:val="32"/>
        </w:rPr>
        <w:t>次</w:t>
      </w:r>
    </w:p>
    <w:p w14:paraId="5D5CE2C8">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楷体" w:hAnsi="楷体" w:eastAsia="楷体" w:cs="楷体"/>
          <w:b w:val="0"/>
          <w:bCs w:val="0"/>
          <w:i w:val="0"/>
          <w:iCs w:val="0"/>
          <w:color w:val="auto"/>
          <w:sz w:val="32"/>
          <w:szCs w:val="32"/>
        </w:rPr>
      </w:pPr>
      <w:r>
        <w:rPr>
          <w:rFonts w:hint="eastAsia" w:ascii="楷体" w:hAnsi="楷体" w:eastAsia="楷体" w:cs="楷体"/>
          <w:b w:val="0"/>
          <w:bCs w:val="0"/>
          <w:i w:val="0"/>
          <w:iCs w:val="0"/>
          <w:color w:val="auto"/>
          <w:sz w:val="32"/>
          <w:szCs w:val="32"/>
        </w:rPr>
        <w:t>会 议 文 件（二）</w:t>
      </w:r>
    </w:p>
    <w:p w14:paraId="04215A71">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 w:val="0"/>
          <w:bCs w:val="0"/>
          <w:i w:val="0"/>
          <w:iCs w:val="0"/>
          <w:color w:val="auto"/>
          <w:sz w:val="32"/>
          <w:szCs w:val="32"/>
        </w:rPr>
      </w:pPr>
    </w:p>
    <w:p w14:paraId="5B977395">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 w:val="0"/>
          <w:bCs w:val="0"/>
          <w:i w:val="0"/>
          <w:iCs w:val="0"/>
          <w:color w:val="auto"/>
          <w:sz w:val="44"/>
          <w:szCs w:val="44"/>
        </w:rPr>
      </w:pPr>
      <w:r>
        <w:rPr>
          <w:rFonts w:hint="eastAsia" w:ascii="方正小标宋简体" w:hAnsi="方正小标宋简体" w:eastAsia="方正小标宋简体" w:cs="方正小标宋简体"/>
          <w:b w:val="0"/>
          <w:bCs w:val="0"/>
          <w:i w:val="0"/>
          <w:iCs w:val="0"/>
          <w:color w:val="auto"/>
          <w:sz w:val="44"/>
          <w:szCs w:val="44"/>
        </w:rPr>
        <w:t>景德镇市珠山区202</w:t>
      </w:r>
      <w:r>
        <w:rPr>
          <w:rFonts w:hint="eastAsia" w:ascii="方正小标宋简体" w:hAnsi="方正小标宋简体" w:eastAsia="方正小标宋简体" w:cs="方正小标宋简体"/>
          <w:b w:val="0"/>
          <w:bCs w:val="0"/>
          <w:i w:val="0"/>
          <w:iCs w:val="0"/>
          <w:color w:val="auto"/>
          <w:sz w:val="44"/>
          <w:szCs w:val="44"/>
          <w:lang w:val="en-US" w:eastAsia="zh-CN"/>
        </w:rPr>
        <w:t>4</w:t>
      </w:r>
      <w:r>
        <w:rPr>
          <w:rFonts w:hint="eastAsia" w:ascii="方正小标宋简体" w:hAnsi="方正小标宋简体" w:eastAsia="方正小标宋简体" w:cs="方正小标宋简体"/>
          <w:b w:val="0"/>
          <w:bCs w:val="0"/>
          <w:i w:val="0"/>
          <w:iCs w:val="0"/>
          <w:color w:val="auto"/>
          <w:sz w:val="44"/>
          <w:szCs w:val="44"/>
        </w:rPr>
        <w:t>年国民经济和社会发展</w:t>
      </w:r>
    </w:p>
    <w:p w14:paraId="613ECF45">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 w:hAnsi="仿宋" w:eastAsia="仿宋" w:cs="仿宋"/>
          <w:b w:val="0"/>
          <w:bCs w:val="0"/>
          <w:i w:val="0"/>
          <w:iCs w:val="0"/>
          <w:color w:val="auto"/>
          <w:sz w:val="32"/>
          <w:szCs w:val="32"/>
        </w:rPr>
      </w:pPr>
      <w:r>
        <w:rPr>
          <w:rFonts w:hint="eastAsia" w:ascii="方正小标宋简体" w:hAnsi="方正小标宋简体" w:eastAsia="方正小标宋简体" w:cs="方正小标宋简体"/>
          <w:b w:val="0"/>
          <w:bCs w:val="0"/>
          <w:i w:val="0"/>
          <w:iCs w:val="0"/>
          <w:color w:val="auto"/>
          <w:sz w:val="44"/>
          <w:szCs w:val="44"/>
        </w:rPr>
        <w:t>计划执行情况与202</w:t>
      </w:r>
      <w:r>
        <w:rPr>
          <w:rFonts w:hint="eastAsia" w:ascii="方正小标宋简体" w:hAnsi="方正小标宋简体" w:eastAsia="方正小标宋简体" w:cs="方正小标宋简体"/>
          <w:b w:val="0"/>
          <w:bCs w:val="0"/>
          <w:i w:val="0"/>
          <w:iCs w:val="0"/>
          <w:color w:val="auto"/>
          <w:sz w:val="44"/>
          <w:szCs w:val="44"/>
          <w:lang w:val="en-US" w:eastAsia="zh-CN"/>
        </w:rPr>
        <w:t>5</w:t>
      </w:r>
      <w:r>
        <w:rPr>
          <w:rFonts w:hint="eastAsia" w:ascii="方正小标宋简体" w:hAnsi="方正小标宋简体" w:eastAsia="方正小标宋简体" w:cs="方正小标宋简体"/>
          <w:b w:val="0"/>
          <w:bCs w:val="0"/>
          <w:i w:val="0"/>
          <w:iCs w:val="0"/>
          <w:color w:val="auto"/>
          <w:sz w:val="44"/>
          <w:szCs w:val="44"/>
        </w:rPr>
        <w:t>年国民经济和社会发展计划草案的报告</w:t>
      </w:r>
    </w:p>
    <w:p w14:paraId="3D7D20B5">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 w:hAnsi="仿宋" w:eastAsia="仿宋" w:cs="仿宋"/>
          <w:b w:val="0"/>
          <w:bCs w:val="0"/>
          <w:i w:val="0"/>
          <w:iCs w:val="0"/>
          <w:color w:val="auto"/>
          <w:sz w:val="32"/>
          <w:szCs w:val="32"/>
        </w:rPr>
      </w:pPr>
      <w:r>
        <w:rPr>
          <w:rFonts w:hint="eastAsia" w:ascii="楷体" w:hAnsi="楷体" w:eastAsia="楷体" w:cs="楷体"/>
          <w:b/>
          <w:bCs/>
          <w:i w:val="0"/>
          <w:iCs w:val="0"/>
          <w:color w:val="auto"/>
          <w:sz w:val="32"/>
          <w:szCs w:val="32"/>
        </w:rPr>
        <w:t>（</w:t>
      </w:r>
      <w:r>
        <w:rPr>
          <w:rFonts w:hint="eastAsia" w:ascii="楷体" w:hAnsi="楷体" w:eastAsia="楷体" w:cs="楷体"/>
          <w:b/>
          <w:bCs/>
          <w:i w:val="0"/>
          <w:iCs w:val="0"/>
          <w:color w:val="auto"/>
          <w:sz w:val="32"/>
          <w:szCs w:val="32"/>
          <w:lang w:val="en-US" w:eastAsia="zh-CN"/>
        </w:rPr>
        <w:t>送审稿</w:t>
      </w:r>
      <w:r>
        <w:rPr>
          <w:rFonts w:hint="eastAsia" w:ascii="楷体" w:hAnsi="楷体" w:eastAsia="楷体" w:cs="楷体"/>
          <w:b/>
          <w:bCs/>
          <w:i w:val="0"/>
          <w:iCs w:val="0"/>
          <w:color w:val="auto"/>
          <w:sz w:val="32"/>
          <w:szCs w:val="32"/>
        </w:rPr>
        <w:t>）</w:t>
      </w:r>
    </w:p>
    <w:p w14:paraId="051EFC3E">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
          <w:b w:val="0"/>
          <w:bCs w:val="0"/>
          <w:i w:val="0"/>
          <w:iCs w:val="0"/>
          <w:color w:val="auto"/>
          <w:sz w:val="32"/>
          <w:szCs w:val="32"/>
        </w:rPr>
      </w:pPr>
    </w:p>
    <w:p w14:paraId="4A77886C">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楷体" w:hAnsi="楷体" w:eastAsia="楷体" w:cs="楷体"/>
          <w:b w:val="0"/>
          <w:bCs w:val="0"/>
          <w:i w:val="0"/>
          <w:iCs w:val="0"/>
          <w:color w:val="auto"/>
          <w:sz w:val="32"/>
          <w:szCs w:val="32"/>
        </w:rPr>
      </w:pPr>
      <w:r>
        <w:rPr>
          <w:rFonts w:hint="eastAsia" w:ascii="楷体" w:hAnsi="楷体" w:eastAsia="楷体" w:cs="楷体"/>
          <w:b/>
          <w:bCs/>
          <w:i w:val="0"/>
          <w:iCs w:val="0"/>
          <w:color w:val="auto"/>
          <w:sz w:val="32"/>
          <w:szCs w:val="32"/>
        </w:rPr>
        <w:t>——</w:t>
      </w:r>
      <w:r>
        <w:rPr>
          <w:rFonts w:hint="eastAsia" w:ascii="楷体" w:hAnsi="楷体" w:eastAsia="楷体" w:cs="楷体"/>
          <w:b/>
          <w:bCs/>
          <w:i w:val="0"/>
          <w:iCs w:val="0"/>
          <w:color w:val="auto"/>
          <w:spacing w:val="0"/>
          <w:w w:val="82"/>
          <w:kern w:val="0"/>
          <w:sz w:val="32"/>
          <w:szCs w:val="32"/>
          <w:fitText w:val="8000" w:id="1127613618"/>
        </w:rPr>
        <w:t>202</w:t>
      </w:r>
      <w:r>
        <w:rPr>
          <w:rFonts w:hint="eastAsia" w:ascii="楷体" w:hAnsi="楷体" w:eastAsia="楷体" w:cs="楷体"/>
          <w:b/>
          <w:bCs/>
          <w:i w:val="0"/>
          <w:iCs w:val="0"/>
          <w:color w:val="auto"/>
          <w:spacing w:val="0"/>
          <w:w w:val="82"/>
          <w:kern w:val="0"/>
          <w:sz w:val="32"/>
          <w:szCs w:val="32"/>
          <w:fitText w:val="8000" w:id="1127613618"/>
          <w:lang w:val="en-US" w:eastAsia="zh-CN"/>
        </w:rPr>
        <w:t>5</w:t>
      </w:r>
      <w:r>
        <w:rPr>
          <w:rFonts w:hint="eastAsia" w:ascii="楷体" w:hAnsi="楷体" w:eastAsia="楷体" w:cs="楷体"/>
          <w:b/>
          <w:bCs/>
          <w:i w:val="0"/>
          <w:iCs w:val="0"/>
          <w:color w:val="auto"/>
          <w:spacing w:val="0"/>
          <w:w w:val="82"/>
          <w:kern w:val="0"/>
          <w:sz w:val="32"/>
          <w:szCs w:val="32"/>
          <w:fitText w:val="8000" w:id="1127613618"/>
        </w:rPr>
        <w:t>年</w:t>
      </w:r>
      <w:r>
        <w:rPr>
          <w:rFonts w:hint="eastAsia" w:ascii="楷体" w:hAnsi="楷体" w:eastAsia="楷体" w:cs="楷体"/>
          <w:b/>
          <w:bCs/>
          <w:i w:val="0"/>
          <w:iCs w:val="0"/>
          <w:color w:val="auto"/>
          <w:spacing w:val="0"/>
          <w:w w:val="82"/>
          <w:kern w:val="0"/>
          <w:sz w:val="32"/>
          <w:szCs w:val="32"/>
          <w:fitText w:val="8000" w:id="1127613618"/>
          <w:lang w:val="en-US" w:eastAsia="zh-CN"/>
        </w:rPr>
        <w:t xml:space="preserve"> </w:t>
      </w:r>
      <w:r>
        <w:rPr>
          <w:rFonts w:hint="eastAsia" w:ascii="楷体" w:hAnsi="楷体" w:eastAsia="楷体" w:cs="楷体"/>
          <w:b/>
          <w:bCs/>
          <w:i w:val="0"/>
          <w:iCs w:val="0"/>
          <w:color w:val="auto"/>
          <w:spacing w:val="0"/>
          <w:w w:val="82"/>
          <w:kern w:val="0"/>
          <w:sz w:val="32"/>
          <w:szCs w:val="32"/>
          <w:fitText w:val="8000" w:id="1127613618"/>
        </w:rPr>
        <w:t>月</w:t>
      </w:r>
      <w:r>
        <w:rPr>
          <w:rFonts w:hint="eastAsia" w:ascii="楷体" w:hAnsi="楷体" w:eastAsia="楷体" w:cs="楷体"/>
          <w:b/>
          <w:bCs/>
          <w:i w:val="0"/>
          <w:iCs w:val="0"/>
          <w:color w:val="auto"/>
          <w:spacing w:val="0"/>
          <w:w w:val="82"/>
          <w:kern w:val="0"/>
          <w:sz w:val="32"/>
          <w:szCs w:val="32"/>
          <w:fitText w:val="8000" w:id="1127613618"/>
          <w:lang w:val="en-US" w:eastAsia="zh-CN"/>
        </w:rPr>
        <w:t xml:space="preserve"> </w:t>
      </w:r>
      <w:r>
        <w:rPr>
          <w:rFonts w:hint="eastAsia" w:ascii="楷体" w:hAnsi="楷体" w:eastAsia="楷体" w:cs="楷体"/>
          <w:b/>
          <w:bCs/>
          <w:i w:val="0"/>
          <w:iCs w:val="0"/>
          <w:color w:val="auto"/>
          <w:spacing w:val="0"/>
          <w:w w:val="82"/>
          <w:kern w:val="0"/>
          <w:sz w:val="32"/>
          <w:szCs w:val="32"/>
          <w:fitText w:val="8000" w:id="1127613618"/>
        </w:rPr>
        <w:t>日在景德镇市珠山区第十一届人民代表大会第</w:t>
      </w:r>
      <w:r>
        <w:rPr>
          <w:rFonts w:hint="eastAsia" w:ascii="楷体" w:hAnsi="楷体" w:eastAsia="楷体" w:cs="楷体"/>
          <w:b/>
          <w:bCs/>
          <w:i w:val="0"/>
          <w:iCs w:val="0"/>
          <w:color w:val="auto"/>
          <w:spacing w:val="0"/>
          <w:w w:val="82"/>
          <w:kern w:val="0"/>
          <w:sz w:val="32"/>
          <w:szCs w:val="32"/>
          <w:fitText w:val="8000" w:id="1127613618"/>
          <w:lang w:val="en-US" w:eastAsia="zh-CN"/>
        </w:rPr>
        <w:t>五</w:t>
      </w:r>
      <w:r>
        <w:rPr>
          <w:rFonts w:hint="eastAsia" w:ascii="楷体" w:hAnsi="楷体" w:eastAsia="楷体" w:cs="楷体"/>
          <w:b/>
          <w:bCs/>
          <w:i w:val="0"/>
          <w:iCs w:val="0"/>
          <w:color w:val="auto"/>
          <w:spacing w:val="0"/>
          <w:w w:val="82"/>
          <w:kern w:val="0"/>
          <w:sz w:val="32"/>
          <w:szCs w:val="32"/>
          <w:fitText w:val="8000" w:id="1127613618"/>
        </w:rPr>
        <w:t>次会议</w:t>
      </w:r>
      <w:r>
        <w:rPr>
          <w:rFonts w:hint="eastAsia" w:ascii="楷体" w:hAnsi="楷体" w:eastAsia="楷体" w:cs="楷体"/>
          <w:b/>
          <w:bCs/>
          <w:i w:val="0"/>
          <w:iCs w:val="0"/>
          <w:color w:val="auto"/>
          <w:spacing w:val="13"/>
          <w:w w:val="82"/>
          <w:kern w:val="0"/>
          <w:sz w:val="32"/>
          <w:szCs w:val="32"/>
          <w:fitText w:val="8000" w:id="1127613618"/>
        </w:rPr>
        <w:t>上</w:t>
      </w:r>
    </w:p>
    <w:p w14:paraId="2FB89DCB">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仿宋" w:hAnsi="仿宋" w:eastAsia="仿宋" w:cs="仿宋"/>
          <w:b w:val="0"/>
          <w:bCs w:val="0"/>
          <w:i w:val="0"/>
          <w:iCs w:val="0"/>
          <w:color w:val="auto"/>
          <w:sz w:val="32"/>
          <w:szCs w:val="32"/>
          <w:lang w:val="en-US" w:eastAsia="zh-CN"/>
        </w:rPr>
      </w:pPr>
      <w:r>
        <w:rPr>
          <w:rFonts w:hint="eastAsia" w:ascii="楷体" w:hAnsi="楷体" w:eastAsia="楷体" w:cs="楷体"/>
          <w:b/>
          <w:bCs/>
          <w:i w:val="0"/>
          <w:iCs w:val="0"/>
          <w:color w:val="auto"/>
          <w:sz w:val="32"/>
          <w:szCs w:val="32"/>
        </w:rPr>
        <w:t xml:space="preserve">珠山区发展和改革委员会主任  </w:t>
      </w:r>
      <w:r>
        <w:rPr>
          <w:rFonts w:hint="eastAsia" w:ascii="楷体" w:hAnsi="楷体" w:eastAsia="楷体" w:cs="楷体"/>
          <w:b/>
          <w:bCs/>
          <w:i w:val="0"/>
          <w:iCs w:val="0"/>
          <w:color w:val="auto"/>
          <w:sz w:val="32"/>
          <w:szCs w:val="32"/>
          <w:lang w:val="en-US" w:eastAsia="zh-CN"/>
        </w:rPr>
        <w:t>孙斌</w:t>
      </w:r>
    </w:p>
    <w:p w14:paraId="0A3C314D">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
          <w:b w:val="0"/>
          <w:bCs w:val="0"/>
          <w:i w:val="0"/>
          <w:iCs w:val="0"/>
          <w:color w:val="auto"/>
          <w:sz w:val="32"/>
          <w:szCs w:val="32"/>
        </w:rPr>
      </w:pPr>
    </w:p>
    <w:p w14:paraId="52FDC162">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
          <w:b w:val="0"/>
          <w:bCs w:val="0"/>
          <w:i w:val="0"/>
          <w:iCs w:val="0"/>
          <w:color w:val="auto"/>
          <w:sz w:val="32"/>
          <w:szCs w:val="32"/>
        </w:rPr>
      </w:pPr>
      <w:r>
        <w:rPr>
          <w:rFonts w:hint="eastAsia" w:ascii="仿宋" w:hAnsi="仿宋" w:eastAsia="仿宋" w:cs="仿宋"/>
          <w:b w:val="0"/>
          <w:bCs w:val="0"/>
          <w:i w:val="0"/>
          <w:iCs w:val="0"/>
          <w:color w:val="auto"/>
          <w:sz w:val="32"/>
          <w:szCs w:val="32"/>
        </w:rPr>
        <w:t>各位代表：</w:t>
      </w:r>
    </w:p>
    <w:p w14:paraId="278B5FE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val="0"/>
          <w:bCs w:val="0"/>
          <w:i w:val="0"/>
          <w:iCs w:val="0"/>
          <w:color w:val="auto"/>
          <w:kern w:val="2"/>
          <w:sz w:val="32"/>
          <w:szCs w:val="32"/>
          <w:lang w:val="en-US" w:eastAsia="zh-CN" w:bidi="ar-SA"/>
        </w:rPr>
        <w:t>受区人民政府委托，现向大会报告全区2024年国民经济和社会发展计划执行情况与2025年国民经济和社会发展计划草案，请予审议，并请政协委员和列席会议的同志提出意见。</w:t>
      </w:r>
    </w:p>
    <w:p w14:paraId="102713C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黑体" w:hAnsi="黑体" w:eastAsia="黑体" w:cs="黑体"/>
          <w:b w:val="0"/>
          <w:bCs w:val="0"/>
          <w:i w:val="0"/>
          <w:iCs w:val="0"/>
          <w:color w:val="auto"/>
          <w:sz w:val="32"/>
          <w:szCs w:val="32"/>
        </w:rPr>
      </w:pPr>
      <w:r>
        <w:rPr>
          <w:rFonts w:hint="eastAsia" w:ascii="黑体" w:hAnsi="黑体" w:eastAsia="黑体" w:cs="黑体"/>
          <w:b w:val="0"/>
          <w:bCs w:val="0"/>
          <w:i w:val="0"/>
          <w:iCs w:val="0"/>
          <w:color w:val="auto"/>
          <w:sz w:val="32"/>
          <w:szCs w:val="32"/>
        </w:rPr>
        <w:t>一、202</w:t>
      </w:r>
      <w:r>
        <w:rPr>
          <w:rFonts w:hint="eastAsia" w:ascii="黑体" w:hAnsi="黑体" w:eastAsia="黑体" w:cs="黑体"/>
          <w:b w:val="0"/>
          <w:bCs w:val="0"/>
          <w:i w:val="0"/>
          <w:iCs w:val="0"/>
          <w:color w:val="auto"/>
          <w:sz w:val="32"/>
          <w:szCs w:val="32"/>
          <w:lang w:val="en-US" w:eastAsia="zh-CN"/>
        </w:rPr>
        <w:t>4</w:t>
      </w:r>
      <w:r>
        <w:rPr>
          <w:rFonts w:hint="eastAsia" w:ascii="黑体" w:hAnsi="黑体" w:eastAsia="黑体" w:cs="黑体"/>
          <w:b w:val="0"/>
          <w:bCs w:val="0"/>
          <w:i w:val="0"/>
          <w:iCs w:val="0"/>
          <w:color w:val="auto"/>
          <w:sz w:val="32"/>
          <w:szCs w:val="32"/>
        </w:rPr>
        <w:t>年国民经济和社会发展计划执行情况</w:t>
      </w:r>
    </w:p>
    <w:p w14:paraId="516411A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val="0"/>
          <w:bCs w:val="0"/>
          <w:i w:val="0"/>
          <w:iCs w:val="0"/>
          <w:color w:val="auto"/>
          <w:sz w:val="32"/>
          <w:szCs w:val="32"/>
        </w:rPr>
        <w:t>2024年是实现“十四五”规划目标任务的关键一年，面对严峻复杂的经济形势和艰巨繁重的发展任务，全区上下高举习近平新时代中国特色社会主义思想伟大旗帜，深入贯彻党的二十大和二十届二中、三中全会精神，全面落实习近平总书记考察江西重要讲话和对景德镇重要指示批示精神，以国家试验区建设为统领，</w:t>
      </w:r>
      <w:r>
        <w:rPr>
          <w:rFonts w:hint="eastAsia" w:ascii="仿宋" w:hAnsi="仿宋" w:eastAsia="仿宋" w:cs="仿宋"/>
          <w:b w:val="0"/>
          <w:bCs w:val="0"/>
          <w:i w:val="0"/>
          <w:iCs w:val="0"/>
          <w:color w:val="auto"/>
          <w:sz w:val="32"/>
          <w:szCs w:val="32"/>
          <w:lang w:val="en-US" w:eastAsia="zh-CN"/>
        </w:rPr>
        <w:t>坚持</w:t>
      </w:r>
      <w:r>
        <w:rPr>
          <w:rFonts w:hint="eastAsia" w:ascii="仿宋" w:hAnsi="仿宋" w:eastAsia="仿宋" w:cs="仿宋"/>
          <w:b w:val="0"/>
          <w:bCs w:val="0"/>
          <w:i w:val="0"/>
          <w:iCs w:val="0"/>
          <w:color w:val="auto"/>
          <w:sz w:val="32"/>
          <w:szCs w:val="32"/>
        </w:rPr>
        <w:t>稳中求进、以进促稳、先立后破，统筹做好稳增长、促改革、惠民生、防风险、保稳定各项工作，</w:t>
      </w:r>
      <w:r>
        <w:rPr>
          <w:rFonts w:hint="eastAsia" w:ascii="仿宋" w:hAnsi="仿宋" w:eastAsia="仿宋" w:cs="仿宋"/>
          <w:b w:val="0"/>
          <w:bCs w:val="0"/>
          <w:i w:val="0"/>
          <w:iCs w:val="0"/>
          <w:color w:val="auto"/>
          <w:kern w:val="2"/>
          <w:sz w:val="32"/>
          <w:szCs w:val="32"/>
          <w:lang w:val="en-US" w:eastAsia="zh-CN" w:bidi="ar-SA"/>
        </w:rPr>
        <w:t>全区经济社会发展取得明显成效。</w:t>
      </w:r>
    </w:p>
    <w:p w14:paraId="4C911BD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b w:val="0"/>
          <w:bCs w:val="0"/>
          <w:i w:val="0"/>
          <w:iCs w:val="0"/>
          <w:color w:val="auto"/>
          <w:sz w:val="32"/>
          <w:szCs w:val="32"/>
          <w:u w:val="none"/>
          <w:lang w:val="en-US" w:eastAsia="zh-CN"/>
        </w:rPr>
      </w:pPr>
      <w:r>
        <w:rPr>
          <w:rFonts w:hint="eastAsia" w:ascii="仿宋" w:hAnsi="仿宋" w:eastAsia="仿宋" w:cs="仿宋"/>
          <w:b w:val="0"/>
          <w:bCs w:val="0"/>
          <w:i w:val="0"/>
          <w:iCs w:val="0"/>
          <w:color w:val="auto"/>
          <w:sz w:val="32"/>
          <w:szCs w:val="32"/>
          <w:u w:val="none"/>
          <w:lang w:val="en-US" w:eastAsia="zh-CN"/>
        </w:rPr>
        <w:t>一年来，我们主要做了以下工作：</w:t>
      </w:r>
    </w:p>
    <w:p w14:paraId="04173B77">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仿宋" w:hAnsi="仿宋" w:eastAsia="仿宋" w:cs="仿宋"/>
          <w:b w:val="0"/>
          <w:bCs w:val="0"/>
          <w:i w:val="0"/>
          <w:iCs w:val="0"/>
          <w:color w:val="auto"/>
          <w:spacing w:val="0"/>
          <w:sz w:val="32"/>
          <w:szCs w:val="32"/>
          <w:u w:val="none"/>
          <w:lang w:val="en-US" w:eastAsia="zh-CN"/>
        </w:rPr>
      </w:pPr>
      <w:r>
        <w:rPr>
          <w:rFonts w:hint="eastAsia" w:ascii="楷体" w:hAnsi="楷体" w:eastAsia="楷体" w:cs="楷体"/>
          <w:b/>
          <w:bCs/>
          <w:i w:val="0"/>
          <w:iCs w:val="0"/>
          <w:color w:val="auto"/>
          <w:sz w:val="32"/>
          <w:szCs w:val="32"/>
          <w:lang w:eastAsia="zh-CN"/>
        </w:rPr>
        <w:t>（</w:t>
      </w:r>
      <w:r>
        <w:rPr>
          <w:rFonts w:hint="eastAsia" w:ascii="楷体" w:hAnsi="楷体" w:eastAsia="楷体" w:cs="楷体"/>
          <w:b/>
          <w:bCs/>
          <w:i w:val="0"/>
          <w:iCs w:val="0"/>
          <w:color w:val="auto"/>
          <w:sz w:val="32"/>
          <w:szCs w:val="32"/>
          <w:lang w:val="en-US" w:eastAsia="zh-CN"/>
        </w:rPr>
        <w:t>一</w:t>
      </w:r>
      <w:r>
        <w:rPr>
          <w:rFonts w:hint="eastAsia" w:ascii="楷体" w:hAnsi="楷体" w:eastAsia="楷体" w:cs="楷体"/>
          <w:b/>
          <w:bCs/>
          <w:i w:val="0"/>
          <w:iCs w:val="0"/>
          <w:color w:val="auto"/>
          <w:sz w:val="32"/>
          <w:szCs w:val="32"/>
          <w:lang w:eastAsia="zh-CN"/>
        </w:rPr>
        <w:t>）</w:t>
      </w:r>
      <w:r>
        <w:rPr>
          <w:rFonts w:hint="eastAsia" w:ascii="楷体" w:hAnsi="楷体" w:eastAsia="楷体" w:cs="楷体"/>
          <w:b/>
          <w:bCs/>
          <w:i w:val="0"/>
          <w:iCs w:val="0"/>
          <w:color w:val="auto"/>
          <w:sz w:val="32"/>
          <w:szCs w:val="32"/>
          <w:lang w:val="en-US" w:eastAsia="zh-CN"/>
        </w:rPr>
        <w:t>政策引领促发展，经济运行稳提质‌</w:t>
      </w:r>
      <w:r>
        <w:rPr>
          <w:rFonts w:hint="eastAsia" w:ascii="楷体" w:hAnsi="楷体" w:eastAsia="楷体" w:cs="楷体"/>
          <w:b/>
          <w:bCs/>
          <w:i w:val="0"/>
          <w:iCs w:val="0"/>
          <w:color w:val="auto"/>
          <w:kern w:val="2"/>
          <w:sz w:val="32"/>
          <w:szCs w:val="32"/>
          <w:lang w:val="en-US" w:eastAsia="zh-CN" w:bidi="ar-SA"/>
        </w:rPr>
        <w:t>。</w:t>
      </w:r>
      <w:r>
        <w:rPr>
          <w:rFonts w:hint="eastAsia" w:ascii="仿宋" w:hAnsi="仿宋" w:eastAsia="仿宋" w:cs="仿宋"/>
          <w:b/>
          <w:bCs/>
          <w:i w:val="0"/>
          <w:iCs w:val="0"/>
          <w:color w:val="auto"/>
          <w:kern w:val="2"/>
          <w:sz w:val="32"/>
          <w:szCs w:val="32"/>
          <w:lang w:val="en-US" w:eastAsia="zh-CN" w:bidi="ar-SA"/>
        </w:rPr>
        <w:t>一是强化经济分析监测。</w:t>
      </w:r>
      <w:r>
        <w:rPr>
          <w:rFonts w:hint="eastAsia" w:ascii="仿宋" w:hAnsi="仿宋" w:eastAsia="仿宋" w:cs="仿宋"/>
          <w:b w:val="0"/>
          <w:bCs w:val="0"/>
          <w:i w:val="0"/>
          <w:iCs w:val="0"/>
          <w:color w:val="auto"/>
          <w:kern w:val="2"/>
          <w:sz w:val="32"/>
          <w:szCs w:val="32"/>
          <w:lang w:val="en-US" w:eastAsia="zh-CN" w:bidi="ar-SA"/>
        </w:rPr>
        <w:t>始终坚持稳中求进工作总基调，牢牢把握高质量发展首要任务，紧紧围绕全区经济社会发展目标，全面贯彻落实国家和省、市稳增长各项举措，抢抓机遇、深挖潜力，强化各项重点指标监测预警，全区各项经济指标稳中有进、进中提质。2024年，实现地区生产总值279.6亿元，同比增长4.2%，全市第一；</w:t>
      </w:r>
      <w:r>
        <w:rPr>
          <w:rFonts w:hint="eastAsia" w:ascii="仿宋" w:hAnsi="仿宋" w:eastAsia="仿宋" w:cs="仿宋"/>
          <w:b w:val="0"/>
          <w:bCs w:val="0"/>
          <w:i w:val="0"/>
          <w:iCs w:val="0"/>
          <w:color w:val="auto"/>
          <w:sz w:val="32"/>
          <w:szCs w:val="32"/>
          <w:u w:val="none"/>
          <w:lang w:eastAsia="zh-CN"/>
        </w:rPr>
        <w:t>城镇居民可支配收入53828元，增长3.7%；社会消费品零售总额完成232.6亿元，同比增长4.</w:t>
      </w:r>
      <w:r>
        <w:rPr>
          <w:rFonts w:hint="eastAsia" w:ascii="仿宋" w:hAnsi="仿宋" w:eastAsia="仿宋" w:cs="仿宋"/>
          <w:b w:val="0"/>
          <w:bCs w:val="0"/>
          <w:i w:val="0"/>
          <w:iCs w:val="0"/>
          <w:color w:val="auto"/>
          <w:sz w:val="32"/>
          <w:szCs w:val="32"/>
          <w:u w:val="none"/>
          <w:lang w:val="en-US" w:eastAsia="zh-CN"/>
        </w:rPr>
        <w:t>6</w:t>
      </w:r>
      <w:r>
        <w:rPr>
          <w:rFonts w:hint="eastAsia" w:ascii="仿宋" w:hAnsi="仿宋" w:eastAsia="仿宋" w:cs="仿宋"/>
          <w:b w:val="0"/>
          <w:bCs w:val="0"/>
          <w:i w:val="0"/>
          <w:iCs w:val="0"/>
          <w:color w:val="auto"/>
          <w:sz w:val="32"/>
          <w:szCs w:val="32"/>
          <w:u w:val="none"/>
          <w:lang w:eastAsia="zh-CN"/>
        </w:rPr>
        <w:t>%，</w:t>
      </w:r>
      <w:r>
        <w:rPr>
          <w:rFonts w:hint="eastAsia" w:ascii="仿宋" w:hAnsi="仿宋" w:eastAsia="仿宋" w:cs="仿宋"/>
          <w:b w:val="0"/>
          <w:bCs w:val="0"/>
          <w:i w:val="0"/>
          <w:iCs w:val="0"/>
          <w:color w:val="auto"/>
          <w:sz w:val="32"/>
          <w:szCs w:val="32"/>
          <w:u w:val="none"/>
          <w:lang w:val="en-US" w:eastAsia="zh-CN"/>
        </w:rPr>
        <w:t>全市第一；</w:t>
      </w:r>
      <w:r>
        <w:rPr>
          <w:rFonts w:hint="eastAsia" w:ascii="仿宋" w:hAnsi="仿宋" w:eastAsia="仿宋" w:cs="仿宋"/>
          <w:b w:val="0"/>
          <w:bCs w:val="0"/>
          <w:i w:val="0"/>
          <w:iCs w:val="0"/>
          <w:color w:val="auto"/>
          <w:sz w:val="32"/>
          <w:szCs w:val="32"/>
          <w:u w:val="none"/>
          <w:lang w:eastAsia="zh-CN"/>
        </w:rPr>
        <w:t>规上服务业营收</w:t>
      </w:r>
      <w:r>
        <w:rPr>
          <w:rFonts w:hint="eastAsia" w:ascii="仿宋" w:hAnsi="仿宋" w:eastAsia="仿宋" w:cs="仿宋"/>
          <w:b w:val="0"/>
          <w:bCs w:val="0"/>
          <w:i w:val="0"/>
          <w:iCs w:val="0"/>
          <w:color w:val="auto"/>
          <w:sz w:val="32"/>
          <w:szCs w:val="32"/>
          <w:u w:val="none"/>
          <w:lang w:val="en-US" w:eastAsia="zh-CN"/>
        </w:rPr>
        <w:t>94.7</w:t>
      </w:r>
      <w:r>
        <w:rPr>
          <w:rFonts w:hint="eastAsia" w:ascii="仿宋" w:hAnsi="仿宋" w:eastAsia="仿宋" w:cs="仿宋"/>
          <w:b w:val="0"/>
          <w:bCs w:val="0"/>
          <w:i w:val="0"/>
          <w:iCs w:val="0"/>
          <w:color w:val="auto"/>
          <w:sz w:val="32"/>
          <w:szCs w:val="32"/>
          <w:u w:val="none"/>
          <w:lang w:eastAsia="zh-CN"/>
        </w:rPr>
        <w:t>亿元，同比增长</w:t>
      </w:r>
      <w:r>
        <w:rPr>
          <w:rFonts w:hint="eastAsia" w:ascii="仿宋" w:hAnsi="仿宋" w:eastAsia="仿宋" w:cs="仿宋"/>
          <w:b w:val="0"/>
          <w:bCs w:val="0"/>
          <w:i w:val="0"/>
          <w:iCs w:val="0"/>
          <w:color w:val="auto"/>
          <w:sz w:val="32"/>
          <w:szCs w:val="32"/>
          <w:u w:val="none"/>
          <w:lang w:val="en-US" w:eastAsia="zh-CN"/>
        </w:rPr>
        <w:t>10.7</w:t>
      </w:r>
      <w:r>
        <w:rPr>
          <w:rFonts w:hint="eastAsia" w:ascii="仿宋" w:hAnsi="仿宋" w:eastAsia="仿宋" w:cs="仿宋"/>
          <w:b w:val="0"/>
          <w:bCs w:val="0"/>
          <w:i w:val="0"/>
          <w:iCs w:val="0"/>
          <w:color w:val="auto"/>
          <w:sz w:val="32"/>
          <w:szCs w:val="32"/>
          <w:u w:val="none"/>
          <w:lang w:eastAsia="zh-CN"/>
        </w:rPr>
        <w:t>%，</w:t>
      </w:r>
      <w:r>
        <w:rPr>
          <w:rFonts w:hint="eastAsia" w:ascii="仿宋" w:hAnsi="仿宋" w:eastAsia="仿宋" w:cs="仿宋"/>
          <w:b w:val="0"/>
          <w:bCs w:val="0"/>
          <w:i w:val="0"/>
          <w:iCs w:val="0"/>
          <w:color w:val="auto"/>
          <w:sz w:val="32"/>
          <w:szCs w:val="32"/>
          <w:u w:val="none"/>
          <w:lang w:val="en-US" w:eastAsia="zh-CN"/>
        </w:rPr>
        <w:t>全市第一</w:t>
      </w:r>
      <w:r>
        <w:rPr>
          <w:rFonts w:hint="eastAsia" w:ascii="仿宋" w:hAnsi="仿宋" w:eastAsia="仿宋" w:cs="仿宋"/>
          <w:b w:val="0"/>
          <w:bCs w:val="0"/>
          <w:i w:val="0"/>
          <w:iCs w:val="0"/>
          <w:color w:val="auto"/>
          <w:sz w:val="32"/>
          <w:szCs w:val="32"/>
          <w:u w:val="none"/>
          <w:lang w:eastAsia="zh-CN"/>
        </w:rPr>
        <w:t>；全年完成一般公共预算收入6.68亿元，同比增长1.13%；完成一般公共预算支出21.09亿元，同比增长0.87%；规上工业增加值同比增长6.7%，全市第</w:t>
      </w:r>
      <w:r>
        <w:rPr>
          <w:rFonts w:hint="eastAsia" w:ascii="仿宋" w:hAnsi="仿宋" w:eastAsia="仿宋" w:cs="仿宋"/>
          <w:b w:val="0"/>
          <w:bCs w:val="0"/>
          <w:i w:val="0"/>
          <w:iCs w:val="0"/>
          <w:color w:val="auto"/>
          <w:sz w:val="32"/>
          <w:szCs w:val="32"/>
          <w:u w:val="none"/>
          <w:lang w:val="en-US" w:eastAsia="zh-CN"/>
        </w:rPr>
        <w:t>二</w:t>
      </w:r>
      <w:r>
        <w:rPr>
          <w:rFonts w:hint="eastAsia" w:ascii="仿宋" w:hAnsi="仿宋" w:eastAsia="仿宋" w:cs="仿宋"/>
          <w:b w:val="0"/>
          <w:bCs w:val="0"/>
          <w:i w:val="0"/>
          <w:iCs w:val="0"/>
          <w:color w:val="auto"/>
          <w:sz w:val="32"/>
          <w:szCs w:val="32"/>
          <w:u w:val="none"/>
          <w:lang w:eastAsia="zh-CN"/>
        </w:rPr>
        <w:t>；</w:t>
      </w:r>
      <w:r>
        <w:rPr>
          <w:rFonts w:hint="eastAsia" w:ascii="仿宋" w:hAnsi="仿宋" w:eastAsia="仿宋" w:cs="仿宋"/>
          <w:b w:val="0"/>
          <w:bCs w:val="0"/>
          <w:i w:val="0"/>
          <w:iCs w:val="0"/>
          <w:color w:val="auto"/>
          <w:spacing w:val="0"/>
          <w:sz w:val="32"/>
          <w:szCs w:val="32"/>
          <w:u w:val="none"/>
          <w:lang w:val="en-US" w:eastAsia="zh-CN"/>
        </w:rPr>
        <w:t>成功申报“五上”企业47家，超额完成全年服务业、批零、住餐目标任务。</w:t>
      </w:r>
      <w:r>
        <w:rPr>
          <w:rFonts w:hint="eastAsia" w:ascii="仿宋" w:hAnsi="仿宋" w:eastAsia="仿宋" w:cs="仿宋"/>
          <w:b/>
          <w:bCs/>
          <w:i w:val="0"/>
          <w:iCs w:val="0"/>
          <w:color w:val="auto"/>
          <w:spacing w:val="0"/>
          <w:sz w:val="32"/>
          <w:szCs w:val="32"/>
          <w:u w:val="none"/>
          <w:lang w:val="en-US" w:eastAsia="zh-CN"/>
        </w:rPr>
        <w:t>二是大力优化营商环境。</w:t>
      </w:r>
      <w:r>
        <w:rPr>
          <w:rFonts w:hint="eastAsia" w:ascii="仿宋" w:hAnsi="仿宋" w:eastAsia="仿宋" w:cs="仿宋"/>
          <w:b w:val="0"/>
          <w:bCs w:val="0"/>
          <w:i w:val="0"/>
          <w:iCs w:val="0"/>
          <w:color w:val="auto"/>
          <w:spacing w:val="0"/>
          <w:sz w:val="32"/>
          <w:szCs w:val="32"/>
          <w:u w:val="none"/>
          <w:lang w:val="en-US" w:eastAsia="zh-CN"/>
        </w:rPr>
        <w:t>深入推进“万干入万企、党建促发展”活动，重点开展惠企纾困“降成本”、“一件事一次办”、“省内通办”等专项行动，充分激发各类经营主体的内生动力和创新活力，提振市场主体信心。2024年为纳税人减税降费约4.8亿元；为企业争取各类奖补资金2245万元；“财园信贷通”“百福物流贷”等帮助企业解决融资贷款约2.2亿元；新增市场主体10537户，推进国家级知识产权保护规范化市场培育入选2024年全省优化营商环境优秀案例。</w:t>
      </w:r>
    </w:p>
    <w:p w14:paraId="1BC26D0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sz w:val="32"/>
          <w:szCs w:val="32"/>
          <w:u w:val="none"/>
          <w:lang w:eastAsia="zh-CN"/>
        </w:rPr>
      </w:pPr>
      <w:r>
        <w:rPr>
          <w:rFonts w:hint="eastAsia" w:ascii="楷体" w:hAnsi="楷体" w:eastAsia="楷体" w:cs="楷体"/>
          <w:b/>
          <w:bCs/>
          <w:i w:val="0"/>
          <w:iCs w:val="0"/>
          <w:color w:val="auto"/>
          <w:sz w:val="32"/>
          <w:szCs w:val="32"/>
          <w:lang w:eastAsia="zh-CN"/>
        </w:rPr>
        <w:t>（</w:t>
      </w:r>
      <w:r>
        <w:rPr>
          <w:rFonts w:hint="eastAsia" w:ascii="楷体" w:hAnsi="楷体" w:eastAsia="楷体" w:cs="楷体"/>
          <w:b/>
          <w:bCs/>
          <w:i w:val="0"/>
          <w:iCs w:val="0"/>
          <w:color w:val="auto"/>
          <w:sz w:val="32"/>
          <w:szCs w:val="32"/>
          <w:lang w:val="en-US" w:eastAsia="zh-CN"/>
        </w:rPr>
        <w:t>二）项目带动强推进，试验区建设显成效。</w:t>
      </w:r>
      <w:r>
        <w:rPr>
          <w:rFonts w:hint="eastAsia" w:ascii="仿宋" w:hAnsi="仿宋" w:eastAsia="仿宋" w:cs="仿宋"/>
          <w:b/>
          <w:bCs/>
          <w:i w:val="0"/>
          <w:iCs w:val="0"/>
          <w:color w:val="auto"/>
          <w:sz w:val="32"/>
          <w:szCs w:val="32"/>
          <w:lang w:val="en-US" w:eastAsia="zh-CN"/>
        </w:rPr>
        <w:t>一是项目建设扎实推进。</w:t>
      </w:r>
      <w:r>
        <w:rPr>
          <w:rFonts w:hint="eastAsia" w:ascii="仿宋" w:hAnsi="仿宋" w:eastAsia="仿宋" w:cs="仿宋"/>
          <w:b w:val="0"/>
          <w:bCs w:val="0"/>
          <w:i w:val="0"/>
          <w:iCs w:val="0"/>
          <w:color w:val="auto"/>
          <w:kern w:val="2"/>
          <w:sz w:val="32"/>
          <w:szCs w:val="32"/>
          <w:lang w:val="en-US" w:eastAsia="zh-CN" w:bidi="ar-SA"/>
        </w:rPr>
        <w:t>牢固树立“项目为王”理念，以试验区重点项目为抓手，全年共安排区重点工程建设项目41个，计划总投资约</w:t>
      </w:r>
      <w:r>
        <w:rPr>
          <w:rFonts w:hint="eastAsia" w:ascii="仿宋" w:hAnsi="仿宋" w:eastAsia="仿宋" w:cs="仿宋"/>
          <w:b w:val="0"/>
          <w:bCs w:val="0"/>
          <w:i w:val="0"/>
          <w:iCs w:val="0"/>
          <w:snapToGrid w:val="0"/>
          <w:color w:val="auto"/>
          <w:kern w:val="0"/>
          <w:sz w:val="32"/>
          <w:szCs w:val="32"/>
          <w:lang w:val="en-US" w:eastAsia="zh-CN" w:bidi="ar"/>
        </w:rPr>
        <w:t>235.55</w:t>
      </w:r>
      <w:r>
        <w:rPr>
          <w:rFonts w:hint="eastAsia" w:ascii="仿宋" w:hAnsi="仿宋" w:eastAsia="仿宋" w:cs="仿宋"/>
          <w:b w:val="0"/>
          <w:bCs w:val="0"/>
          <w:i w:val="0"/>
          <w:iCs w:val="0"/>
          <w:color w:val="auto"/>
          <w:kern w:val="2"/>
          <w:sz w:val="32"/>
          <w:szCs w:val="32"/>
          <w:lang w:val="en-US" w:eastAsia="zh-CN" w:bidi="ar-SA"/>
        </w:rPr>
        <w:t>亿元，其中20个项目纳入市重点项目进行调度，完成年度计划投资34.13亿元，投资比例达110.9%，全市第二。</w:t>
      </w:r>
      <w:r>
        <w:rPr>
          <w:rFonts w:hint="eastAsia" w:ascii="仿宋" w:hAnsi="仿宋" w:eastAsia="仿宋" w:cs="仿宋"/>
          <w:b/>
          <w:bCs/>
          <w:i w:val="0"/>
          <w:iCs w:val="0"/>
          <w:color w:val="auto"/>
          <w:kern w:val="2"/>
          <w:sz w:val="32"/>
          <w:szCs w:val="32"/>
          <w:lang w:val="en-US" w:eastAsia="zh-CN" w:bidi="ar-SA"/>
        </w:rPr>
        <w:t>二是争资争项成果丰硕。</w:t>
      </w:r>
      <w:r>
        <w:rPr>
          <w:rFonts w:hint="eastAsia" w:ascii="仿宋" w:hAnsi="仿宋" w:eastAsia="仿宋" w:cs="仿宋"/>
          <w:b w:val="0"/>
          <w:bCs w:val="0"/>
          <w:i w:val="0"/>
          <w:iCs w:val="0"/>
          <w:color w:val="auto"/>
          <w:kern w:val="2"/>
          <w:sz w:val="32"/>
          <w:szCs w:val="32"/>
          <w:lang w:val="en-US" w:eastAsia="zh-CN" w:bidi="ar-SA"/>
        </w:rPr>
        <w:t>2024年共争取上级资金2.68亿元，为项目建设提供了充足的资金保障。主要包括：珠山区排水防涝项目获得特别国债6000万元；2023年度老旧小区改造项目获得中央预算内资金2743万元；2024年度老旧小区改造项目获得第二批中央预算内资金1112万元，以及专项债额度2900万元；陶文旅养老服务中心获得中央预算内资金1亿元；创客驿站数字化平台项目、文祥窑陶瓷生产数字化应用项目、陶阳里历史文化旅游提升项目总获得省数字经济专项资金200万元；创客驿站获得省预算内乡村振兴专项资金200万元；湖田窑遗址保护项目获得专项资金3690万元。</w:t>
      </w:r>
      <w:r>
        <w:rPr>
          <w:rFonts w:hint="eastAsia" w:ascii="仿宋" w:hAnsi="仿宋" w:eastAsia="仿宋" w:cs="仿宋"/>
          <w:b/>
          <w:bCs/>
          <w:i w:val="0"/>
          <w:iCs w:val="0"/>
          <w:color w:val="auto"/>
          <w:sz w:val="32"/>
          <w:szCs w:val="32"/>
          <w:u w:val="none"/>
          <w:lang w:val="en-US" w:eastAsia="zh-CN"/>
        </w:rPr>
        <w:t>三是</w:t>
      </w:r>
      <w:r>
        <w:rPr>
          <w:rFonts w:hint="eastAsia" w:ascii="仿宋" w:hAnsi="仿宋" w:eastAsia="仿宋" w:cs="仿宋"/>
          <w:b/>
          <w:bCs/>
          <w:i w:val="0"/>
          <w:iCs w:val="0"/>
          <w:color w:val="auto"/>
          <w:sz w:val="32"/>
          <w:szCs w:val="32"/>
          <w:u w:val="none"/>
          <w:lang w:eastAsia="zh-CN"/>
        </w:rPr>
        <w:t>传承创新有序开展。</w:t>
      </w:r>
      <w:r>
        <w:rPr>
          <w:rFonts w:hint="eastAsia" w:ascii="仿宋" w:hAnsi="仿宋" w:eastAsia="仿宋" w:cs="仿宋"/>
          <w:b w:val="0"/>
          <w:bCs w:val="0"/>
          <w:i w:val="0"/>
          <w:iCs w:val="0"/>
          <w:color w:val="auto"/>
          <w:sz w:val="32"/>
          <w:szCs w:val="32"/>
          <w:u w:val="none"/>
          <w:lang w:eastAsia="zh-CN"/>
        </w:rPr>
        <w:t>迅速掀起“一城人、一件事、一条心、一股劲、一起拼、一定赢”的申遗热潮，2个主责片区、4个配合片区部分节点任务提前完成；扎实做好第四次全国文物普查工作，谋划启动宋·瓷文化走廊项目建设，陶源谷古水碓已蝶变新生；活态传承非物质文化遗产，深入挖掘“景德镇菜”非遗美食项目和传承人，466家场馆挂牌“千馆之城”。扛牢“加强陶瓷创意设计”历史使命，盘活瓷源境、设计谷、三宝蓬艺术聚落三个空间，建成28家开放式工作室和1家好物集合店，汇集2位国家级、9位市级非遗传承人，引进木马轩逸设计中心，成功举办“波恩&amp;景德镇”中德艺术交流活动、陶瓷创意设计分享暨新品发布会、艺术疗愈国际研讨会、吕品昌雕塑艺术馆开馆、“交流互鉴、美美与共”首届“容”国际美术作品展等活动，“一轴三园七板块”联动发展格局初具雏形。</w:t>
      </w:r>
    </w:p>
    <w:p w14:paraId="79C97E7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spacing w:val="0"/>
          <w:sz w:val="32"/>
          <w:szCs w:val="32"/>
          <w:u w:val="none"/>
          <w:lang w:val="en-US" w:eastAsia="zh-CN"/>
        </w:rPr>
      </w:pPr>
      <w:r>
        <w:rPr>
          <w:rFonts w:hint="eastAsia" w:ascii="楷体" w:hAnsi="楷体" w:eastAsia="楷体" w:cs="楷体"/>
          <w:b/>
          <w:bCs/>
          <w:i w:val="0"/>
          <w:iCs w:val="0"/>
          <w:color w:val="auto"/>
          <w:sz w:val="32"/>
          <w:szCs w:val="32"/>
        </w:rPr>
        <w:t>（</w:t>
      </w:r>
      <w:r>
        <w:rPr>
          <w:rFonts w:hint="eastAsia" w:ascii="楷体" w:hAnsi="楷体" w:eastAsia="楷体" w:cs="楷体"/>
          <w:b/>
          <w:bCs/>
          <w:i w:val="0"/>
          <w:iCs w:val="0"/>
          <w:color w:val="auto"/>
          <w:sz w:val="32"/>
          <w:szCs w:val="32"/>
          <w:lang w:val="en-US" w:eastAsia="zh-CN"/>
        </w:rPr>
        <w:t>三</w:t>
      </w:r>
      <w:r>
        <w:rPr>
          <w:rFonts w:hint="eastAsia" w:ascii="楷体" w:hAnsi="楷体" w:eastAsia="楷体" w:cs="楷体"/>
          <w:b/>
          <w:bCs/>
          <w:i w:val="0"/>
          <w:iCs w:val="0"/>
          <w:color w:val="auto"/>
          <w:sz w:val="32"/>
          <w:szCs w:val="32"/>
        </w:rPr>
        <w:t>）</w:t>
      </w:r>
      <w:r>
        <w:rPr>
          <w:rFonts w:hint="eastAsia" w:ascii="楷体" w:hAnsi="楷体" w:eastAsia="楷体" w:cs="楷体"/>
          <w:b/>
          <w:bCs/>
          <w:i w:val="0"/>
          <w:iCs w:val="0"/>
          <w:color w:val="auto"/>
          <w:sz w:val="32"/>
          <w:szCs w:val="32"/>
          <w:lang w:val="en-US" w:eastAsia="zh-CN"/>
        </w:rPr>
        <w:t>招商引资添活力，产业体系更完善。</w:t>
      </w:r>
      <w:r>
        <w:rPr>
          <w:rFonts w:hint="eastAsia" w:ascii="仿宋" w:hAnsi="仿宋" w:eastAsia="仿宋" w:cs="仿宋"/>
          <w:b/>
          <w:bCs/>
          <w:i w:val="0"/>
          <w:iCs w:val="0"/>
          <w:color w:val="auto"/>
          <w:sz w:val="32"/>
          <w:szCs w:val="32"/>
          <w:lang w:val="en-US" w:eastAsia="zh-CN"/>
        </w:rPr>
        <w:t>一是双招双引成果显著。</w:t>
      </w:r>
      <w:r>
        <w:rPr>
          <w:rFonts w:hint="eastAsia" w:ascii="仿宋" w:hAnsi="仿宋" w:eastAsia="仿宋" w:cs="仿宋"/>
          <w:b w:val="0"/>
          <w:bCs w:val="0"/>
          <w:i w:val="0"/>
          <w:iCs w:val="0"/>
          <w:color w:val="auto"/>
          <w:sz w:val="32"/>
          <w:szCs w:val="32"/>
          <w:lang w:val="en-US" w:eastAsia="zh-CN"/>
        </w:rPr>
        <w:t>全年共组织外出招商107次，考察洽谈企业110家，主要成果包括：通过亿元以上项目12个，亿元以上工业项目4个（5亿元以上工业项目1个），8亿元商贸项目1个，成功招引新荣记、木马轩逸、携程等优质企业落户珠山；中国工程院院士程京艺术与健康工作站落户设计谷，开启未来健康产业新篇章。</w:t>
      </w:r>
      <w:r>
        <w:rPr>
          <w:rFonts w:hint="eastAsia" w:ascii="仿宋" w:hAnsi="仿宋" w:eastAsia="仿宋" w:cs="仿宋"/>
          <w:b/>
          <w:bCs/>
          <w:i w:val="0"/>
          <w:iCs w:val="0"/>
          <w:color w:val="auto"/>
          <w:sz w:val="32"/>
          <w:szCs w:val="32"/>
          <w:lang w:val="en-US" w:eastAsia="zh-CN"/>
        </w:rPr>
        <w:t>二是工业发展突破瓶颈。</w:t>
      </w:r>
      <w:r>
        <w:rPr>
          <w:rFonts w:hint="eastAsia" w:ascii="仿宋" w:hAnsi="仿宋" w:eastAsia="仿宋" w:cs="仿宋"/>
          <w:b w:val="0"/>
          <w:bCs w:val="0"/>
          <w:i w:val="0"/>
          <w:iCs w:val="0"/>
          <w:color w:val="auto"/>
          <w:sz w:val="32"/>
          <w:szCs w:val="32"/>
          <w:lang w:val="en-US" w:eastAsia="zh-CN"/>
        </w:rPr>
        <w:t>硅钢一期点火生产，全年实现营收1.79亿元，产值1.9亿元；昌飞获评全省“数字领航”企业；英诺维特先进陶瓷项目投产升规；新招引的“飞地经济”企业塞万玉山（景德镇格晶先陶科技有限公司）顺利落地昌南新区。</w:t>
      </w:r>
      <w:r>
        <w:rPr>
          <w:rFonts w:hint="eastAsia" w:ascii="仿宋" w:hAnsi="仿宋" w:eastAsia="仿宋" w:cs="仿宋"/>
          <w:b/>
          <w:bCs/>
          <w:i w:val="0"/>
          <w:iCs w:val="0"/>
          <w:color w:val="auto"/>
          <w:sz w:val="32"/>
          <w:szCs w:val="32"/>
          <w:u w:val="none"/>
          <w:lang w:val="en-US" w:eastAsia="zh-CN"/>
        </w:rPr>
        <w:t>三是创新势能不断增强。</w:t>
      </w:r>
      <w:r>
        <w:rPr>
          <w:rFonts w:hint="eastAsia" w:ascii="仿宋" w:hAnsi="仿宋" w:eastAsia="仿宋" w:cs="仿宋"/>
          <w:b w:val="0"/>
          <w:bCs w:val="0"/>
          <w:i w:val="0"/>
          <w:iCs w:val="0"/>
          <w:color w:val="auto"/>
          <w:sz w:val="32"/>
          <w:szCs w:val="32"/>
          <w:u w:val="none"/>
          <w:lang w:val="en-US" w:eastAsia="zh-CN"/>
        </w:rPr>
        <w:t>共培育出15家创新型企业、8家专精特新企业、7家两化融合企业、1家专业化小巨人企业、1家省级“数字领航”企业；累计拥有国家级工业遗产4处，省级工业遗产2处；47 家企业成功申报科技型中小企业，成功推荐5家企业申报高新技术企业；有效发明专利拥有量1073件，每万人有效发明专利拥有量27.94件，同比增长2.62件，位居全省前列；拥有中国专利优秀奖2项，全市名列前茅；陶溪川文创街区作为江西省唯一一家成功入选2024年度国家级知识产权保护规范化市场培育的对象名单。</w:t>
      </w:r>
      <w:r>
        <w:rPr>
          <w:rFonts w:hint="eastAsia" w:ascii="仿宋" w:hAnsi="仿宋" w:eastAsia="仿宋" w:cs="仿宋"/>
          <w:b/>
          <w:bCs/>
          <w:i w:val="0"/>
          <w:iCs w:val="0"/>
          <w:color w:val="auto"/>
          <w:sz w:val="32"/>
          <w:szCs w:val="32"/>
          <w:u w:val="none"/>
          <w:lang w:val="en-US" w:eastAsia="zh-CN"/>
        </w:rPr>
        <w:t>四是</w:t>
      </w:r>
      <w:r>
        <w:rPr>
          <w:rFonts w:hint="eastAsia" w:ascii="仿宋" w:hAnsi="仿宋" w:eastAsia="仿宋" w:cs="仿宋"/>
          <w:b/>
          <w:bCs/>
          <w:i w:val="0"/>
          <w:iCs w:val="0"/>
          <w:color w:val="auto"/>
          <w:kern w:val="2"/>
          <w:sz w:val="32"/>
          <w:szCs w:val="32"/>
          <w:lang w:val="en-US" w:eastAsia="zh-CN" w:bidi="ar-SA"/>
        </w:rPr>
        <w:t>文旅融合破题出圈。</w:t>
      </w:r>
      <w:r>
        <w:rPr>
          <w:rFonts w:hint="eastAsia" w:ascii="仿宋" w:hAnsi="仿宋" w:eastAsia="仿宋" w:cs="仿宋"/>
          <w:b w:val="0"/>
          <w:bCs w:val="0"/>
          <w:i w:val="0"/>
          <w:iCs w:val="0"/>
          <w:color w:val="auto"/>
          <w:kern w:val="2"/>
          <w:sz w:val="32"/>
          <w:szCs w:val="32"/>
          <w:lang w:val="en-US" w:eastAsia="zh-CN" w:bidi="ar-SA"/>
        </w:rPr>
        <w:t>“夜珠山”消费带假期接待游客365.73万人次，持续霸榜全省客流前三，入选文旅部“改革创新二十佳案例”；夜珠山·消夏季书吧露天电影、徐家窑开窑节、陶阳夜巡、陶然集、春秋大集、三宝咖啡节、端阳香市、三宝集等各类文旅活动精彩呈现，成为引流“密码”；知名中餐厅新荣记江西首店成功落户，陶源谷·三宝获评省级旅游度假区。扎实推进陶阳里、抚州弄等特色街区改造提升，引导千余户商家签订“价格不涨”承诺书，诚信退赔、民宿联审准入机制和“租房安”“陶小二”保障平台高效运行，累计处置诚信退赔类投诉114件，退赔金额66333元，游客满意度100%</w:t>
      </w:r>
      <w:r>
        <w:rPr>
          <w:rFonts w:hint="eastAsia" w:ascii="仿宋" w:hAnsi="仿宋" w:eastAsia="仿宋" w:cs="仿宋"/>
          <w:b w:val="0"/>
          <w:bCs w:val="0"/>
          <w:i w:val="0"/>
          <w:iCs w:val="0"/>
          <w:color w:val="auto"/>
          <w:spacing w:val="0"/>
          <w:sz w:val="32"/>
          <w:szCs w:val="32"/>
          <w:u w:val="none"/>
          <w:lang w:val="en-US" w:eastAsia="zh-CN"/>
        </w:rPr>
        <w:t>，珠山品牌的知名度、美誉度、影响力越来越大。</w:t>
      </w:r>
    </w:p>
    <w:p w14:paraId="1247B344">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楷体" w:hAnsi="楷体" w:eastAsia="楷体" w:cs="楷体"/>
          <w:b/>
          <w:bCs/>
          <w:i w:val="0"/>
          <w:iCs w:val="0"/>
          <w:color w:val="auto"/>
          <w:kern w:val="2"/>
          <w:sz w:val="32"/>
          <w:szCs w:val="32"/>
          <w:lang w:val="en-US" w:eastAsia="zh-CN" w:bidi="ar-SA"/>
        </w:rPr>
        <w:t>（四）</w:t>
      </w:r>
      <w:r>
        <w:rPr>
          <w:rFonts w:hint="eastAsia" w:ascii="楷体" w:hAnsi="楷体" w:eastAsia="楷体" w:cs="楷体"/>
          <w:b/>
          <w:bCs/>
          <w:i w:val="0"/>
          <w:iCs w:val="0"/>
          <w:color w:val="auto"/>
          <w:sz w:val="32"/>
          <w:szCs w:val="32"/>
          <w:lang w:val="en-US" w:eastAsia="zh-CN"/>
        </w:rPr>
        <w:t>城市品质再提升，人居环境更优化。</w:t>
      </w:r>
      <w:r>
        <w:rPr>
          <w:rFonts w:hint="eastAsia" w:ascii="仿宋" w:hAnsi="仿宋" w:eastAsia="仿宋" w:cs="仿宋"/>
          <w:b/>
          <w:bCs/>
          <w:i w:val="0"/>
          <w:iCs w:val="0"/>
          <w:color w:val="auto"/>
          <w:kern w:val="2"/>
          <w:sz w:val="32"/>
          <w:szCs w:val="32"/>
          <w:lang w:val="en-US" w:eastAsia="zh-CN" w:bidi="ar-SA"/>
        </w:rPr>
        <w:t>一是基础设施日臻完善。</w:t>
      </w:r>
      <w:r>
        <w:rPr>
          <w:rFonts w:hint="eastAsia" w:ascii="仿宋" w:hAnsi="仿宋" w:eastAsia="仿宋" w:cs="仿宋"/>
          <w:b w:val="0"/>
          <w:bCs w:val="0"/>
          <w:i w:val="0"/>
          <w:iCs w:val="0"/>
          <w:color w:val="auto"/>
          <w:kern w:val="2"/>
          <w:sz w:val="32"/>
          <w:szCs w:val="32"/>
          <w:lang w:val="en-US" w:eastAsia="zh-CN" w:bidi="ar-SA"/>
        </w:rPr>
        <w:t>24个老旧小区、68个背街小巷改造工程全面完工，建设保障性租赁住房420套、完成危旧房整治89套，改换困难群众老化电线541户、更新改造老化燃气管道近2.4公里，南河南岸片区防洪排涝提升项目顺利开工、快速推进。规范提升陶阳新村、雕塑瓷厂等特色集市，指导规划摊位2770个，陶阳里入选国家第一批城市更新典型案例。</w:t>
      </w:r>
      <w:r>
        <w:rPr>
          <w:rFonts w:hint="eastAsia" w:ascii="仿宋" w:hAnsi="仿宋" w:eastAsia="仿宋" w:cs="仿宋"/>
          <w:b/>
          <w:bCs/>
          <w:i w:val="0"/>
          <w:iCs w:val="0"/>
          <w:color w:val="auto"/>
          <w:spacing w:val="0"/>
          <w:sz w:val="32"/>
          <w:szCs w:val="32"/>
          <w:u w:val="none"/>
          <w:lang w:val="en-US" w:eastAsia="zh-CN"/>
        </w:rPr>
        <w:t>二是人居环境持续改善。</w:t>
      </w:r>
      <w:r>
        <w:rPr>
          <w:rFonts w:hint="eastAsia" w:ascii="仿宋" w:hAnsi="仿宋" w:eastAsia="仿宋" w:cs="仿宋"/>
          <w:b w:val="0"/>
          <w:bCs w:val="0"/>
          <w:i w:val="0"/>
          <w:iCs w:val="0"/>
          <w:color w:val="auto"/>
          <w:kern w:val="2"/>
          <w:sz w:val="32"/>
          <w:szCs w:val="32"/>
          <w:lang w:val="en-US" w:eastAsia="zh-CN" w:bidi="ar-SA"/>
        </w:rPr>
        <w:t>全面推进碳达峰碳中和“1+N”政策体系落实落地，全区生态环境向优向好。南湖丽景、童街老村、蝶恋园等点位雨污分流改造全部完工，全区水环境综合指数3.3288，同比提升9.54%，断面水质优良率100%，空气优良天数比例98.6%，PM2.5年平均浓度20.4μg/m³。</w:t>
      </w:r>
    </w:p>
    <w:p w14:paraId="543DB7A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spacing w:val="0"/>
          <w:sz w:val="32"/>
          <w:szCs w:val="32"/>
          <w:u w:val="none"/>
          <w:lang w:eastAsia="zh-CN"/>
        </w:rPr>
      </w:pPr>
      <w:r>
        <w:rPr>
          <w:rFonts w:hint="eastAsia" w:ascii="楷体" w:hAnsi="楷体" w:eastAsia="楷体" w:cs="楷体"/>
          <w:b/>
          <w:bCs/>
          <w:i w:val="0"/>
          <w:iCs w:val="0"/>
          <w:color w:val="auto"/>
          <w:sz w:val="32"/>
          <w:szCs w:val="32"/>
          <w:lang w:eastAsia="zh-CN"/>
        </w:rPr>
        <w:t>（</w:t>
      </w:r>
      <w:r>
        <w:rPr>
          <w:rFonts w:hint="eastAsia" w:ascii="楷体" w:hAnsi="楷体" w:eastAsia="楷体" w:cs="楷体"/>
          <w:b/>
          <w:bCs/>
          <w:i w:val="0"/>
          <w:iCs w:val="0"/>
          <w:color w:val="auto"/>
          <w:sz w:val="32"/>
          <w:szCs w:val="32"/>
          <w:lang w:val="en-US" w:eastAsia="zh-CN"/>
        </w:rPr>
        <w:t>五）民生实事惠民众，社会保障更健全。</w:t>
      </w:r>
      <w:r>
        <w:rPr>
          <w:rFonts w:hint="eastAsia" w:ascii="仿宋" w:hAnsi="仿宋" w:eastAsia="仿宋" w:cs="仿宋"/>
          <w:b/>
          <w:bCs/>
          <w:i w:val="0"/>
          <w:iCs w:val="0"/>
          <w:color w:val="auto"/>
          <w:sz w:val="32"/>
          <w:szCs w:val="32"/>
          <w:lang w:val="en-US" w:eastAsia="zh-CN"/>
        </w:rPr>
        <w:t>一是</w:t>
      </w:r>
      <w:r>
        <w:rPr>
          <w:rFonts w:hint="eastAsia" w:ascii="仿宋" w:hAnsi="仿宋" w:eastAsia="仿宋" w:cs="仿宋"/>
          <w:b/>
          <w:bCs/>
          <w:i w:val="0"/>
          <w:iCs w:val="0"/>
          <w:caps w:val="0"/>
          <w:color w:val="auto"/>
          <w:spacing w:val="0"/>
          <w:sz w:val="32"/>
          <w:szCs w:val="32"/>
          <w:shd w:val="clear" w:color="auto" w:fill="FFFFFF"/>
          <w:lang w:eastAsia="zh-CN"/>
        </w:rPr>
        <w:t>民生保障持续改善。</w:t>
      </w:r>
      <w:r>
        <w:rPr>
          <w:rFonts w:hint="eastAsia" w:ascii="仿宋" w:hAnsi="仿宋" w:eastAsia="仿宋" w:cs="仿宋"/>
          <w:b w:val="0"/>
          <w:bCs w:val="0"/>
          <w:i w:val="0"/>
          <w:iCs w:val="0"/>
          <w:caps w:val="0"/>
          <w:color w:val="auto"/>
          <w:spacing w:val="0"/>
          <w:sz w:val="32"/>
          <w:szCs w:val="32"/>
          <w:shd w:val="clear" w:color="auto" w:fill="FFFFFF"/>
          <w:lang w:eastAsia="zh-CN"/>
        </w:rPr>
        <w:t>全区纳入城乡低保对象6634户</w:t>
      </w:r>
      <w:r>
        <w:rPr>
          <w:rFonts w:hint="eastAsia" w:ascii="仿宋" w:hAnsi="仿宋" w:eastAsia="仿宋" w:cs="仿宋"/>
          <w:b w:val="0"/>
          <w:bCs w:val="0"/>
          <w:i w:val="0"/>
          <w:iCs w:val="0"/>
          <w:caps w:val="0"/>
          <w:color w:val="auto"/>
          <w:spacing w:val="0"/>
          <w:sz w:val="32"/>
          <w:szCs w:val="32"/>
          <w:shd w:val="clear" w:color="auto" w:fill="FFFFFF"/>
          <w:lang w:val="en-US" w:eastAsia="zh-CN"/>
        </w:rPr>
        <w:t>共计</w:t>
      </w:r>
      <w:r>
        <w:rPr>
          <w:rFonts w:hint="eastAsia" w:ascii="仿宋" w:hAnsi="仿宋" w:eastAsia="仿宋" w:cs="仿宋"/>
          <w:b w:val="0"/>
          <w:bCs w:val="0"/>
          <w:i w:val="0"/>
          <w:iCs w:val="0"/>
          <w:caps w:val="0"/>
          <w:color w:val="auto"/>
          <w:spacing w:val="0"/>
          <w:sz w:val="32"/>
          <w:szCs w:val="32"/>
          <w:shd w:val="clear" w:color="auto" w:fill="FFFFFF"/>
          <w:lang w:eastAsia="zh-CN"/>
        </w:rPr>
        <w:t>9042人，发放城乡低保资金7165.9万元；纳入城乡特困供养对象226人，累计发放431.9万元；残疾人“两项”补贴共计发放443.83万元；打造珠山特色“5+2”就业之家31个，提供就业岗位5722个，发放担保贷款1.08亿元。</w:t>
      </w:r>
      <w:r>
        <w:rPr>
          <w:rFonts w:hint="eastAsia" w:ascii="仿宋" w:hAnsi="仿宋" w:eastAsia="仿宋" w:cs="仿宋"/>
          <w:b/>
          <w:bCs/>
          <w:i w:val="0"/>
          <w:iCs w:val="0"/>
          <w:caps w:val="0"/>
          <w:color w:val="auto"/>
          <w:spacing w:val="0"/>
          <w:sz w:val="32"/>
          <w:szCs w:val="32"/>
          <w:shd w:val="clear" w:color="auto" w:fill="FFFFFF"/>
          <w:lang w:val="en-US" w:eastAsia="zh-CN"/>
        </w:rPr>
        <w:t>二是</w:t>
      </w:r>
      <w:r>
        <w:rPr>
          <w:rFonts w:hint="eastAsia" w:ascii="仿宋" w:hAnsi="仿宋" w:eastAsia="仿宋" w:cs="仿宋"/>
          <w:b/>
          <w:bCs/>
          <w:i w:val="0"/>
          <w:iCs w:val="0"/>
          <w:color w:val="auto"/>
          <w:kern w:val="2"/>
          <w:sz w:val="32"/>
          <w:szCs w:val="32"/>
          <w:lang w:val="en-US" w:eastAsia="zh-CN" w:bidi="ar-SA"/>
        </w:rPr>
        <w:t>社会事业全面发展。</w:t>
      </w:r>
      <w:r>
        <w:rPr>
          <w:rFonts w:hint="eastAsia" w:ascii="仿宋" w:hAnsi="仿宋" w:eastAsia="仿宋" w:cs="仿宋"/>
          <w:b w:val="0"/>
          <w:bCs w:val="0"/>
          <w:i w:val="0"/>
          <w:iCs w:val="0"/>
          <w:color w:val="auto"/>
          <w:kern w:val="2"/>
          <w:sz w:val="32"/>
          <w:szCs w:val="32"/>
          <w:lang w:val="en-US" w:eastAsia="zh-CN" w:bidi="ar-SA"/>
        </w:rPr>
        <w:t>打造2600㎡洪家山社区“一老一小”服务中心，完成适老化改造150户，打造老年助餐点7个，推进建设1家昌河街道景瑶小区嵌入式养老服务中心；配备可躺式课桌椅3065套，安装护眼灯5797盏，惠及14所学校2.3万余名学生；为全区近3.7万城镇独生子女家庭发放奖励4578.49万元，免费筛查城镇适龄及贫困妇女“两癌”2594人，完成适龄女生接种HPV疫苗4172剂次。</w:t>
      </w:r>
      <w:r>
        <w:rPr>
          <w:rFonts w:hint="eastAsia" w:ascii="仿宋" w:hAnsi="仿宋" w:eastAsia="仿宋" w:cs="仿宋"/>
          <w:b/>
          <w:bCs/>
          <w:i w:val="0"/>
          <w:iCs w:val="0"/>
          <w:color w:val="auto"/>
          <w:kern w:val="2"/>
          <w:sz w:val="32"/>
          <w:szCs w:val="32"/>
          <w:lang w:val="en-US" w:eastAsia="zh-CN" w:bidi="ar-SA"/>
        </w:rPr>
        <w:t>三是安全形势总体稳定。</w:t>
      </w:r>
      <w:r>
        <w:rPr>
          <w:rFonts w:hint="eastAsia" w:ascii="仿宋" w:hAnsi="仿宋" w:eastAsia="仿宋" w:cs="仿宋"/>
          <w:b w:val="0"/>
          <w:bCs w:val="0"/>
          <w:i w:val="0"/>
          <w:iCs w:val="0"/>
          <w:color w:val="auto"/>
          <w:kern w:val="2"/>
          <w:sz w:val="32"/>
          <w:szCs w:val="32"/>
          <w:lang w:val="en-US" w:eastAsia="zh-CN" w:bidi="ar-SA"/>
        </w:rPr>
        <w:t>建立健全安全生产治本攻坚三年行动“1+24”方案体系，深入开展重点领域风险隐患专项整治，最大限度防范遏制各类事故发生，连续22年未发生重大及以上生产安全事故；</w:t>
      </w:r>
      <w:r>
        <w:rPr>
          <w:rFonts w:hint="eastAsia" w:ascii="仿宋" w:hAnsi="仿宋" w:eastAsia="仿宋" w:cs="仿宋"/>
          <w:b w:val="0"/>
          <w:bCs w:val="0"/>
          <w:i w:val="0"/>
          <w:iCs w:val="0"/>
          <w:color w:val="auto"/>
          <w:sz w:val="32"/>
          <w:szCs w:val="32"/>
          <w:u w:val="none"/>
          <w:lang w:eastAsia="zh-CN" w:bidi="zh-TW"/>
        </w:rPr>
        <w:t>稳步推进“精网微格”，用好“百姓说事”平台，解决各类矛盾纠纷28097件；有效防范化解财政、金融等重点领域风险，守住了不发生系统性区域性风险的底线；</w:t>
      </w:r>
      <w:r>
        <w:rPr>
          <w:rFonts w:hint="eastAsia" w:ascii="仿宋" w:hAnsi="仿宋" w:eastAsia="仿宋" w:cs="仿宋"/>
          <w:b w:val="0"/>
          <w:bCs w:val="0"/>
          <w:i w:val="0"/>
          <w:iCs w:val="0"/>
          <w:color w:val="auto"/>
          <w:spacing w:val="0"/>
          <w:sz w:val="32"/>
          <w:szCs w:val="32"/>
          <w:u w:val="none"/>
          <w:lang w:eastAsia="zh-CN"/>
        </w:rPr>
        <w:t>常态化开展扫黑除恶斗争，依法打击各类违法犯罪行为，全年刑事警情同比下降23.2%，破获各类侵财案件447起、追赃70万余元，破获电信诈骗案266起、挽损46万元，破获各类涉黄涉赌案件314起。</w:t>
      </w:r>
    </w:p>
    <w:p w14:paraId="1103360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val="0"/>
          <w:bCs w:val="0"/>
          <w:i w:val="0"/>
          <w:iCs w:val="0"/>
          <w:color w:val="auto"/>
          <w:sz w:val="32"/>
          <w:szCs w:val="32"/>
        </w:rPr>
        <w:t>各位代表，回望过去一年，我们攻坚克难、</w:t>
      </w:r>
      <w:r>
        <w:rPr>
          <w:rFonts w:hint="eastAsia" w:ascii="仿宋" w:hAnsi="仿宋" w:eastAsia="仿宋" w:cs="仿宋"/>
          <w:b w:val="0"/>
          <w:bCs w:val="0"/>
          <w:i w:val="0"/>
          <w:iCs w:val="0"/>
          <w:color w:val="auto"/>
          <w:sz w:val="32"/>
          <w:szCs w:val="32"/>
          <w:lang w:val="en-US" w:eastAsia="zh-CN"/>
        </w:rPr>
        <w:t>勇毅</w:t>
      </w:r>
      <w:r>
        <w:rPr>
          <w:rFonts w:hint="eastAsia" w:ascii="仿宋" w:hAnsi="仿宋" w:eastAsia="仿宋" w:cs="仿宋"/>
          <w:b w:val="0"/>
          <w:bCs w:val="0"/>
          <w:i w:val="0"/>
          <w:iCs w:val="0"/>
          <w:color w:val="auto"/>
          <w:sz w:val="32"/>
          <w:szCs w:val="32"/>
        </w:rPr>
        <w:t>前进，全区经济社会发展稳中有进、进中提质，经济结构持续优化，新质生产力加快发展，人民生活不断改善，社会大局保持稳定。这是区委</w:t>
      </w:r>
      <w:r>
        <w:rPr>
          <w:rFonts w:hint="eastAsia" w:ascii="仿宋" w:hAnsi="仿宋" w:eastAsia="仿宋" w:cs="仿宋"/>
          <w:b w:val="0"/>
          <w:bCs w:val="0"/>
          <w:i w:val="0"/>
          <w:iCs w:val="0"/>
          <w:color w:val="auto"/>
          <w:sz w:val="32"/>
          <w:szCs w:val="32"/>
          <w:lang w:val="en-US" w:eastAsia="zh-CN"/>
        </w:rPr>
        <w:t>区政府</w:t>
      </w:r>
      <w:r>
        <w:rPr>
          <w:rFonts w:hint="eastAsia" w:ascii="仿宋" w:hAnsi="仿宋" w:eastAsia="仿宋" w:cs="仿宋"/>
          <w:b w:val="0"/>
          <w:bCs w:val="0"/>
          <w:i w:val="0"/>
          <w:iCs w:val="0"/>
          <w:color w:val="auto"/>
          <w:sz w:val="32"/>
          <w:szCs w:val="32"/>
        </w:rPr>
        <w:t>科学决策、正确领导的结果，</w:t>
      </w:r>
      <w:r>
        <w:rPr>
          <w:rFonts w:hint="eastAsia" w:ascii="仿宋" w:hAnsi="仿宋" w:eastAsia="仿宋" w:cs="仿宋"/>
          <w:b w:val="0"/>
          <w:bCs w:val="0"/>
          <w:i w:val="0"/>
          <w:iCs w:val="0"/>
          <w:color w:val="auto"/>
          <w:sz w:val="32"/>
          <w:szCs w:val="32"/>
          <w:lang w:val="en-US" w:eastAsia="zh-CN"/>
        </w:rPr>
        <w:t>也</w:t>
      </w:r>
      <w:r>
        <w:rPr>
          <w:rFonts w:hint="eastAsia" w:ascii="仿宋" w:hAnsi="仿宋" w:eastAsia="仿宋" w:cs="仿宋"/>
          <w:b w:val="0"/>
          <w:bCs w:val="0"/>
          <w:i w:val="0"/>
          <w:iCs w:val="0"/>
          <w:color w:val="auto"/>
          <w:sz w:val="32"/>
          <w:szCs w:val="32"/>
        </w:rPr>
        <w:t>是全区干部群众团结奋进、共同努力的结果。</w:t>
      </w:r>
      <w:r>
        <w:rPr>
          <w:rFonts w:hint="eastAsia" w:ascii="仿宋" w:hAnsi="仿宋" w:eastAsia="仿宋" w:cs="仿宋"/>
          <w:b w:val="0"/>
          <w:bCs w:val="0"/>
          <w:i w:val="0"/>
          <w:iCs w:val="0"/>
          <w:color w:val="auto"/>
          <w:sz w:val="32"/>
          <w:szCs w:val="32"/>
          <w:lang w:val="en-US" w:eastAsia="zh-CN"/>
        </w:rPr>
        <w:t>在肯定成绩的同时，我们也要清醒认识到，全区发展还面临不少困难和问题。比如：工业发展少而弱，服务业大而不强，商贸业基数大、增长乏力；土地、资金、高端人才等创新发展要素紧缺，项目储备不足、重点项目推进还不够快；缺乏有效新增税源，财政增收压力较大、收支矛盾突出等等。对于这</w:t>
      </w:r>
      <w:r>
        <w:rPr>
          <w:rFonts w:hint="eastAsia" w:ascii="仿宋" w:hAnsi="仿宋" w:eastAsia="仿宋" w:cs="仿宋"/>
          <w:b w:val="0"/>
          <w:bCs w:val="0"/>
          <w:i w:val="0"/>
          <w:iCs w:val="0"/>
          <w:color w:val="auto"/>
          <w:kern w:val="2"/>
          <w:sz w:val="32"/>
          <w:szCs w:val="32"/>
          <w:lang w:val="en-US" w:eastAsia="zh-CN" w:bidi="ar-SA"/>
        </w:rPr>
        <w:t>些问题，我们将采取有效措施，在今后的工作中逐步加以解决。随着中央和省委、市委经济工作会议相继召开，我们要看到诸多利好政策叠加所带来的机遇与红利，尤其是明年将实施更加积极的财政政策与适度宽松的货币政策，积极因素和有利条件将不断增多。我们要坚定信心、迎难而上，抓住一切有利时机、用好一切政策举措、挖掘一切潜力资源，努力把各方面积极因素转化为发展实绩。</w:t>
      </w:r>
    </w:p>
    <w:p w14:paraId="48820DC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黑体" w:hAnsi="黑体" w:eastAsia="黑体" w:cs="黑体"/>
          <w:b w:val="0"/>
          <w:bCs w:val="0"/>
          <w:i w:val="0"/>
          <w:iCs w:val="0"/>
          <w:color w:val="auto"/>
          <w:sz w:val="32"/>
          <w:szCs w:val="32"/>
        </w:rPr>
      </w:pPr>
      <w:r>
        <w:rPr>
          <w:rFonts w:hint="eastAsia" w:ascii="黑体" w:hAnsi="黑体" w:eastAsia="黑体" w:cs="黑体"/>
          <w:b w:val="0"/>
          <w:bCs w:val="0"/>
          <w:i w:val="0"/>
          <w:iCs w:val="0"/>
          <w:color w:val="auto"/>
          <w:sz w:val="32"/>
          <w:szCs w:val="32"/>
        </w:rPr>
        <w:t>二、202</w:t>
      </w:r>
      <w:r>
        <w:rPr>
          <w:rFonts w:hint="eastAsia" w:ascii="黑体" w:hAnsi="黑体" w:eastAsia="黑体" w:cs="黑体"/>
          <w:b w:val="0"/>
          <w:bCs w:val="0"/>
          <w:i w:val="0"/>
          <w:iCs w:val="0"/>
          <w:color w:val="auto"/>
          <w:sz w:val="32"/>
          <w:szCs w:val="32"/>
          <w:lang w:val="en-US" w:eastAsia="zh-CN"/>
        </w:rPr>
        <w:t>5</w:t>
      </w:r>
      <w:r>
        <w:rPr>
          <w:rFonts w:hint="eastAsia" w:ascii="黑体" w:hAnsi="黑体" w:eastAsia="黑体" w:cs="黑体"/>
          <w:b w:val="0"/>
          <w:bCs w:val="0"/>
          <w:i w:val="0"/>
          <w:iCs w:val="0"/>
          <w:color w:val="auto"/>
          <w:sz w:val="32"/>
          <w:szCs w:val="32"/>
        </w:rPr>
        <w:t>年经济社会发展总体要求和主要预期目标</w:t>
      </w:r>
    </w:p>
    <w:p w14:paraId="6053757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val="0"/>
          <w:bCs w:val="0"/>
          <w:i w:val="0"/>
          <w:iCs w:val="0"/>
          <w:color w:val="auto"/>
          <w:kern w:val="2"/>
          <w:sz w:val="32"/>
          <w:szCs w:val="32"/>
          <w:lang w:val="en-US" w:eastAsia="zh-CN" w:bidi="ar-SA"/>
        </w:rPr>
        <w:t>2025年是“十四五”收官之年，是“十五五”谋划之年，也是国家试验区建设的进阶之年。扎实做好全年经济社会发展工作意义非凡，我们将持续纵深推动景德镇国家陶瓷文化传承创新试验区建设，策应新形势、新任务、新要求，</w:t>
      </w:r>
      <w:r>
        <w:rPr>
          <w:rFonts w:hint="eastAsia" w:ascii="黑体" w:hAnsi="黑体" w:eastAsia="黑体" w:cs="黑体"/>
          <w:b w:val="0"/>
          <w:bCs w:val="0"/>
          <w:i w:val="0"/>
          <w:iCs w:val="0"/>
          <w:color w:val="auto"/>
          <w:kern w:val="2"/>
          <w:sz w:val="32"/>
          <w:szCs w:val="32"/>
          <w:lang w:val="en-US" w:eastAsia="zh-CN" w:bidi="ar-SA"/>
        </w:rPr>
        <w:t>2025年全区经济社会发展工作的总体要求是：坚持以习近平新时代中国特色社会主义思想为指导，全面落实习近平总书记考察江西重要讲话精神和对景德镇重要指示批示精神，按照省委十五届七次全会、市委十二届七次全会部署，深化“五个中心”建设，以“八个抓手”推动“八个走深走实”，扛牢主城担当，聚焦试验区建设，集聚各类人才，大力加强创意设计和研发创新，激活都市经济新动能，在陶瓷文化传承创新上勇当主力军，</w:t>
      </w:r>
      <w:bookmarkStart w:id="0" w:name="_GoBack"/>
      <w:bookmarkEnd w:id="0"/>
      <w:r>
        <w:rPr>
          <w:rFonts w:hint="eastAsia" w:ascii="黑体" w:hAnsi="黑体" w:eastAsia="黑体" w:cs="黑体"/>
          <w:b w:val="0"/>
          <w:bCs w:val="0"/>
          <w:i w:val="0"/>
          <w:iCs w:val="0"/>
          <w:color w:val="auto"/>
          <w:kern w:val="2"/>
          <w:sz w:val="32"/>
          <w:szCs w:val="32"/>
          <w:lang w:val="en-US" w:eastAsia="zh-CN" w:bidi="ar-SA"/>
        </w:rPr>
        <w:t>谱写中国式现代化珠山实践新篇章，奋力把“千年瓷都”这张靓丽的名片擦得更亮。</w:t>
      </w:r>
    </w:p>
    <w:p w14:paraId="2CD9E3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val="0"/>
          <w:bCs w:val="0"/>
          <w:i w:val="0"/>
          <w:iCs w:val="0"/>
          <w:color w:val="auto"/>
          <w:kern w:val="2"/>
          <w:sz w:val="32"/>
          <w:szCs w:val="32"/>
          <w:lang w:val="en-US" w:eastAsia="zh-CN" w:bidi="ar-SA"/>
        </w:rPr>
        <w:t>对照上述要求，综合研判各方面情况，2025年全区经济社会发展的主要预期目标是：</w:t>
      </w:r>
      <w:r>
        <w:rPr>
          <w:rFonts w:hint="eastAsia" w:ascii="黑体" w:hAnsi="黑体" w:eastAsia="黑体" w:cs="黑体"/>
          <w:b w:val="0"/>
          <w:bCs w:val="0"/>
          <w:i w:val="0"/>
          <w:iCs w:val="0"/>
          <w:color w:val="auto"/>
          <w:kern w:val="2"/>
          <w:sz w:val="32"/>
          <w:szCs w:val="32"/>
          <w:lang w:val="en-US" w:eastAsia="zh-CN" w:bidi="ar-SA"/>
        </w:rPr>
        <w:t>生产总值增长5%左右，规上工业增加值增长7.5%左右，固定资产投资增长5.5%左右，社会消费品零售总额增长5.5%左右，一般公共预算收入增长1.1%左右，城镇居民人均可支配收入增长5%左右，生态质量指标保持现有水平，主要污染物排放等指标完成国家和省、市下达目标。</w:t>
      </w:r>
    </w:p>
    <w:p w14:paraId="005079B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黑体" w:hAnsi="黑体" w:eastAsia="黑体" w:cs="黑体"/>
          <w:b w:val="0"/>
          <w:bCs w:val="0"/>
          <w:i w:val="0"/>
          <w:iCs w:val="0"/>
          <w:color w:val="auto"/>
          <w:sz w:val="32"/>
          <w:szCs w:val="32"/>
        </w:rPr>
      </w:pPr>
      <w:r>
        <w:rPr>
          <w:rFonts w:hint="eastAsia" w:ascii="黑体" w:hAnsi="黑体" w:eastAsia="黑体" w:cs="黑体"/>
          <w:b w:val="0"/>
          <w:bCs w:val="0"/>
          <w:i w:val="0"/>
          <w:iCs w:val="0"/>
          <w:color w:val="auto"/>
          <w:sz w:val="32"/>
          <w:szCs w:val="32"/>
        </w:rPr>
        <w:t>三、202</w:t>
      </w:r>
      <w:r>
        <w:rPr>
          <w:rFonts w:hint="eastAsia" w:ascii="黑体" w:hAnsi="黑体" w:eastAsia="黑体" w:cs="黑体"/>
          <w:b w:val="0"/>
          <w:bCs w:val="0"/>
          <w:i w:val="0"/>
          <w:iCs w:val="0"/>
          <w:color w:val="auto"/>
          <w:sz w:val="32"/>
          <w:szCs w:val="32"/>
          <w:lang w:val="en-US" w:eastAsia="zh-CN"/>
        </w:rPr>
        <w:t>5</w:t>
      </w:r>
      <w:r>
        <w:rPr>
          <w:rFonts w:hint="eastAsia" w:ascii="黑体" w:hAnsi="黑体" w:eastAsia="黑体" w:cs="黑体"/>
          <w:b w:val="0"/>
          <w:bCs w:val="0"/>
          <w:i w:val="0"/>
          <w:iCs w:val="0"/>
          <w:color w:val="auto"/>
          <w:sz w:val="32"/>
          <w:szCs w:val="32"/>
        </w:rPr>
        <w:t>年经济社会发展的主要任务和措施</w:t>
      </w:r>
    </w:p>
    <w:p w14:paraId="4BEDD5E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val="0"/>
          <w:bCs w:val="0"/>
          <w:i w:val="0"/>
          <w:iCs w:val="0"/>
          <w:color w:val="auto"/>
          <w:kern w:val="2"/>
          <w:sz w:val="32"/>
          <w:szCs w:val="32"/>
          <w:lang w:val="en-US" w:eastAsia="zh-CN" w:bidi="ar-SA"/>
        </w:rPr>
        <w:t>围绕完成全年预期目标，重点要抓好以下7个方面工作：</w:t>
      </w:r>
    </w:p>
    <w:p w14:paraId="2093DE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kern w:val="0"/>
          <w:sz w:val="32"/>
          <w:szCs w:val="32"/>
          <w:lang w:eastAsia="zh-CN"/>
        </w:rPr>
      </w:pPr>
      <w:r>
        <w:rPr>
          <w:rFonts w:hint="eastAsia" w:ascii="楷体" w:hAnsi="楷体" w:eastAsia="楷体" w:cs="楷体"/>
          <w:b/>
          <w:bCs/>
          <w:i w:val="0"/>
          <w:iCs w:val="0"/>
          <w:color w:val="auto"/>
          <w:sz w:val="32"/>
          <w:szCs w:val="32"/>
          <w:lang w:val="en-US" w:eastAsia="zh-CN"/>
        </w:rPr>
        <w:t>（一）以申遗攻坚为抓手，纵深推进国家试验区建设。</w:t>
      </w:r>
      <w:r>
        <w:rPr>
          <w:rFonts w:hint="eastAsia" w:ascii="仿宋" w:hAnsi="仿宋" w:eastAsia="仿宋" w:cs="仿宋"/>
          <w:b w:val="0"/>
          <w:bCs w:val="0"/>
          <w:i w:val="0"/>
          <w:iCs w:val="0"/>
          <w:color w:val="auto"/>
          <w:kern w:val="2"/>
          <w:sz w:val="32"/>
          <w:szCs w:val="32"/>
          <w:lang w:val="en-US" w:eastAsia="zh-CN" w:bidi="ar-SA"/>
        </w:rPr>
        <w:t>申遗是国家试验区建设“龙头工程”、全市“一号工程”，我们是主战场、主力军，必须持续凝聚“六个一”强大合力，</w:t>
      </w:r>
      <w:r>
        <w:rPr>
          <w:rFonts w:hint="eastAsia" w:ascii="仿宋" w:hAnsi="仿宋" w:eastAsia="仿宋" w:cs="仿宋"/>
          <w:b w:val="0"/>
          <w:bCs w:val="0"/>
          <w:i w:val="0"/>
          <w:iCs w:val="0"/>
          <w:color w:val="auto"/>
          <w:kern w:val="0"/>
          <w:sz w:val="32"/>
          <w:szCs w:val="32"/>
        </w:rPr>
        <w:t>充分发挥“镇之初、瓷之源”的禀赋优势，勇当陶瓷文化传承创新主力军</w:t>
      </w:r>
      <w:r>
        <w:rPr>
          <w:rFonts w:hint="eastAsia" w:ascii="仿宋" w:hAnsi="仿宋" w:eastAsia="仿宋" w:cs="仿宋"/>
          <w:b w:val="0"/>
          <w:bCs w:val="0"/>
          <w:i w:val="0"/>
          <w:iCs w:val="0"/>
          <w:color w:val="auto"/>
          <w:kern w:val="0"/>
          <w:sz w:val="32"/>
          <w:szCs w:val="32"/>
          <w:lang w:eastAsia="zh-CN"/>
        </w:rPr>
        <w:t>。</w:t>
      </w:r>
    </w:p>
    <w:p w14:paraId="76FDE3D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bCs/>
          <w:i w:val="0"/>
          <w:iCs w:val="0"/>
          <w:color w:val="auto"/>
          <w:kern w:val="2"/>
          <w:sz w:val="32"/>
          <w:szCs w:val="32"/>
          <w:lang w:val="en-US" w:eastAsia="zh-CN" w:bidi="ar-SA"/>
        </w:rPr>
        <w:t>强化项目带动引领。</w:t>
      </w:r>
      <w:r>
        <w:rPr>
          <w:rFonts w:hint="eastAsia" w:ascii="仿宋" w:hAnsi="仿宋" w:eastAsia="仿宋" w:cs="仿宋"/>
          <w:b w:val="0"/>
          <w:bCs w:val="0"/>
          <w:i w:val="0"/>
          <w:iCs w:val="0"/>
          <w:color w:val="auto"/>
          <w:kern w:val="2"/>
          <w:sz w:val="32"/>
          <w:szCs w:val="32"/>
          <w:lang w:val="en-US" w:eastAsia="zh-CN" w:bidi="ar-SA"/>
        </w:rPr>
        <w:t>一方面抢抓国家、省、市“十五五”规划编制机遇，瞄准明年更加积极的财政政策、适度宽松的货币政策窗口期，从中央预算内资金、超长期国债、国家专项债、银行融资四个维度精准发力，推动争资争项争政策工作取得更大实效。另一方面不断健全从洽谈签约、跟踪对接，到开工建设、投产运营的全周期项目管理机制，强化要素保障，确保项目争得来、落得下，早完工、早达效。</w:t>
      </w:r>
    </w:p>
    <w:p w14:paraId="0E95A8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bCs/>
          <w:i w:val="0"/>
          <w:iCs w:val="0"/>
          <w:color w:val="auto"/>
          <w:kern w:val="2"/>
          <w:sz w:val="32"/>
          <w:szCs w:val="32"/>
          <w:lang w:val="en-US" w:eastAsia="zh-CN" w:bidi="ar-SA"/>
        </w:rPr>
        <w:t>加强文化传承保护。</w:t>
      </w:r>
      <w:r>
        <w:rPr>
          <w:rFonts w:hint="eastAsia" w:ascii="仿宋" w:hAnsi="仿宋" w:eastAsia="仿宋" w:cs="仿宋"/>
          <w:b w:val="0"/>
          <w:bCs w:val="0"/>
          <w:i w:val="0"/>
          <w:iCs w:val="0"/>
          <w:color w:val="auto"/>
          <w:kern w:val="2"/>
          <w:sz w:val="32"/>
          <w:szCs w:val="32"/>
          <w:lang w:val="en-US" w:eastAsia="zh-CN" w:bidi="ar-SA"/>
        </w:rPr>
        <w:t>以申遗为龙头，系统做好文化保护工作，深挖陶瓷历史文化“富矿”，做好利用转化文章，重点聚焦湖田窑、观音阁两个片区，按照“维护遗产价值特征与历史环境特征”标准，培育、扶持符合遗产价值传承的业态发展，让城市留住记忆，让陶瓷文化绽放活力。统筹推进6个片区申遗任务，抓好文物保护、展示修缮、环境整治等工作，深度挖掘瓷业遗址遗存及“五古”文脉多重价值，建强手工制瓷非遗传承人队伍，加快建设陶瓷非遗馆、民间博物馆等文化地标，打造陶瓷特色“千馆之城”核心区。</w:t>
      </w:r>
    </w:p>
    <w:p w14:paraId="31A9B0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楷体" w:hAnsi="楷体" w:eastAsia="楷体" w:cs="楷体"/>
          <w:b/>
          <w:bCs/>
          <w:i w:val="0"/>
          <w:iCs w:val="0"/>
          <w:color w:val="auto"/>
          <w:kern w:val="2"/>
          <w:sz w:val="32"/>
          <w:szCs w:val="32"/>
          <w:lang w:val="en-US" w:eastAsia="zh-CN" w:bidi="ar-SA"/>
        </w:rPr>
        <w:t>（二）以结构优化为抓手，持续完善现代产业体系。</w:t>
      </w:r>
      <w:r>
        <w:rPr>
          <w:rFonts w:hint="eastAsia" w:ascii="仿宋" w:hAnsi="仿宋" w:eastAsia="仿宋" w:cs="仿宋"/>
          <w:b w:val="0"/>
          <w:bCs w:val="0"/>
          <w:i w:val="0"/>
          <w:iCs w:val="0"/>
          <w:color w:val="auto"/>
          <w:kern w:val="0"/>
          <w:sz w:val="32"/>
          <w:szCs w:val="32"/>
        </w:rPr>
        <w:t>发挥中心主城区区位优势，以科技创新引领新质生产力发展，大力加强创意设计和研发创新，激活都市经济新动能</w:t>
      </w:r>
      <w:r>
        <w:rPr>
          <w:rFonts w:hint="eastAsia" w:ascii="仿宋" w:hAnsi="仿宋" w:eastAsia="仿宋" w:cs="仿宋"/>
          <w:b w:val="0"/>
          <w:bCs w:val="0"/>
          <w:i w:val="0"/>
          <w:iCs w:val="0"/>
          <w:color w:val="auto"/>
          <w:kern w:val="2"/>
          <w:sz w:val="32"/>
          <w:szCs w:val="32"/>
          <w:lang w:val="en-US" w:eastAsia="zh-CN" w:bidi="ar-SA"/>
        </w:rPr>
        <w:t>。</w:t>
      </w:r>
    </w:p>
    <w:p w14:paraId="435A31D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bCs/>
          <w:i w:val="0"/>
          <w:iCs w:val="0"/>
          <w:color w:val="auto"/>
          <w:kern w:val="2"/>
          <w:sz w:val="32"/>
          <w:szCs w:val="32"/>
          <w:lang w:val="en-US" w:eastAsia="zh-CN" w:bidi="ar-SA"/>
        </w:rPr>
        <w:t>做精陶瓷产业。</w:t>
      </w:r>
      <w:r>
        <w:rPr>
          <w:rFonts w:hint="eastAsia" w:ascii="仿宋" w:hAnsi="仿宋" w:eastAsia="仿宋" w:cs="仿宋"/>
          <w:b w:val="0"/>
          <w:bCs w:val="0"/>
          <w:i w:val="0"/>
          <w:iCs w:val="0"/>
          <w:color w:val="auto"/>
          <w:kern w:val="2"/>
          <w:sz w:val="32"/>
          <w:szCs w:val="32"/>
          <w:lang w:val="en-US" w:eastAsia="zh-CN" w:bidi="ar-SA"/>
        </w:rPr>
        <w:t>聚焦高端手工制瓷、先进陶瓷等产业方向，集中力量发展“小而精”陶瓷工业，系统推进技改升级、数字化转型行动，支持企业向“专精特新”发展，促进企业工艺更新、管理创新，打通供应链堵点、痛点，提升产品附加值和企业竞争力，逐步实现“个转企、小升规、规转股、股上市、育龙头、聚集群”。</w:t>
      </w:r>
    </w:p>
    <w:p w14:paraId="0F0CAD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bCs/>
          <w:i w:val="0"/>
          <w:iCs w:val="0"/>
          <w:color w:val="auto"/>
          <w:kern w:val="2"/>
          <w:sz w:val="32"/>
          <w:szCs w:val="32"/>
          <w:lang w:val="en-US" w:eastAsia="zh-CN" w:bidi="ar-SA"/>
        </w:rPr>
        <w:t>做强航空产业。</w:t>
      </w:r>
      <w:r>
        <w:rPr>
          <w:rFonts w:hint="eastAsia" w:ascii="仿宋" w:hAnsi="仿宋" w:eastAsia="仿宋" w:cs="仿宋"/>
          <w:b w:val="0"/>
          <w:bCs w:val="0"/>
          <w:i w:val="0"/>
          <w:iCs w:val="0"/>
          <w:color w:val="auto"/>
          <w:kern w:val="2"/>
          <w:sz w:val="32"/>
          <w:szCs w:val="32"/>
          <w:lang w:val="en-US" w:eastAsia="zh-CN" w:bidi="ar-SA"/>
        </w:rPr>
        <w:t>充分发挥昌飞、昌汽、602所等大型国企在产业链配套协作方面引领作用，大力发展航空、汽车等配套产业，精准扶持高科技、高附加值、低能耗、低排放的配套企业成长，加快核心零部件“本地化”配套步伐，实现产业链需求端和供给端的无缝对接，构建完善大中小微企业专业化分工协作、共同发展的产业体系。</w:t>
      </w:r>
    </w:p>
    <w:p w14:paraId="704F29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bCs/>
          <w:i w:val="0"/>
          <w:iCs w:val="0"/>
          <w:color w:val="auto"/>
          <w:kern w:val="2"/>
          <w:sz w:val="32"/>
          <w:szCs w:val="32"/>
          <w:lang w:val="en-US" w:eastAsia="zh-CN" w:bidi="ar-SA"/>
        </w:rPr>
        <w:t>开启未来健康产业。</w:t>
      </w:r>
      <w:r>
        <w:rPr>
          <w:rFonts w:hint="eastAsia" w:ascii="仿宋" w:hAnsi="仿宋" w:eastAsia="仿宋" w:cs="仿宋"/>
          <w:b w:val="0"/>
          <w:bCs w:val="0"/>
          <w:i w:val="0"/>
          <w:iCs w:val="0"/>
          <w:color w:val="auto"/>
          <w:kern w:val="2"/>
          <w:sz w:val="32"/>
          <w:szCs w:val="32"/>
          <w:lang w:val="en-US" w:eastAsia="zh-CN" w:bidi="ar-SA"/>
        </w:rPr>
        <w:t>艺术与健康院士工作站的成功引进，是我区统筹新旧动能转换、因地制宜发展新质生产力的有力举措，要充分发挥院士在重大项目研发、高端科技成果转化、高层次人才培养等方面的支撑引领作用。要深挖三宝艺术疗愈特质，着力推动艺术研学、芯片陶瓷等未来健康领域，产业创新和科技创新融合发展，围绕未来健康管理、“星级”中医研究、高端研修度假等领域，深化产学研用金结合，实现“医疗”“食疗”“艺疗”三位一体，打造站位全市、辐射全球的生命健康谷，开启未来健康“新篇章”。</w:t>
      </w:r>
    </w:p>
    <w:p w14:paraId="61AF338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楷体" w:hAnsi="楷体" w:eastAsia="楷体" w:cs="楷体"/>
          <w:b/>
          <w:bCs/>
          <w:i w:val="0"/>
          <w:iCs w:val="0"/>
          <w:color w:val="auto"/>
          <w:kern w:val="2"/>
          <w:sz w:val="32"/>
          <w:szCs w:val="32"/>
          <w:lang w:val="en-US" w:eastAsia="zh-CN" w:bidi="ar-SA"/>
        </w:rPr>
        <w:t>（三）以消费提质为抓手，加快创建“国家级旅游度假区”。</w:t>
      </w:r>
      <w:r>
        <w:rPr>
          <w:rFonts w:hint="eastAsia" w:ascii="仿宋" w:hAnsi="仿宋" w:eastAsia="仿宋" w:cs="仿宋"/>
          <w:b w:val="0"/>
          <w:bCs w:val="0"/>
          <w:i w:val="0"/>
          <w:iCs w:val="0"/>
          <w:color w:val="auto"/>
          <w:kern w:val="2"/>
          <w:sz w:val="32"/>
          <w:szCs w:val="32"/>
          <w:lang w:val="en-US" w:eastAsia="zh-CN" w:bidi="ar-SA"/>
        </w:rPr>
        <w:t>抓牢景德镇文旅绽放机遇，挖掘用好珠山IP，大力提振消费，推动文旅融合、消费提质。</w:t>
      </w:r>
    </w:p>
    <w:p w14:paraId="260863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bCs/>
          <w:i w:val="0"/>
          <w:iCs w:val="0"/>
          <w:color w:val="auto"/>
          <w:kern w:val="2"/>
          <w:sz w:val="32"/>
          <w:szCs w:val="32"/>
          <w:lang w:val="en-US" w:eastAsia="zh-CN" w:bidi="ar-SA"/>
        </w:rPr>
        <w:t>促进文旅融合。</w:t>
      </w:r>
      <w:r>
        <w:rPr>
          <w:rFonts w:hint="eastAsia" w:ascii="仿宋" w:hAnsi="仿宋" w:eastAsia="仿宋" w:cs="仿宋"/>
          <w:b w:val="0"/>
          <w:bCs w:val="0"/>
          <w:i w:val="0"/>
          <w:iCs w:val="0"/>
          <w:color w:val="auto"/>
          <w:kern w:val="2"/>
          <w:sz w:val="32"/>
          <w:szCs w:val="32"/>
          <w:lang w:val="en-US" w:eastAsia="zh-CN" w:bidi="ar-SA"/>
        </w:rPr>
        <w:t>打造以陶瓷文化为内核的国家文旅产业融合发展示范区，统筹用好“三陶”资源，精心推出一批城市游、乡村游、度假游、研学游等“品质游”线路。发挥好会展经济的带动效应，丰富“主题会展、特色集市、剧场演出、城市巡游+旅游”新业态，做到月月有活动、季季有精彩。燃旺三宝市、陶然集、陶艺街、抚州弄、陶阳新村等集市烟火，吸引更多年轻人“跨越山海”“上镇赶集”。</w:t>
      </w:r>
    </w:p>
    <w:p w14:paraId="219D97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bCs/>
          <w:i w:val="0"/>
          <w:iCs w:val="0"/>
          <w:color w:val="auto"/>
          <w:kern w:val="2"/>
          <w:sz w:val="32"/>
          <w:szCs w:val="32"/>
          <w:lang w:val="en-US" w:eastAsia="zh-CN" w:bidi="ar-SA"/>
        </w:rPr>
        <w:t>大力提振消费。</w:t>
      </w:r>
      <w:r>
        <w:rPr>
          <w:rFonts w:hint="eastAsia" w:ascii="仿宋" w:hAnsi="仿宋" w:eastAsia="仿宋" w:cs="仿宋"/>
          <w:b w:val="0"/>
          <w:bCs w:val="0"/>
          <w:i w:val="0"/>
          <w:iCs w:val="0"/>
          <w:color w:val="auto"/>
          <w:kern w:val="2"/>
          <w:sz w:val="32"/>
          <w:szCs w:val="32"/>
          <w:lang w:val="en-US" w:eastAsia="zh-CN" w:bidi="ar-SA"/>
        </w:rPr>
        <w:t>抢抓国家提振消费专项行动、“两新”政策加力扩围机遇，以创建国家级旅游度假区为抓手，主动策应“1819全球陶瓷嘉年华”战略部署，抓牢240小时过境免签政策，紧盯“吃住行游购娱”全要素供给，进一步扩容消费供给能力。积极发展首发经济、银发经济、她经济，努力把“文旅热度”变为“经济热度”，把“客流”变为“现金流”。加快导游队伍、旅行社培养培育，联动城市游、乡村游、度假游、研学游，不断拓展“夜珠山”多元消费新场景，打造全球陶瓷爱好者狂欢场、嗨玩地，建设国际消费集聚区。</w:t>
      </w:r>
    </w:p>
    <w:p w14:paraId="722B53F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sz w:val="32"/>
          <w:szCs w:val="32"/>
          <w:u w:val="none"/>
          <w:lang w:val="en-US" w:eastAsia="zh-CN"/>
        </w:rPr>
      </w:pPr>
      <w:r>
        <w:rPr>
          <w:rFonts w:hint="eastAsia" w:ascii="楷体" w:hAnsi="楷体" w:eastAsia="楷体" w:cs="楷体"/>
          <w:b/>
          <w:bCs/>
          <w:i w:val="0"/>
          <w:iCs w:val="0"/>
          <w:caps w:val="0"/>
          <w:color w:val="auto"/>
          <w:spacing w:val="0"/>
          <w:sz w:val="32"/>
          <w:szCs w:val="32"/>
          <w:lang w:eastAsia="zh-CN"/>
        </w:rPr>
        <w:t>（</w:t>
      </w:r>
      <w:r>
        <w:rPr>
          <w:rFonts w:hint="eastAsia" w:ascii="楷体" w:hAnsi="楷体" w:eastAsia="楷体" w:cs="楷体"/>
          <w:b/>
          <w:bCs/>
          <w:i w:val="0"/>
          <w:iCs w:val="0"/>
          <w:caps w:val="0"/>
          <w:color w:val="auto"/>
          <w:spacing w:val="0"/>
          <w:sz w:val="32"/>
          <w:szCs w:val="32"/>
          <w:lang w:val="en-US" w:eastAsia="zh-CN"/>
        </w:rPr>
        <w:t>四</w:t>
      </w:r>
      <w:r>
        <w:rPr>
          <w:rFonts w:hint="eastAsia" w:ascii="楷体" w:hAnsi="楷体" w:eastAsia="楷体" w:cs="楷体"/>
          <w:b/>
          <w:bCs/>
          <w:i w:val="0"/>
          <w:iCs w:val="0"/>
          <w:caps w:val="0"/>
          <w:color w:val="auto"/>
          <w:spacing w:val="0"/>
          <w:sz w:val="32"/>
          <w:szCs w:val="32"/>
          <w:lang w:eastAsia="zh-CN"/>
        </w:rPr>
        <w:t>）</w:t>
      </w:r>
      <w:r>
        <w:rPr>
          <w:rFonts w:hint="eastAsia" w:ascii="楷体" w:hAnsi="楷体" w:eastAsia="楷体" w:cs="楷体"/>
          <w:b/>
          <w:bCs/>
          <w:i w:val="0"/>
          <w:iCs w:val="0"/>
          <w:caps w:val="0"/>
          <w:color w:val="auto"/>
          <w:spacing w:val="0"/>
          <w:sz w:val="32"/>
          <w:szCs w:val="32"/>
          <w:lang w:val="en-US" w:eastAsia="zh-CN"/>
        </w:rPr>
        <w:t>以</w:t>
      </w:r>
      <w:r>
        <w:rPr>
          <w:rFonts w:hint="eastAsia" w:ascii="楷体" w:hAnsi="楷体" w:eastAsia="楷体" w:cs="楷体"/>
          <w:b/>
          <w:bCs/>
          <w:i w:val="0"/>
          <w:iCs w:val="0"/>
          <w:caps w:val="0"/>
          <w:color w:val="auto"/>
          <w:spacing w:val="0"/>
          <w:sz w:val="32"/>
          <w:szCs w:val="32"/>
        </w:rPr>
        <w:t>扩大投资</w:t>
      </w:r>
      <w:r>
        <w:rPr>
          <w:rFonts w:hint="eastAsia" w:ascii="楷体" w:hAnsi="楷体" w:eastAsia="楷体" w:cs="楷体"/>
          <w:b/>
          <w:bCs/>
          <w:i w:val="0"/>
          <w:iCs w:val="0"/>
          <w:caps w:val="0"/>
          <w:color w:val="auto"/>
          <w:spacing w:val="0"/>
          <w:sz w:val="32"/>
          <w:szCs w:val="32"/>
          <w:lang w:val="en-US" w:eastAsia="zh-CN"/>
        </w:rPr>
        <w:t>为抓手</w:t>
      </w:r>
      <w:r>
        <w:rPr>
          <w:rFonts w:hint="eastAsia" w:ascii="楷体" w:hAnsi="楷体" w:eastAsia="楷体" w:cs="楷体"/>
          <w:b/>
          <w:bCs/>
          <w:i w:val="0"/>
          <w:iCs w:val="0"/>
          <w:caps w:val="0"/>
          <w:color w:val="auto"/>
          <w:spacing w:val="0"/>
          <w:sz w:val="32"/>
          <w:szCs w:val="32"/>
        </w:rPr>
        <w:t>，着力增强经济发展后劲</w:t>
      </w:r>
      <w:r>
        <w:rPr>
          <w:rFonts w:hint="eastAsia" w:ascii="楷体" w:hAnsi="楷体" w:eastAsia="楷体" w:cs="楷体"/>
          <w:b/>
          <w:bCs/>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eastAsia="zh-CN"/>
        </w:rPr>
        <w:t>严格落实项目带动战略，深入实施“十百千万”工程，</w:t>
      </w:r>
      <w:r>
        <w:rPr>
          <w:rFonts w:hint="eastAsia" w:ascii="仿宋" w:hAnsi="仿宋" w:eastAsia="仿宋" w:cs="仿宋"/>
          <w:b w:val="0"/>
          <w:bCs w:val="0"/>
          <w:i w:val="0"/>
          <w:iCs w:val="0"/>
          <w:color w:val="auto"/>
          <w:sz w:val="32"/>
          <w:szCs w:val="32"/>
          <w:u w:val="none"/>
          <w:lang w:val="en-US" w:eastAsia="zh-CN"/>
        </w:rPr>
        <w:t>以项目建设为重要支撑、招商引资为源头活水，突出扩大有效投资。</w:t>
      </w:r>
    </w:p>
    <w:p w14:paraId="6DA4194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aps w:val="0"/>
          <w:color w:val="auto"/>
          <w:spacing w:val="0"/>
          <w:sz w:val="32"/>
          <w:szCs w:val="32"/>
          <w:shd w:val="clear" w:color="auto" w:fill="FFFFFF"/>
        </w:rPr>
      </w:pPr>
      <w:r>
        <w:rPr>
          <w:rFonts w:hint="eastAsia" w:ascii="仿宋" w:hAnsi="仿宋" w:eastAsia="仿宋" w:cs="仿宋"/>
          <w:b/>
          <w:bCs/>
          <w:i w:val="0"/>
          <w:iCs w:val="0"/>
          <w:caps w:val="0"/>
          <w:color w:val="auto"/>
          <w:spacing w:val="0"/>
          <w:sz w:val="32"/>
          <w:szCs w:val="32"/>
        </w:rPr>
        <w:t>全周期推进重大项目建设。</w:t>
      </w:r>
      <w:r>
        <w:rPr>
          <w:rFonts w:hint="eastAsia" w:ascii="仿宋" w:hAnsi="仿宋" w:eastAsia="仿宋" w:cs="仿宋"/>
          <w:b w:val="0"/>
          <w:bCs w:val="0"/>
          <w:i w:val="0"/>
          <w:iCs w:val="0"/>
          <w:caps w:val="0"/>
          <w:color w:val="auto"/>
          <w:spacing w:val="0"/>
          <w:sz w:val="32"/>
          <w:szCs w:val="32"/>
          <w:shd w:val="clear" w:color="auto" w:fill="FFFFFF"/>
        </w:rPr>
        <w:t>充分发挥重大项目的引领带动作用，做好“招”“管”“服”三篇文章，科学谋划2025年总投资</w:t>
      </w:r>
      <w:r>
        <w:rPr>
          <w:rFonts w:hint="eastAsia" w:ascii="仿宋" w:hAnsi="仿宋" w:eastAsia="仿宋" w:cs="仿宋"/>
          <w:b w:val="0"/>
          <w:bCs w:val="0"/>
          <w:i w:val="0"/>
          <w:iCs w:val="0"/>
          <w:caps w:val="0"/>
          <w:color w:val="auto"/>
          <w:spacing w:val="0"/>
          <w:sz w:val="32"/>
          <w:szCs w:val="32"/>
          <w:shd w:val="clear" w:color="auto" w:fill="FFFFFF"/>
          <w:lang w:val="en-US" w:eastAsia="zh-CN"/>
        </w:rPr>
        <w:t>392.6</w:t>
      </w:r>
      <w:r>
        <w:rPr>
          <w:rFonts w:hint="eastAsia" w:ascii="仿宋" w:hAnsi="仿宋" w:eastAsia="仿宋" w:cs="仿宋"/>
          <w:b w:val="0"/>
          <w:bCs w:val="0"/>
          <w:i w:val="0"/>
          <w:iCs w:val="0"/>
          <w:caps w:val="0"/>
          <w:color w:val="auto"/>
          <w:spacing w:val="0"/>
          <w:sz w:val="32"/>
          <w:szCs w:val="32"/>
          <w:shd w:val="clear" w:color="auto" w:fill="FFFFFF"/>
        </w:rPr>
        <w:t>亿元的</w:t>
      </w:r>
      <w:r>
        <w:rPr>
          <w:rFonts w:hint="eastAsia" w:ascii="仿宋" w:hAnsi="仿宋" w:eastAsia="仿宋" w:cs="仿宋"/>
          <w:b w:val="0"/>
          <w:bCs w:val="0"/>
          <w:i w:val="0"/>
          <w:iCs w:val="0"/>
          <w:caps w:val="0"/>
          <w:color w:val="auto"/>
          <w:spacing w:val="0"/>
          <w:sz w:val="32"/>
          <w:szCs w:val="32"/>
          <w:shd w:val="clear" w:color="auto" w:fill="FFFFFF"/>
          <w:lang w:val="en-US" w:eastAsia="zh-CN"/>
        </w:rPr>
        <w:t>70</w:t>
      </w:r>
      <w:r>
        <w:rPr>
          <w:rFonts w:hint="eastAsia" w:ascii="仿宋" w:hAnsi="仿宋" w:eastAsia="仿宋" w:cs="仿宋"/>
          <w:b w:val="0"/>
          <w:bCs w:val="0"/>
          <w:i w:val="0"/>
          <w:iCs w:val="0"/>
          <w:caps w:val="0"/>
          <w:color w:val="auto"/>
          <w:spacing w:val="0"/>
          <w:sz w:val="32"/>
          <w:szCs w:val="32"/>
          <w:shd w:val="clear" w:color="auto" w:fill="FFFFFF"/>
        </w:rPr>
        <w:t>个重点项目，全面推进珠山区湖田窑及观音阁遗址保护提升工程项目、南河左岸片区新田畈段防洪设施提升工程项目、人民广场周边排水管网及设施建设工程项目等工程建设，重点抓好新开工项目督查，抢抓项目建设黄金期，努力做到项目早开工、早建设、早投产，让项目建设赋能高质量发展。</w:t>
      </w:r>
    </w:p>
    <w:p w14:paraId="3D0D1A2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bCs/>
          <w:i w:val="0"/>
          <w:iCs w:val="0"/>
          <w:caps w:val="0"/>
          <w:color w:val="auto"/>
          <w:spacing w:val="0"/>
          <w:sz w:val="32"/>
          <w:szCs w:val="32"/>
          <w:lang w:val="en-US" w:eastAsia="zh-CN"/>
        </w:rPr>
        <w:t>靶向</w:t>
      </w:r>
      <w:r>
        <w:rPr>
          <w:rFonts w:hint="eastAsia" w:ascii="仿宋" w:hAnsi="仿宋" w:eastAsia="仿宋" w:cs="仿宋"/>
          <w:b/>
          <w:bCs/>
          <w:i w:val="0"/>
          <w:iCs w:val="0"/>
          <w:caps w:val="0"/>
          <w:color w:val="auto"/>
          <w:spacing w:val="0"/>
          <w:sz w:val="32"/>
          <w:szCs w:val="32"/>
        </w:rPr>
        <w:t>式推进产业项目招引。</w:t>
      </w:r>
      <w:r>
        <w:rPr>
          <w:rFonts w:hint="eastAsia" w:ascii="仿宋" w:hAnsi="仿宋" w:eastAsia="仿宋" w:cs="仿宋"/>
          <w:b w:val="0"/>
          <w:bCs w:val="0"/>
          <w:i w:val="0"/>
          <w:iCs w:val="0"/>
          <w:caps w:val="0"/>
          <w:color w:val="auto"/>
          <w:spacing w:val="0"/>
          <w:sz w:val="32"/>
          <w:szCs w:val="32"/>
        </w:rPr>
        <w:t>立足珠山定位，坚持双招双引并举。一方面，主动适应招商引资新形势新要求，聚焦创意设计和研发创新、商贸消费、旅游度假、未来健康等重点领域，通过第三方机构、校友会、外埠商会，探索开展中介招商、以情招商。另一方面，加大对国瓷头部企业、创意设计顶尖院校、国外艺术家交流创作基地、国内外知名设计师工作室、设计师平台公司、陶瓷产业数智化平台、园区配套业态等七板块招引力度，形成创意设计、研发创新全产业生态链。</w:t>
      </w:r>
      <w:r>
        <w:rPr>
          <w:rFonts w:hint="eastAsia" w:ascii="仿宋" w:hAnsi="仿宋" w:eastAsia="仿宋" w:cs="仿宋"/>
          <w:b w:val="0"/>
          <w:bCs w:val="0"/>
          <w:i w:val="0"/>
          <w:iCs w:val="0"/>
          <w:caps w:val="0"/>
          <w:color w:val="auto"/>
          <w:spacing w:val="0"/>
          <w:sz w:val="32"/>
          <w:szCs w:val="32"/>
          <w:lang w:val="en-US" w:eastAsia="zh-CN"/>
        </w:rPr>
        <w:t>同时，</w:t>
      </w:r>
      <w:r>
        <w:rPr>
          <w:rFonts w:hint="eastAsia" w:ascii="仿宋" w:hAnsi="仿宋" w:eastAsia="仿宋" w:cs="仿宋"/>
          <w:b w:val="0"/>
          <w:bCs w:val="0"/>
          <w:i w:val="0"/>
          <w:iCs w:val="0"/>
          <w:caps w:val="0"/>
          <w:color w:val="auto"/>
          <w:spacing w:val="0"/>
          <w:sz w:val="32"/>
          <w:szCs w:val="32"/>
        </w:rPr>
        <w:t>大力集聚各类人才，让更多人才“金种子”在珠山破土而出、拔节而长。</w:t>
      </w:r>
    </w:p>
    <w:p w14:paraId="236C5A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bCs/>
          <w:i w:val="0"/>
          <w:iCs w:val="0"/>
          <w:caps w:val="0"/>
          <w:color w:val="auto"/>
          <w:spacing w:val="0"/>
          <w:sz w:val="32"/>
          <w:szCs w:val="32"/>
        </w:rPr>
        <w:t>全过程推进资源要素保障。</w:t>
      </w:r>
      <w:r>
        <w:rPr>
          <w:rFonts w:hint="eastAsia" w:ascii="仿宋" w:hAnsi="仿宋" w:eastAsia="仿宋" w:cs="仿宋"/>
          <w:b w:val="0"/>
          <w:bCs w:val="0"/>
          <w:i w:val="0"/>
          <w:iCs w:val="0"/>
          <w:caps w:val="0"/>
          <w:color w:val="auto"/>
          <w:spacing w:val="0"/>
          <w:sz w:val="32"/>
          <w:szCs w:val="32"/>
        </w:rPr>
        <w:t>始终坚持目标导向和问题导向，充分发挥土地、金融等要素对项目推进的支持作用，瞄准重大项目打好服务“组合拳”，深化政银企常态化对接，加大对产业强市、城市更新、乡村振兴等重点领域的支持。</w:t>
      </w:r>
      <w:r>
        <w:rPr>
          <w:rFonts w:hint="eastAsia" w:ascii="仿宋" w:hAnsi="仿宋" w:eastAsia="仿宋" w:cs="仿宋"/>
          <w:b w:val="0"/>
          <w:bCs w:val="0"/>
          <w:i w:val="0"/>
          <w:iCs w:val="0"/>
          <w:caps w:val="0"/>
          <w:color w:val="auto"/>
          <w:spacing w:val="0"/>
          <w:sz w:val="32"/>
          <w:szCs w:val="32"/>
          <w:lang w:val="en-US" w:eastAsia="zh-CN"/>
        </w:rPr>
        <w:t>持续</w:t>
      </w:r>
      <w:r>
        <w:rPr>
          <w:rFonts w:hint="eastAsia" w:ascii="仿宋" w:hAnsi="仿宋" w:eastAsia="仿宋" w:cs="仿宋"/>
          <w:b w:val="0"/>
          <w:bCs w:val="0"/>
          <w:i w:val="0"/>
          <w:iCs w:val="0"/>
          <w:caps w:val="0"/>
          <w:color w:val="auto"/>
          <w:spacing w:val="0"/>
          <w:sz w:val="32"/>
          <w:szCs w:val="32"/>
        </w:rPr>
        <w:t>对接国家</w:t>
      </w:r>
      <w:r>
        <w:rPr>
          <w:rFonts w:hint="eastAsia" w:ascii="仿宋" w:hAnsi="仿宋" w:eastAsia="仿宋" w:cs="仿宋"/>
          <w:b w:val="0"/>
          <w:bCs w:val="0"/>
          <w:i w:val="0"/>
          <w:iCs w:val="0"/>
          <w:caps w:val="0"/>
          <w:color w:val="auto"/>
          <w:spacing w:val="0"/>
          <w:sz w:val="32"/>
          <w:szCs w:val="32"/>
          <w:lang w:val="en-US" w:eastAsia="zh-CN"/>
        </w:rPr>
        <w:t>和</w:t>
      </w:r>
      <w:r>
        <w:rPr>
          <w:rFonts w:hint="eastAsia" w:ascii="仿宋" w:hAnsi="仿宋" w:eastAsia="仿宋" w:cs="仿宋"/>
          <w:b w:val="0"/>
          <w:bCs w:val="0"/>
          <w:i w:val="0"/>
          <w:iCs w:val="0"/>
          <w:caps w:val="0"/>
          <w:color w:val="auto"/>
          <w:spacing w:val="0"/>
          <w:sz w:val="32"/>
          <w:szCs w:val="32"/>
        </w:rPr>
        <w:t>省、市级资金支持政策，紧跟国家投资方向，加大</w:t>
      </w:r>
      <w:r>
        <w:rPr>
          <w:rFonts w:hint="eastAsia" w:ascii="仿宋" w:hAnsi="仿宋" w:eastAsia="仿宋" w:cs="仿宋"/>
          <w:b w:val="0"/>
          <w:bCs w:val="0"/>
          <w:i w:val="0"/>
          <w:iCs w:val="0"/>
          <w:caps w:val="0"/>
          <w:color w:val="auto"/>
          <w:spacing w:val="0"/>
          <w:sz w:val="32"/>
          <w:szCs w:val="32"/>
          <w:lang w:val="en-US" w:eastAsia="zh-CN"/>
        </w:rPr>
        <w:t>加快争资争项</w:t>
      </w:r>
      <w:r>
        <w:rPr>
          <w:rFonts w:hint="eastAsia" w:ascii="仿宋" w:hAnsi="仿宋" w:eastAsia="仿宋" w:cs="仿宋"/>
          <w:b w:val="0"/>
          <w:bCs w:val="0"/>
          <w:i w:val="0"/>
          <w:iCs w:val="0"/>
          <w:caps w:val="0"/>
          <w:color w:val="auto"/>
          <w:spacing w:val="0"/>
          <w:sz w:val="32"/>
          <w:szCs w:val="32"/>
        </w:rPr>
        <w:t>力度</w:t>
      </w:r>
      <w:r>
        <w:rPr>
          <w:rFonts w:hint="eastAsia" w:ascii="仿宋" w:hAnsi="仿宋" w:eastAsia="仿宋" w:cs="仿宋"/>
          <w:b w:val="0"/>
          <w:bCs w:val="0"/>
          <w:i w:val="0"/>
          <w:iCs w:val="0"/>
          <w:caps w:val="0"/>
          <w:color w:val="auto"/>
          <w:spacing w:val="0"/>
          <w:sz w:val="32"/>
          <w:szCs w:val="32"/>
          <w:lang w:val="en-US" w:eastAsia="zh-CN"/>
        </w:rPr>
        <w:t>和</w:t>
      </w:r>
      <w:r>
        <w:rPr>
          <w:rFonts w:hint="eastAsia" w:ascii="仿宋" w:hAnsi="仿宋" w:eastAsia="仿宋" w:cs="仿宋"/>
          <w:b w:val="0"/>
          <w:bCs w:val="0"/>
          <w:i w:val="0"/>
          <w:iCs w:val="0"/>
          <w:caps w:val="0"/>
          <w:color w:val="auto"/>
          <w:spacing w:val="0"/>
          <w:sz w:val="32"/>
          <w:szCs w:val="32"/>
        </w:rPr>
        <w:t>资金拨付进度，有效发挥政府投资的撬动作用。</w:t>
      </w:r>
    </w:p>
    <w:p w14:paraId="559FE7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aps w:val="0"/>
          <w:color w:val="auto"/>
          <w:spacing w:val="0"/>
          <w:sz w:val="32"/>
          <w:szCs w:val="32"/>
          <w:lang w:val="en-US" w:eastAsia="zh-CN"/>
        </w:rPr>
      </w:pPr>
      <w:r>
        <w:rPr>
          <w:rFonts w:hint="eastAsia" w:ascii="楷体" w:hAnsi="楷体" w:eastAsia="楷体" w:cs="楷体"/>
          <w:b/>
          <w:bCs/>
          <w:i w:val="0"/>
          <w:iCs w:val="0"/>
          <w:caps w:val="0"/>
          <w:color w:val="auto"/>
          <w:spacing w:val="0"/>
          <w:sz w:val="32"/>
          <w:szCs w:val="32"/>
          <w:lang w:val="en-US" w:eastAsia="zh-CN"/>
        </w:rPr>
        <w:t>（五）以深化改革为抓手，培育壮大经济新增长点。</w:t>
      </w:r>
      <w:r>
        <w:rPr>
          <w:rFonts w:hint="eastAsia" w:ascii="仿宋" w:hAnsi="仿宋" w:eastAsia="仿宋" w:cs="仿宋"/>
          <w:b w:val="0"/>
          <w:bCs w:val="0"/>
          <w:i w:val="0"/>
          <w:iCs w:val="0"/>
          <w:caps w:val="0"/>
          <w:color w:val="auto"/>
          <w:spacing w:val="0"/>
          <w:sz w:val="32"/>
          <w:szCs w:val="32"/>
          <w:lang w:val="en-US" w:eastAsia="zh-CN"/>
        </w:rPr>
        <w:t>以更大力度深化改革开放，坚持以经济体制改革为抓手，持续优化营商环境，做优做强数字经济，促进绿色低碳转型，进一步激发我区高质量发展新动能。</w:t>
      </w:r>
    </w:p>
    <w:p w14:paraId="24243AB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sz w:val="32"/>
          <w:szCs w:val="32"/>
          <w:u w:val="none"/>
          <w:lang w:eastAsia="zh-CN"/>
        </w:rPr>
      </w:pPr>
      <w:r>
        <w:rPr>
          <w:rFonts w:hint="eastAsia" w:ascii="仿宋" w:hAnsi="仿宋" w:eastAsia="仿宋" w:cs="仿宋"/>
          <w:b/>
          <w:bCs/>
          <w:i w:val="0"/>
          <w:iCs w:val="0"/>
          <w:caps w:val="0"/>
          <w:color w:val="auto"/>
          <w:spacing w:val="0"/>
          <w:sz w:val="32"/>
          <w:szCs w:val="32"/>
          <w:lang w:val="en-US" w:eastAsia="zh-CN"/>
        </w:rPr>
        <w:t>持续优化营商环境</w:t>
      </w:r>
      <w:r>
        <w:rPr>
          <w:rFonts w:hint="eastAsia" w:ascii="仿宋" w:hAnsi="仿宋" w:eastAsia="仿宋" w:cs="仿宋"/>
          <w:b/>
          <w:bCs/>
          <w:i w:val="0"/>
          <w:iCs w:val="0"/>
          <w:caps w:val="0"/>
          <w:color w:val="auto"/>
          <w:spacing w:val="0"/>
          <w:sz w:val="32"/>
          <w:szCs w:val="32"/>
        </w:rPr>
        <w:t>。</w:t>
      </w:r>
      <w:r>
        <w:rPr>
          <w:rFonts w:hint="eastAsia" w:ascii="仿宋" w:hAnsi="仿宋" w:eastAsia="仿宋" w:cs="仿宋"/>
          <w:b w:val="0"/>
          <w:bCs w:val="0"/>
          <w:i w:val="0"/>
          <w:iCs w:val="0"/>
          <w:color w:val="auto"/>
          <w:sz w:val="32"/>
          <w:szCs w:val="32"/>
          <w:u w:val="none"/>
          <w:lang w:eastAsia="zh-CN"/>
        </w:rPr>
        <w:t>深化</w:t>
      </w:r>
      <w:r>
        <w:rPr>
          <w:rFonts w:hint="eastAsia" w:ascii="仿宋" w:hAnsi="仿宋" w:eastAsia="仿宋" w:cs="仿宋"/>
          <w:b w:val="0"/>
          <w:bCs w:val="0"/>
          <w:i w:val="0"/>
          <w:iCs w:val="0"/>
          <w:color w:val="auto"/>
          <w:sz w:val="32"/>
          <w:szCs w:val="32"/>
          <w:u w:val="none"/>
          <w:lang w:val="en-US" w:eastAsia="zh-CN"/>
        </w:rPr>
        <w:t>营商环境优化升级“一号改革工程”成果</w:t>
      </w:r>
      <w:r>
        <w:rPr>
          <w:rFonts w:hint="eastAsia" w:ascii="仿宋" w:hAnsi="仿宋" w:eastAsia="仿宋" w:cs="仿宋"/>
          <w:b w:val="0"/>
          <w:bCs w:val="0"/>
          <w:i w:val="0"/>
          <w:iCs w:val="0"/>
          <w:color w:val="auto"/>
          <w:sz w:val="32"/>
          <w:szCs w:val="32"/>
          <w:u w:val="none"/>
          <w:lang w:eastAsia="zh-CN"/>
        </w:rPr>
        <w:t>，以数字政府建设为抓手，</w:t>
      </w:r>
      <w:r>
        <w:rPr>
          <w:rFonts w:hint="eastAsia" w:ascii="仿宋" w:hAnsi="仿宋" w:eastAsia="仿宋" w:cs="仿宋"/>
          <w:b w:val="0"/>
          <w:bCs w:val="0"/>
          <w:i w:val="0"/>
          <w:iCs w:val="0"/>
          <w:color w:val="auto"/>
          <w:kern w:val="2"/>
          <w:sz w:val="32"/>
          <w:szCs w:val="32"/>
          <w:lang w:val="en-US" w:eastAsia="zh-CN" w:bidi="ar-SA"/>
        </w:rPr>
        <w:t>持续打响“珠事顺利”营商环境品牌。</w:t>
      </w:r>
      <w:r>
        <w:rPr>
          <w:rFonts w:hint="eastAsia" w:ascii="仿宋" w:hAnsi="仿宋" w:eastAsia="仿宋" w:cs="仿宋"/>
          <w:b w:val="0"/>
          <w:bCs w:val="0"/>
          <w:i w:val="0"/>
          <w:iCs w:val="0"/>
          <w:color w:val="auto"/>
          <w:sz w:val="32"/>
          <w:szCs w:val="32"/>
          <w:u w:val="none"/>
          <w:lang w:eastAsia="zh-CN"/>
        </w:rPr>
        <w:t>注重在极简审批、超期即过等方面实现突破，拓展“高效办成一件事”范围。常态化开展“新官不理旧账”等专项整治</w:t>
      </w:r>
      <w:r>
        <w:rPr>
          <w:rFonts w:hint="eastAsia" w:ascii="仿宋" w:hAnsi="仿宋" w:eastAsia="仿宋" w:cs="仿宋"/>
          <w:b w:val="0"/>
          <w:bCs w:val="0"/>
          <w:i w:val="0"/>
          <w:iCs w:val="0"/>
          <w:color w:val="auto"/>
          <w:sz w:val="32"/>
          <w:szCs w:val="32"/>
          <w:u w:val="none"/>
          <w:lang w:val="en-US" w:eastAsia="zh-CN"/>
        </w:rPr>
        <w:t>和</w:t>
      </w:r>
      <w:r>
        <w:rPr>
          <w:rFonts w:hint="eastAsia" w:ascii="仿宋" w:hAnsi="仿宋" w:eastAsia="仿宋" w:cs="仿宋"/>
          <w:b w:val="0"/>
          <w:bCs w:val="0"/>
          <w:i w:val="0"/>
          <w:iCs w:val="0"/>
          <w:color w:val="auto"/>
          <w:sz w:val="32"/>
          <w:szCs w:val="32"/>
          <w:u w:val="none"/>
          <w:lang w:eastAsia="zh-CN"/>
        </w:rPr>
        <w:t>“万干入万企”活动，</w:t>
      </w:r>
      <w:r>
        <w:rPr>
          <w:rFonts w:hint="eastAsia" w:ascii="仿宋" w:hAnsi="仿宋" w:eastAsia="仿宋" w:cs="仿宋"/>
          <w:b w:val="0"/>
          <w:bCs w:val="0"/>
          <w:i w:val="0"/>
          <w:iCs w:val="0"/>
          <w:color w:val="auto"/>
          <w:sz w:val="32"/>
          <w:szCs w:val="32"/>
          <w:u w:val="none"/>
          <w:lang w:val="en-US" w:eastAsia="zh-CN"/>
        </w:rPr>
        <w:t>解决企业实际问题</w:t>
      </w:r>
      <w:r>
        <w:rPr>
          <w:rFonts w:hint="eastAsia" w:ascii="仿宋" w:hAnsi="仿宋" w:eastAsia="仿宋" w:cs="仿宋"/>
          <w:b w:val="0"/>
          <w:bCs w:val="0"/>
          <w:i w:val="0"/>
          <w:iCs w:val="0"/>
          <w:color w:val="auto"/>
          <w:sz w:val="32"/>
          <w:szCs w:val="32"/>
          <w:u w:val="none"/>
          <w:lang w:eastAsia="zh-CN"/>
        </w:rPr>
        <w:t>。进一步规范涉企执法监管，</w:t>
      </w:r>
      <w:r>
        <w:rPr>
          <w:rFonts w:hint="eastAsia" w:ascii="仿宋" w:hAnsi="仿宋" w:eastAsia="仿宋" w:cs="仿宋"/>
          <w:b w:val="0"/>
          <w:bCs w:val="0"/>
          <w:i w:val="0"/>
          <w:iCs w:val="0"/>
          <w:color w:val="auto"/>
          <w:sz w:val="32"/>
          <w:szCs w:val="32"/>
          <w:u w:val="none"/>
          <w:lang w:val="en-US" w:eastAsia="zh-CN"/>
        </w:rPr>
        <w:t>坚决</w:t>
      </w:r>
      <w:r>
        <w:rPr>
          <w:rFonts w:hint="eastAsia" w:ascii="仿宋" w:hAnsi="仿宋" w:eastAsia="仿宋" w:cs="仿宋"/>
          <w:b w:val="0"/>
          <w:bCs w:val="0"/>
          <w:i w:val="0"/>
          <w:iCs w:val="0"/>
          <w:color w:val="auto"/>
          <w:sz w:val="32"/>
          <w:szCs w:val="32"/>
          <w:u w:val="none"/>
          <w:lang w:eastAsia="zh-CN"/>
        </w:rPr>
        <w:t>落实“企业安静期”“首违轻微免罚”等</w:t>
      </w:r>
      <w:r>
        <w:rPr>
          <w:rFonts w:hint="eastAsia" w:ascii="仿宋" w:hAnsi="仿宋" w:eastAsia="仿宋" w:cs="仿宋"/>
          <w:b w:val="0"/>
          <w:bCs w:val="0"/>
          <w:i w:val="0"/>
          <w:iCs w:val="0"/>
          <w:color w:val="auto"/>
          <w:kern w:val="2"/>
          <w:sz w:val="32"/>
          <w:szCs w:val="32"/>
          <w:lang w:val="en-US" w:eastAsia="zh-CN" w:bidi="ar-SA"/>
        </w:rPr>
        <w:t>暖心机制</w:t>
      </w:r>
      <w:r>
        <w:rPr>
          <w:rFonts w:hint="eastAsia" w:ascii="仿宋" w:hAnsi="仿宋" w:eastAsia="仿宋" w:cs="仿宋"/>
          <w:b w:val="0"/>
          <w:bCs w:val="0"/>
          <w:i w:val="0"/>
          <w:iCs w:val="0"/>
          <w:color w:val="auto"/>
          <w:sz w:val="32"/>
          <w:szCs w:val="32"/>
          <w:u w:val="none"/>
          <w:lang w:eastAsia="zh-CN"/>
        </w:rPr>
        <w:t>，营造亲商安商良好氛围。</w:t>
      </w:r>
    </w:p>
    <w:p w14:paraId="59F3103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bCs/>
          <w:i w:val="0"/>
          <w:iCs w:val="0"/>
          <w:color w:val="auto"/>
          <w:kern w:val="2"/>
          <w:sz w:val="32"/>
          <w:szCs w:val="32"/>
          <w:lang w:val="en-US" w:eastAsia="zh-CN" w:bidi="ar-SA"/>
        </w:rPr>
        <w:t>做优做强数字经济。</w:t>
      </w:r>
      <w:r>
        <w:rPr>
          <w:rFonts w:hint="eastAsia" w:ascii="仿宋" w:hAnsi="仿宋" w:eastAsia="仿宋" w:cs="仿宋"/>
          <w:b w:val="0"/>
          <w:bCs w:val="0"/>
          <w:i w:val="0"/>
          <w:iCs w:val="0"/>
          <w:color w:val="auto"/>
          <w:kern w:val="2"/>
          <w:sz w:val="32"/>
          <w:szCs w:val="32"/>
          <w:lang w:val="en-US" w:eastAsia="zh-CN" w:bidi="ar-SA"/>
        </w:rPr>
        <w:t>全面推进数字技术与实体经济深度融合，重点布局虚拟现实、元宇宙及数字孪生、软件和信息技术服务、物联网、工业互联网、数字文创等领域，培育壮大电子陶瓷材料、电子元器件、数字文创为主的产业赛道。强化陶溪川网红直播基地等各电商贸易平台、电商基地运营，争创国家级、省级电子商务示范基地。加快链上企业上云用云，推进产业链、供应链数字化，实现精准测链、补链、强链。</w:t>
      </w:r>
    </w:p>
    <w:p w14:paraId="627DA71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bCs/>
          <w:i w:val="0"/>
          <w:iCs w:val="0"/>
          <w:color w:val="auto"/>
          <w:kern w:val="2"/>
          <w:sz w:val="32"/>
          <w:szCs w:val="32"/>
          <w:lang w:val="en-US" w:eastAsia="zh-CN" w:bidi="ar-SA"/>
        </w:rPr>
        <w:t>推进绿色低碳转型。</w:t>
      </w:r>
      <w:r>
        <w:rPr>
          <w:rFonts w:hint="eastAsia" w:ascii="仿宋" w:hAnsi="仿宋" w:eastAsia="仿宋" w:cs="仿宋"/>
          <w:b w:val="0"/>
          <w:bCs w:val="0"/>
          <w:i w:val="0"/>
          <w:iCs w:val="0"/>
          <w:color w:val="auto"/>
          <w:kern w:val="2"/>
          <w:sz w:val="32"/>
          <w:szCs w:val="32"/>
          <w:lang w:val="en-US" w:eastAsia="zh-CN" w:bidi="ar-SA"/>
        </w:rPr>
        <w:t>坚定走生态优先、绿色发展之路，不断厚植“绿色家底”。探索建立绿色制造体系，建立健全生态产品价值实现机制，努力创造“两山”转化新路径，促进生态优势转换为发展优势。扎实推进环保督察反馈问题整改，持续加强南河流域综合治理和昌江水系、三宝水系生态修复，巩固提升生态环境“优等生”地位，让珠山的天更蓝、水更清、山更绿、家园更美丽。</w:t>
      </w:r>
    </w:p>
    <w:p w14:paraId="774E12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sz w:val="32"/>
          <w:szCs w:val="32"/>
          <w:lang w:val="en-US" w:eastAsia="zh-CN"/>
        </w:rPr>
      </w:pPr>
      <w:r>
        <w:rPr>
          <w:rFonts w:hint="eastAsia" w:ascii="楷体" w:hAnsi="楷体" w:eastAsia="楷体" w:cs="楷体"/>
          <w:b/>
          <w:bCs/>
          <w:i w:val="0"/>
          <w:iCs w:val="0"/>
          <w:color w:val="auto"/>
          <w:sz w:val="32"/>
          <w:szCs w:val="32"/>
          <w:lang w:val="en-US" w:eastAsia="zh-CN"/>
        </w:rPr>
        <w:t>（六）以城中村改造为抓手，推动城乡融合发展。</w:t>
      </w:r>
      <w:r>
        <w:rPr>
          <w:rFonts w:hint="eastAsia" w:ascii="仿宋" w:hAnsi="仿宋" w:eastAsia="仿宋" w:cs="仿宋"/>
          <w:b w:val="0"/>
          <w:bCs w:val="0"/>
          <w:i w:val="0"/>
          <w:iCs w:val="0"/>
          <w:color w:val="auto"/>
          <w:sz w:val="32"/>
          <w:szCs w:val="32"/>
          <w:lang w:val="en-US" w:eastAsia="zh-CN"/>
        </w:rPr>
        <w:t>城中村改造既是民生工程，更是产业项目。要统筹推动新型城镇化与乡村全面振兴有机结合，打造既具时尚奔放、又见乡愁浓郁的珠山现代生活美学新样板。</w:t>
      </w:r>
    </w:p>
    <w:p w14:paraId="7A4570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aps w:val="0"/>
          <w:color w:val="auto"/>
          <w:spacing w:val="0"/>
          <w:sz w:val="32"/>
          <w:szCs w:val="32"/>
          <w:shd w:val="clear" w:color="auto" w:fill="FFFFFF"/>
        </w:rPr>
      </w:pPr>
      <w:r>
        <w:rPr>
          <w:rStyle w:val="16"/>
          <w:rFonts w:hint="eastAsia" w:ascii="仿宋" w:hAnsi="仿宋" w:eastAsia="仿宋" w:cs="仿宋"/>
          <w:b/>
          <w:bCs/>
          <w:i w:val="0"/>
          <w:iCs w:val="0"/>
          <w:caps w:val="0"/>
          <w:color w:val="auto"/>
          <w:spacing w:val="0"/>
          <w:sz w:val="32"/>
          <w:szCs w:val="32"/>
          <w:shd w:val="clear" w:color="auto" w:fill="FFFFFF"/>
        </w:rPr>
        <w:t>持续改善城区面貌。</w:t>
      </w:r>
      <w:r>
        <w:rPr>
          <w:rFonts w:hint="eastAsia" w:ascii="仿宋" w:hAnsi="仿宋" w:eastAsia="仿宋" w:cs="仿宋"/>
          <w:b w:val="0"/>
          <w:bCs w:val="0"/>
          <w:i w:val="0"/>
          <w:iCs w:val="0"/>
          <w:caps w:val="0"/>
          <w:color w:val="auto"/>
          <w:spacing w:val="0"/>
          <w:sz w:val="32"/>
          <w:szCs w:val="32"/>
          <w:shd w:val="clear" w:color="auto" w:fill="FFFFFF"/>
          <w:lang w:val="en-US" w:eastAsia="zh-CN"/>
        </w:rPr>
        <w:t>大力</w:t>
      </w:r>
      <w:r>
        <w:rPr>
          <w:rFonts w:hint="eastAsia" w:ascii="仿宋" w:hAnsi="仿宋" w:eastAsia="仿宋" w:cs="仿宋"/>
          <w:b w:val="0"/>
          <w:bCs w:val="0"/>
          <w:i w:val="0"/>
          <w:iCs w:val="0"/>
          <w:caps w:val="0"/>
          <w:color w:val="auto"/>
          <w:spacing w:val="0"/>
          <w:sz w:val="32"/>
          <w:szCs w:val="32"/>
          <w:shd w:val="clear" w:color="auto" w:fill="FFFFFF"/>
        </w:rPr>
        <w:t>推进好房子、好小区、好社区、好城区“四好”建设</w:t>
      </w:r>
      <w:r>
        <w:rPr>
          <w:rFonts w:hint="eastAsia" w:ascii="仿宋" w:hAnsi="仿宋" w:eastAsia="仿宋" w:cs="仿宋"/>
          <w:b w:val="0"/>
          <w:bCs w:val="0"/>
          <w:i w:val="0"/>
          <w:iCs w:val="0"/>
          <w:caps w:val="0"/>
          <w:color w:val="auto"/>
          <w:spacing w:val="0"/>
          <w:sz w:val="32"/>
          <w:szCs w:val="32"/>
          <w:shd w:val="clear" w:color="auto" w:fill="FFFFFF"/>
          <w:lang w:eastAsia="zh-CN"/>
        </w:rPr>
        <w:t>，</w:t>
      </w:r>
      <w:r>
        <w:rPr>
          <w:rFonts w:hint="eastAsia" w:ascii="仿宋" w:hAnsi="仿宋" w:eastAsia="仿宋" w:cs="仿宋"/>
          <w:b w:val="0"/>
          <w:bCs w:val="0"/>
          <w:i w:val="0"/>
          <w:iCs w:val="0"/>
          <w:caps w:val="0"/>
          <w:color w:val="auto"/>
          <w:spacing w:val="0"/>
          <w:sz w:val="32"/>
          <w:szCs w:val="32"/>
          <w:shd w:val="clear" w:color="auto" w:fill="FFFFFF"/>
        </w:rPr>
        <w:t>着手启动老鸦滩城市更新项目，加快实施南河南岸片区·防洪设施提升工程、湖田排涝站项目，统筹抓好内涝风险点整治、雨污分流和管线建设，对老旧小区和背街小巷进行微更新、微改造，常态规范特色集市、便民疏导点管理，不断提升基础设施完备度、公共服务便利度、人居环境舒适度。</w:t>
      </w:r>
    </w:p>
    <w:p w14:paraId="4B4D07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sz w:val="32"/>
          <w:szCs w:val="32"/>
          <w:u w:val="none"/>
        </w:rPr>
      </w:pPr>
      <w:r>
        <w:rPr>
          <w:rStyle w:val="16"/>
          <w:rFonts w:hint="eastAsia" w:ascii="仿宋" w:hAnsi="仿宋" w:eastAsia="仿宋" w:cs="仿宋"/>
          <w:b/>
          <w:bCs/>
          <w:i w:val="0"/>
          <w:iCs w:val="0"/>
          <w:caps w:val="0"/>
          <w:color w:val="auto"/>
          <w:spacing w:val="0"/>
          <w:sz w:val="32"/>
          <w:szCs w:val="32"/>
          <w:shd w:val="clear" w:color="auto" w:fill="FFFFFF"/>
          <w:lang w:val="en-US" w:eastAsia="zh-CN"/>
        </w:rPr>
        <w:t>全面推进乡村振兴</w:t>
      </w:r>
      <w:r>
        <w:rPr>
          <w:rStyle w:val="16"/>
          <w:rFonts w:hint="eastAsia" w:ascii="仿宋" w:hAnsi="仿宋" w:eastAsia="仿宋" w:cs="仿宋"/>
          <w:b/>
          <w:bCs/>
          <w:i w:val="0"/>
          <w:iCs w:val="0"/>
          <w:caps w:val="0"/>
          <w:color w:val="auto"/>
          <w:spacing w:val="0"/>
          <w:sz w:val="32"/>
          <w:szCs w:val="32"/>
          <w:shd w:val="clear" w:color="auto" w:fill="FFFFFF"/>
        </w:rPr>
        <w:t>。</w:t>
      </w:r>
      <w:r>
        <w:rPr>
          <w:rFonts w:hint="eastAsia" w:ascii="仿宋" w:hAnsi="仿宋" w:eastAsia="仿宋" w:cs="仿宋"/>
          <w:b w:val="0"/>
          <w:bCs w:val="0"/>
          <w:i w:val="0"/>
          <w:iCs w:val="0"/>
          <w:color w:val="auto"/>
          <w:sz w:val="32"/>
          <w:szCs w:val="32"/>
          <w:u w:val="none"/>
        </w:rPr>
        <w:t>深化乡村振兴“新三个三”发展模式，促进脱贫人口和监测对象持续增收，发展休闲农业、升级乡村旅游、做精民宿产业，推动生产生活生态生财生才“五生”融合。学好用好“千万工程”经验，抢抓国家城中村改造政策机遇，总结提炼童宾老街经验做法，深入挖掘乡村文化内涵，让每个人望得见山、看得见水、记得住乡愁</w:t>
      </w:r>
      <w:r>
        <w:rPr>
          <w:rFonts w:hint="eastAsia" w:ascii="仿宋" w:hAnsi="仿宋" w:eastAsia="仿宋" w:cs="仿宋"/>
          <w:b w:val="0"/>
          <w:bCs w:val="0"/>
          <w:i w:val="0"/>
          <w:iCs w:val="0"/>
          <w:color w:val="auto"/>
          <w:sz w:val="32"/>
          <w:szCs w:val="32"/>
          <w:u w:val="none"/>
          <w:lang w:eastAsia="zh-CN"/>
        </w:rPr>
        <w:t>，</w:t>
      </w:r>
      <w:r>
        <w:rPr>
          <w:rFonts w:hint="eastAsia" w:ascii="仿宋" w:hAnsi="仿宋" w:eastAsia="仿宋" w:cs="仿宋"/>
          <w:b w:val="0"/>
          <w:bCs w:val="0"/>
          <w:i w:val="0"/>
          <w:iCs w:val="0"/>
          <w:color w:val="auto"/>
          <w:sz w:val="32"/>
          <w:szCs w:val="32"/>
          <w:u w:val="none"/>
        </w:rPr>
        <w:t>全域统筹、系统谋划“一村一品”改造，探索既具时代魅力、又见人文艺术的“千万工程”珠山新实践。</w:t>
      </w:r>
    </w:p>
    <w:p w14:paraId="09DDD9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sz w:val="32"/>
          <w:szCs w:val="32"/>
          <w:u w:val="none"/>
          <w:lang w:eastAsia="zh-CN"/>
        </w:rPr>
      </w:pPr>
      <w:r>
        <w:rPr>
          <w:rFonts w:hint="eastAsia" w:ascii="楷体" w:hAnsi="楷体" w:eastAsia="楷体" w:cs="楷体"/>
          <w:b/>
          <w:bCs/>
          <w:i w:val="0"/>
          <w:iCs w:val="0"/>
          <w:color w:val="auto"/>
          <w:sz w:val="32"/>
          <w:szCs w:val="32"/>
          <w:lang w:val="en-US" w:eastAsia="zh-CN"/>
        </w:rPr>
        <w:t>（七）以民生实事为抓手，用心用情保民生护稳定。</w:t>
      </w:r>
      <w:r>
        <w:rPr>
          <w:rFonts w:hint="eastAsia" w:ascii="仿宋" w:hAnsi="仿宋" w:eastAsia="仿宋" w:cs="仿宋"/>
          <w:b w:val="0"/>
          <w:bCs w:val="0"/>
          <w:i w:val="0"/>
          <w:iCs w:val="0"/>
          <w:color w:val="auto"/>
          <w:sz w:val="32"/>
          <w:szCs w:val="32"/>
          <w:u w:val="none"/>
          <w:lang w:eastAsia="zh-CN"/>
        </w:rPr>
        <w:t>始终以人民为中心，用心用情保障和改善民生，全力以赴办好民生实事，让人民群众有更多获得感、幸福感、安全感。</w:t>
      </w:r>
    </w:p>
    <w:p w14:paraId="07C16E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bCs/>
          <w:i w:val="0"/>
          <w:iCs w:val="0"/>
          <w:color w:val="auto"/>
          <w:kern w:val="2"/>
          <w:sz w:val="32"/>
          <w:szCs w:val="32"/>
          <w:lang w:val="en-US" w:eastAsia="zh-CN" w:bidi="ar-SA"/>
        </w:rPr>
        <w:t>高效落实民生实事工程。</w:t>
      </w:r>
      <w:r>
        <w:rPr>
          <w:rFonts w:hint="eastAsia" w:ascii="仿宋" w:hAnsi="仿宋" w:eastAsia="仿宋" w:cs="仿宋"/>
          <w:b w:val="0"/>
          <w:bCs w:val="0"/>
          <w:i w:val="0"/>
          <w:iCs w:val="0"/>
          <w:color w:val="auto"/>
          <w:kern w:val="2"/>
          <w:sz w:val="32"/>
          <w:szCs w:val="32"/>
          <w:lang w:val="en-US" w:eastAsia="zh-CN" w:bidi="ar-SA"/>
        </w:rPr>
        <w:t>实施更加积极的就业扶持政策，持续促进“5+2就业之家”服务精细化。稳步推进街道敬老院区级直管、提升改造，建好用好嵌入式养老机构、城市老年助餐点。深入推行网上报名、阳光分班，科学合理划分调整学区，让起点更公平、让过程更公平、让结果更公平，促进义务教育优质均衡发展。科学谋划、跟进办好“十件民生实事”，让群众看到真变化、得到真实惠。</w:t>
      </w:r>
    </w:p>
    <w:p w14:paraId="08DDD31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aps w:val="0"/>
          <w:color w:val="auto"/>
          <w:spacing w:val="0"/>
          <w:sz w:val="32"/>
          <w:szCs w:val="32"/>
          <w:lang w:eastAsia="zh-CN"/>
        </w:rPr>
      </w:pPr>
      <w:r>
        <w:rPr>
          <w:rFonts w:hint="eastAsia" w:ascii="仿宋" w:hAnsi="仿宋" w:eastAsia="仿宋" w:cs="仿宋"/>
          <w:b/>
          <w:bCs/>
          <w:i w:val="0"/>
          <w:iCs w:val="0"/>
          <w:caps w:val="0"/>
          <w:color w:val="auto"/>
          <w:spacing w:val="0"/>
          <w:sz w:val="32"/>
          <w:szCs w:val="32"/>
          <w:lang w:val="en-US" w:eastAsia="zh-CN"/>
        </w:rPr>
        <w:t>健全公共服务供给体系</w:t>
      </w:r>
      <w:r>
        <w:rPr>
          <w:rFonts w:hint="eastAsia" w:ascii="仿宋" w:hAnsi="仿宋" w:eastAsia="仿宋" w:cs="仿宋"/>
          <w:b/>
          <w:bCs/>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eastAsia="zh-CN"/>
        </w:rPr>
        <w:t>聚焦民生之盼，瞄准就业、医疗、养老、住房等方面持续发力，完善基本公共服务。积极谋划人民广场周边排水管网及设施建设工程、2025年背街小巷及基础设施改造项目落地，改善城区生活环境，提升居民幸福感；加快启动竟成第一幼儿园新建项目，提供优质学前教育资源，促进学前教育普及普惠发展；加快启动竟成镇敬老院</w:t>
      </w:r>
      <w:r>
        <w:rPr>
          <w:rFonts w:hint="eastAsia" w:ascii="仿宋" w:hAnsi="仿宋" w:eastAsia="仿宋" w:cs="仿宋"/>
          <w:b w:val="0"/>
          <w:bCs w:val="0"/>
          <w:i w:val="0"/>
          <w:iCs w:val="0"/>
          <w:caps w:val="0"/>
          <w:color w:val="auto"/>
          <w:spacing w:val="0"/>
          <w:sz w:val="32"/>
          <w:szCs w:val="32"/>
          <w:lang w:val="en-US" w:eastAsia="zh-CN"/>
        </w:rPr>
        <w:t>改</w:t>
      </w:r>
      <w:r>
        <w:rPr>
          <w:rFonts w:hint="eastAsia" w:ascii="仿宋" w:hAnsi="仿宋" w:eastAsia="仿宋" w:cs="仿宋"/>
          <w:b w:val="0"/>
          <w:bCs w:val="0"/>
          <w:i w:val="0"/>
          <w:iCs w:val="0"/>
          <w:caps w:val="0"/>
          <w:color w:val="auto"/>
          <w:spacing w:val="0"/>
          <w:sz w:val="32"/>
          <w:szCs w:val="32"/>
          <w:lang w:eastAsia="zh-CN"/>
        </w:rPr>
        <w:t>建工程，让老有所养落到实处；配合</w:t>
      </w:r>
      <w:r>
        <w:rPr>
          <w:rFonts w:hint="eastAsia" w:ascii="仿宋" w:hAnsi="仿宋" w:eastAsia="仿宋" w:cs="仿宋"/>
          <w:b w:val="0"/>
          <w:bCs w:val="0"/>
          <w:i w:val="0"/>
          <w:iCs w:val="0"/>
          <w:caps w:val="0"/>
          <w:color w:val="auto"/>
          <w:spacing w:val="0"/>
          <w:sz w:val="32"/>
          <w:szCs w:val="32"/>
          <w:lang w:val="en-US" w:eastAsia="zh-CN"/>
        </w:rPr>
        <w:t>好</w:t>
      </w:r>
      <w:r>
        <w:rPr>
          <w:rFonts w:hint="eastAsia" w:ascii="仿宋" w:hAnsi="仿宋" w:eastAsia="仿宋" w:cs="仿宋"/>
          <w:b w:val="0"/>
          <w:bCs w:val="0"/>
          <w:i w:val="0"/>
          <w:iCs w:val="0"/>
          <w:caps w:val="0"/>
          <w:color w:val="auto"/>
          <w:spacing w:val="0"/>
          <w:sz w:val="32"/>
          <w:szCs w:val="32"/>
          <w:lang w:eastAsia="zh-CN"/>
        </w:rPr>
        <w:t>莲花山社区医院医养结合项目建设，大力发展社区养老机构和普惠托育服务；加快补齐防洪排涝、老城消防、电动自行车充电安全等功能短板，不断提升群众“四感”。</w:t>
      </w:r>
    </w:p>
    <w:p w14:paraId="1BE7BFB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i w:val="0"/>
          <w:iCs w:val="0"/>
          <w:color w:val="auto"/>
          <w:sz w:val="32"/>
          <w:szCs w:val="32"/>
        </w:rPr>
      </w:pPr>
      <w:r>
        <w:rPr>
          <w:rFonts w:hint="eastAsia" w:ascii="仿宋" w:hAnsi="仿宋" w:eastAsia="仿宋" w:cs="仿宋"/>
          <w:b/>
          <w:bCs/>
          <w:i w:val="0"/>
          <w:iCs w:val="0"/>
          <w:caps w:val="0"/>
          <w:color w:val="auto"/>
          <w:spacing w:val="0"/>
          <w:sz w:val="32"/>
          <w:szCs w:val="32"/>
        </w:rPr>
        <w:t>构建安全稳定社会环境</w:t>
      </w:r>
      <w:r>
        <w:rPr>
          <w:rFonts w:hint="eastAsia" w:ascii="仿宋" w:hAnsi="仿宋" w:eastAsia="仿宋" w:cs="仿宋"/>
          <w:b/>
          <w:bCs/>
          <w:i w:val="0"/>
          <w:iCs w:val="0"/>
          <w:caps w:val="0"/>
          <w:color w:val="auto"/>
          <w:spacing w:val="0"/>
          <w:sz w:val="32"/>
          <w:szCs w:val="32"/>
          <w:lang w:eastAsia="zh-CN"/>
        </w:rPr>
        <w:t>。</w:t>
      </w:r>
      <w:r>
        <w:rPr>
          <w:rFonts w:hint="eastAsia" w:ascii="仿宋" w:hAnsi="仿宋" w:eastAsia="仿宋" w:cs="仿宋"/>
          <w:b w:val="0"/>
          <w:bCs w:val="0"/>
          <w:i w:val="0"/>
          <w:iCs w:val="0"/>
          <w:color w:val="auto"/>
          <w:sz w:val="32"/>
          <w:szCs w:val="32"/>
        </w:rPr>
        <w:t>做实“精网微格”治理基础，充分整合社区、公安、城管等力量，推动治理重心下移、资源下沉、保障下倾。用好“访调诉”一站式服务中心，巩固“百姓说事”平台作用，及时把矛盾纠纷化解在基层、消除在萌芽。强化城区立体化治安防控建设，积极做好预防未成年人违法犯罪工作，加快完善社会心理服务体系。兜牢兜实 “三保”底线，深化国有“三资”管理改革，防范化解经济金融领域重大风险。深入推进安全生产治本攻坚三年行动，严格落实“三管三必须”要求，坚决遏制各类事故发生，切实维护人民群众生命财产安全。</w:t>
      </w:r>
    </w:p>
    <w:p w14:paraId="3DC174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b w:val="0"/>
          <w:bCs w:val="0"/>
          <w:i w:val="0"/>
          <w:iCs w:val="0"/>
          <w:color w:val="auto"/>
          <w:sz w:val="32"/>
          <w:szCs w:val="32"/>
        </w:rPr>
      </w:pPr>
      <w:r>
        <w:rPr>
          <w:rFonts w:hint="eastAsia" w:ascii="仿宋" w:hAnsi="仿宋" w:eastAsia="仿宋" w:cs="仿宋"/>
          <w:b w:val="0"/>
          <w:bCs w:val="0"/>
          <w:i w:val="0"/>
          <w:iCs w:val="0"/>
          <w:color w:val="auto"/>
          <w:kern w:val="2"/>
          <w:sz w:val="32"/>
          <w:szCs w:val="32"/>
          <w:lang w:val="en-US" w:eastAsia="zh-CN" w:bidi="ar-SA"/>
        </w:rPr>
        <w:t>各位代表，做好2025年国民经济和社会发展工作，任务艰巨，责任重大。我们要在区委区政府的坚强领导下，在区人大、区政协的监督支持下，深入贯彻党的二十大和二十届二中、三中全会精神，全面落实习近平总书记考察江西重要讲话和对景德镇重要指示批示精神，根据省委部署，按照省、市、区委全会要求，齐心协力、真抓实干，扎实推动经济社会高质量发展，奋力把“千年瓷都”这张靓丽的名片擦得更亮！</w:t>
      </w:r>
    </w:p>
    <w:sectPr>
      <w:footerReference r:id="rId3" w:type="default"/>
      <w:footerReference r:id="rId4" w:type="even"/>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Times New Roman"/>
    <w:panose1 w:val="020B0604020000020204"/>
    <w:charset w:val="0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9D11">
    <w:pPr>
      <w:pStyle w:val="10"/>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69E8D">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469E8D">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240668A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0BADE">
    <w:pPr>
      <w:pStyle w:val="10"/>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E5086">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0E5086">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ZjcyODE0ZThhOTRkZmFhZmNiODc2NTg4ZWRkMTEifQ=="/>
  </w:docVars>
  <w:rsids>
    <w:rsidRoot w:val="00416866"/>
    <w:rsid w:val="0000565C"/>
    <w:rsid w:val="00011085"/>
    <w:rsid w:val="000211C6"/>
    <w:rsid w:val="000236BD"/>
    <w:rsid w:val="000252D4"/>
    <w:rsid w:val="000333D7"/>
    <w:rsid w:val="000447A5"/>
    <w:rsid w:val="000571EC"/>
    <w:rsid w:val="00061292"/>
    <w:rsid w:val="000625BC"/>
    <w:rsid w:val="000632FD"/>
    <w:rsid w:val="00066312"/>
    <w:rsid w:val="00091930"/>
    <w:rsid w:val="0009387F"/>
    <w:rsid w:val="0009404A"/>
    <w:rsid w:val="000A796B"/>
    <w:rsid w:val="000B112F"/>
    <w:rsid w:val="000C2408"/>
    <w:rsid w:val="000D37B2"/>
    <w:rsid w:val="000E3DDD"/>
    <w:rsid w:val="000E4095"/>
    <w:rsid w:val="000E4E2A"/>
    <w:rsid w:val="00103785"/>
    <w:rsid w:val="00103862"/>
    <w:rsid w:val="001157FA"/>
    <w:rsid w:val="00115EE7"/>
    <w:rsid w:val="001177F4"/>
    <w:rsid w:val="00122F27"/>
    <w:rsid w:val="00123292"/>
    <w:rsid w:val="00144DB1"/>
    <w:rsid w:val="00152671"/>
    <w:rsid w:val="00154F49"/>
    <w:rsid w:val="00157329"/>
    <w:rsid w:val="001653D7"/>
    <w:rsid w:val="00165513"/>
    <w:rsid w:val="00182C01"/>
    <w:rsid w:val="001831E1"/>
    <w:rsid w:val="0019310A"/>
    <w:rsid w:val="00193588"/>
    <w:rsid w:val="00193BFB"/>
    <w:rsid w:val="001A2E42"/>
    <w:rsid w:val="001C1E95"/>
    <w:rsid w:val="001C4E98"/>
    <w:rsid w:val="001C5DF3"/>
    <w:rsid w:val="001C76C0"/>
    <w:rsid w:val="001F5220"/>
    <w:rsid w:val="001F7D19"/>
    <w:rsid w:val="0020394C"/>
    <w:rsid w:val="00203C6B"/>
    <w:rsid w:val="00206116"/>
    <w:rsid w:val="0020751B"/>
    <w:rsid w:val="00216018"/>
    <w:rsid w:val="00217007"/>
    <w:rsid w:val="0021760A"/>
    <w:rsid w:val="00217F64"/>
    <w:rsid w:val="0022008F"/>
    <w:rsid w:val="00227519"/>
    <w:rsid w:val="00232F6C"/>
    <w:rsid w:val="002334DE"/>
    <w:rsid w:val="00233F88"/>
    <w:rsid w:val="00250347"/>
    <w:rsid w:val="00251ED2"/>
    <w:rsid w:val="002732E6"/>
    <w:rsid w:val="0027590B"/>
    <w:rsid w:val="00275C58"/>
    <w:rsid w:val="00297F4D"/>
    <w:rsid w:val="002A34D2"/>
    <w:rsid w:val="002A633D"/>
    <w:rsid w:val="002C6346"/>
    <w:rsid w:val="002E36F3"/>
    <w:rsid w:val="002E51EE"/>
    <w:rsid w:val="002E570E"/>
    <w:rsid w:val="002F2FDC"/>
    <w:rsid w:val="002F77EE"/>
    <w:rsid w:val="0031005E"/>
    <w:rsid w:val="00311997"/>
    <w:rsid w:val="0031705D"/>
    <w:rsid w:val="00322574"/>
    <w:rsid w:val="00323EBC"/>
    <w:rsid w:val="00325753"/>
    <w:rsid w:val="00325AD6"/>
    <w:rsid w:val="00326B5F"/>
    <w:rsid w:val="00331B98"/>
    <w:rsid w:val="00342FEC"/>
    <w:rsid w:val="00351FA4"/>
    <w:rsid w:val="00363A8D"/>
    <w:rsid w:val="00366C60"/>
    <w:rsid w:val="00382E1E"/>
    <w:rsid w:val="003831FE"/>
    <w:rsid w:val="003873EB"/>
    <w:rsid w:val="003B5B31"/>
    <w:rsid w:val="003B70DD"/>
    <w:rsid w:val="003C53AF"/>
    <w:rsid w:val="003C63AD"/>
    <w:rsid w:val="003D5A75"/>
    <w:rsid w:val="003E57FE"/>
    <w:rsid w:val="003E7F72"/>
    <w:rsid w:val="003F4164"/>
    <w:rsid w:val="003F4EB5"/>
    <w:rsid w:val="00415A1A"/>
    <w:rsid w:val="00416866"/>
    <w:rsid w:val="00423947"/>
    <w:rsid w:val="00423CAD"/>
    <w:rsid w:val="00437F09"/>
    <w:rsid w:val="0044533A"/>
    <w:rsid w:val="00451ADF"/>
    <w:rsid w:val="004661EB"/>
    <w:rsid w:val="00471FC9"/>
    <w:rsid w:val="00491125"/>
    <w:rsid w:val="004918C7"/>
    <w:rsid w:val="00493CF9"/>
    <w:rsid w:val="00497AA6"/>
    <w:rsid w:val="004C2747"/>
    <w:rsid w:val="004D3321"/>
    <w:rsid w:val="004F18DD"/>
    <w:rsid w:val="004F425E"/>
    <w:rsid w:val="004F64B5"/>
    <w:rsid w:val="004F6F79"/>
    <w:rsid w:val="00507FD6"/>
    <w:rsid w:val="005124BD"/>
    <w:rsid w:val="005137BC"/>
    <w:rsid w:val="0053014F"/>
    <w:rsid w:val="00533B80"/>
    <w:rsid w:val="0053480D"/>
    <w:rsid w:val="0053571D"/>
    <w:rsid w:val="00547599"/>
    <w:rsid w:val="00564B52"/>
    <w:rsid w:val="00567B7F"/>
    <w:rsid w:val="00587C03"/>
    <w:rsid w:val="00590855"/>
    <w:rsid w:val="00592A90"/>
    <w:rsid w:val="00595987"/>
    <w:rsid w:val="005A1C0E"/>
    <w:rsid w:val="005A5959"/>
    <w:rsid w:val="005B3CE1"/>
    <w:rsid w:val="005B4215"/>
    <w:rsid w:val="005B481E"/>
    <w:rsid w:val="005B5646"/>
    <w:rsid w:val="005B5D22"/>
    <w:rsid w:val="005C1068"/>
    <w:rsid w:val="005C6E7D"/>
    <w:rsid w:val="005D64BE"/>
    <w:rsid w:val="005D6E85"/>
    <w:rsid w:val="005E0EE5"/>
    <w:rsid w:val="005F3147"/>
    <w:rsid w:val="005F3C51"/>
    <w:rsid w:val="005F3F5C"/>
    <w:rsid w:val="005F4E2F"/>
    <w:rsid w:val="006070D2"/>
    <w:rsid w:val="006162A8"/>
    <w:rsid w:val="00622D87"/>
    <w:rsid w:val="00633FB0"/>
    <w:rsid w:val="00646153"/>
    <w:rsid w:val="00646A0B"/>
    <w:rsid w:val="006524A2"/>
    <w:rsid w:val="00657536"/>
    <w:rsid w:val="006650F1"/>
    <w:rsid w:val="006676E2"/>
    <w:rsid w:val="006746F8"/>
    <w:rsid w:val="00675FDC"/>
    <w:rsid w:val="006826F0"/>
    <w:rsid w:val="0068781C"/>
    <w:rsid w:val="0069151C"/>
    <w:rsid w:val="006A18AF"/>
    <w:rsid w:val="006A288A"/>
    <w:rsid w:val="006B7A3C"/>
    <w:rsid w:val="006E03F3"/>
    <w:rsid w:val="006E2397"/>
    <w:rsid w:val="006E375C"/>
    <w:rsid w:val="006F1522"/>
    <w:rsid w:val="006F185F"/>
    <w:rsid w:val="006F5889"/>
    <w:rsid w:val="00700CAB"/>
    <w:rsid w:val="00701ECF"/>
    <w:rsid w:val="00714B50"/>
    <w:rsid w:val="00737872"/>
    <w:rsid w:val="00742D84"/>
    <w:rsid w:val="00751036"/>
    <w:rsid w:val="00751EF9"/>
    <w:rsid w:val="007533B8"/>
    <w:rsid w:val="007560CD"/>
    <w:rsid w:val="00760ADD"/>
    <w:rsid w:val="0076291E"/>
    <w:rsid w:val="0077151C"/>
    <w:rsid w:val="007A2590"/>
    <w:rsid w:val="007B2193"/>
    <w:rsid w:val="007B31B2"/>
    <w:rsid w:val="007B54B0"/>
    <w:rsid w:val="007C5573"/>
    <w:rsid w:val="007E001C"/>
    <w:rsid w:val="007E026D"/>
    <w:rsid w:val="007E5115"/>
    <w:rsid w:val="007F56A0"/>
    <w:rsid w:val="007F73B4"/>
    <w:rsid w:val="0080345A"/>
    <w:rsid w:val="00805E42"/>
    <w:rsid w:val="00825C64"/>
    <w:rsid w:val="0082740E"/>
    <w:rsid w:val="00831ADF"/>
    <w:rsid w:val="0083614E"/>
    <w:rsid w:val="00867CB2"/>
    <w:rsid w:val="008724A0"/>
    <w:rsid w:val="0089163B"/>
    <w:rsid w:val="008917DD"/>
    <w:rsid w:val="008A2C49"/>
    <w:rsid w:val="008A3697"/>
    <w:rsid w:val="008C2FAB"/>
    <w:rsid w:val="008C7C80"/>
    <w:rsid w:val="008D50A4"/>
    <w:rsid w:val="008E1EC2"/>
    <w:rsid w:val="008E525D"/>
    <w:rsid w:val="008E6E09"/>
    <w:rsid w:val="008F5001"/>
    <w:rsid w:val="00915511"/>
    <w:rsid w:val="009219A4"/>
    <w:rsid w:val="009241F7"/>
    <w:rsid w:val="009303C0"/>
    <w:rsid w:val="009315AF"/>
    <w:rsid w:val="009367BC"/>
    <w:rsid w:val="0093699D"/>
    <w:rsid w:val="00937866"/>
    <w:rsid w:val="00942DD6"/>
    <w:rsid w:val="00963C0E"/>
    <w:rsid w:val="00972A7A"/>
    <w:rsid w:val="0098344C"/>
    <w:rsid w:val="0098635B"/>
    <w:rsid w:val="00992B6E"/>
    <w:rsid w:val="00993F83"/>
    <w:rsid w:val="00995533"/>
    <w:rsid w:val="009B0F05"/>
    <w:rsid w:val="009D5400"/>
    <w:rsid w:val="009E07E9"/>
    <w:rsid w:val="009E1294"/>
    <w:rsid w:val="009E283F"/>
    <w:rsid w:val="009E714C"/>
    <w:rsid w:val="009F4388"/>
    <w:rsid w:val="00A07106"/>
    <w:rsid w:val="00A10D82"/>
    <w:rsid w:val="00A221C8"/>
    <w:rsid w:val="00A267AF"/>
    <w:rsid w:val="00A353A1"/>
    <w:rsid w:val="00A37977"/>
    <w:rsid w:val="00A50033"/>
    <w:rsid w:val="00A63702"/>
    <w:rsid w:val="00A7134F"/>
    <w:rsid w:val="00A7455F"/>
    <w:rsid w:val="00A74DF2"/>
    <w:rsid w:val="00A77662"/>
    <w:rsid w:val="00A80E16"/>
    <w:rsid w:val="00A86E7F"/>
    <w:rsid w:val="00A91C10"/>
    <w:rsid w:val="00A92B24"/>
    <w:rsid w:val="00A92C50"/>
    <w:rsid w:val="00A94D67"/>
    <w:rsid w:val="00AA38C6"/>
    <w:rsid w:val="00AB3DAC"/>
    <w:rsid w:val="00AC1718"/>
    <w:rsid w:val="00AD6E16"/>
    <w:rsid w:val="00AF2132"/>
    <w:rsid w:val="00AF7D56"/>
    <w:rsid w:val="00B13B28"/>
    <w:rsid w:val="00B27881"/>
    <w:rsid w:val="00B31627"/>
    <w:rsid w:val="00B321AA"/>
    <w:rsid w:val="00B51FC8"/>
    <w:rsid w:val="00B641DD"/>
    <w:rsid w:val="00B753C1"/>
    <w:rsid w:val="00B81369"/>
    <w:rsid w:val="00B91905"/>
    <w:rsid w:val="00B93753"/>
    <w:rsid w:val="00B94DA2"/>
    <w:rsid w:val="00BA4930"/>
    <w:rsid w:val="00BB1F70"/>
    <w:rsid w:val="00BC4CED"/>
    <w:rsid w:val="00BD41ED"/>
    <w:rsid w:val="00BE18F4"/>
    <w:rsid w:val="00BE3C14"/>
    <w:rsid w:val="00BE4E11"/>
    <w:rsid w:val="00BF27CB"/>
    <w:rsid w:val="00BF59EC"/>
    <w:rsid w:val="00C00432"/>
    <w:rsid w:val="00C05968"/>
    <w:rsid w:val="00C07300"/>
    <w:rsid w:val="00C15373"/>
    <w:rsid w:val="00C306FA"/>
    <w:rsid w:val="00C3442C"/>
    <w:rsid w:val="00C46262"/>
    <w:rsid w:val="00C526B4"/>
    <w:rsid w:val="00C754B1"/>
    <w:rsid w:val="00C837A9"/>
    <w:rsid w:val="00C83963"/>
    <w:rsid w:val="00C86D57"/>
    <w:rsid w:val="00CA053D"/>
    <w:rsid w:val="00CA40C8"/>
    <w:rsid w:val="00CB2C4C"/>
    <w:rsid w:val="00CB7103"/>
    <w:rsid w:val="00CD3F4E"/>
    <w:rsid w:val="00CD4FB2"/>
    <w:rsid w:val="00CD56BC"/>
    <w:rsid w:val="00CF1037"/>
    <w:rsid w:val="00CF325C"/>
    <w:rsid w:val="00D10D46"/>
    <w:rsid w:val="00D11001"/>
    <w:rsid w:val="00D15E5C"/>
    <w:rsid w:val="00D167C8"/>
    <w:rsid w:val="00D314CA"/>
    <w:rsid w:val="00D34B08"/>
    <w:rsid w:val="00D56CD4"/>
    <w:rsid w:val="00D613C4"/>
    <w:rsid w:val="00D71CBD"/>
    <w:rsid w:val="00D7551B"/>
    <w:rsid w:val="00D87609"/>
    <w:rsid w:val="00DA1222"/>
    <w:rsid w:val="00DA1829"/>
    <w:rsid w:val="00DA4926"/>
    <w:rsid w:val="00DB3AD6"/>
    <w:rsid w:val="00DB73E4"/>
    <w:rsid w:val="00DC27E6"/>
    <w:rsid w:val="00DC6910"/>
    <w:rsid w:val="00DD0D68"/>
    <w:rsid w:val="00DD2FE6"/>
    <w:rsid w:val="00DD74C8"/>
    <w:rsid w:val="00DE0896"/>
    <w:rsid w:val="00DE3056"/>
    <w:rsid w:val="00DF7609"/>
    <w:rsid w:val="00E04365"/>
    <w:rsid w:val="00E04D95"/>
    <w:rsid w:val="00E1245F"/>
    <w:rsid w:val="00E23745"/>
    <w:rsid w:val="00E3547A"/>
    <w:rsid w:val="00E35CFA"/>
    <w:rsid w:val="00E71015"/>
    <w:rsid w:val="00E74E44"/>
    <w:rsid w:val="00E755D4"/>
    <w:rsid w:val="00E76C1E"/>
    <w:rsid w:val="00E80592"/>
    <w:rsid w:val="00E93B5A"/>
    <w:rsid w:val="00E94095"/>
    <w:rsid w:val="00E9414E"/>
    <w:rsid w:val="00E94EE5"/>
    <w:rsid w:val="00EA7143"/>
    <w:rsid w:val="00EB12AB"/>
    <w:rsid w:val="00EB22B3"/>
    <w:rsid w:val="00EB7CF3"/>
    <w:rsid w:val="00EE17E0"/>
    <w:rsid w:val="00EE66EF"/>
    <w:rsid w:val="00EE6EF1"/>
    <w:rsid w:val="00EF0BFD"/>
    <w:rsid w:val="00EF5F38"/>
    <w:rsid w:val="00EF6197"/>
    <w:rsid w:val="00EF72E0"/>
    <w:rsid w:val="00F00A2D"/>
    <w:rsid w:val="00F030C0"/>
    <w:rsid w:val="00F07888"/>
    <w:rsid w:val="00F13578"/>
    <w:rsid w:val="00F22122"/>
    <w:rsid w:val="00F30803"/>
    <w:rsid w:val="00F435EB"/>
    <w:rsid w:val="00F44F15"/>
    <w:rsid w:val="00F714F7"/>
    <w:rsid w:val="00F808CE"/>
    <w:rsid w:val="00F819A2"/>
    <w:rsid w:val="00F85AE6"/>
    <w:rsid w:val="00F97E78"/>
    <w:rsid w:val="00FA22A0"/>
    <w:rsid w:val="00FA34BC"/>
    <w:rsid w:val="00FB1C45"/>
    <w:rsid w:val="00FB61EF"/>
    <w:rsid w:val="00FC1E3A"/>
    <w:rsid w:val="00FD2487"/>
    <w:rsid w:val="00FE3603"/>
    <w:rsid w:val="00FF01E8"/>
    <w:rsid w:val="015E6355"/>
    <w:rsid w:val="019E3F2A"/>
    <w:rsid w:val="025A3298"/>
    <w:rsid w:val="05CF7B72"/>
    <w:rsid w:val="064A7A86"/>
    <w:rsid w:val="06C15501"/>
    <w:rsid w:val="08A40A20"/>
    <w:rsid w:val="0B275F39"/>
    <w:rsid w:val="11610248"/>
    <w:rsid w:val="169B76D1"/>
    <w:rsid w:val="16E36FD9"/>
    <w:rsid w:val="1C5E0567"/>
    <w:rsid w:val="1E060E37"/>
    <w:rsid w:val="1E9A0C69"/>
    <w:rsid w:val="214014B8"/>
    <w:rsid w:val="220570AC"/>
    <w:rsid w:val="24D421C2"/>
    <w:rsid w:val="24FC0057"/>
    <w:rsid w:val="25B2045B"/>
    <w:rsid w:val="286F2FA1"/>
    <w:rsid w:val="29610989"/>
    <w:rsid w:val="29CB754A"/>
    <w:rsid w:val="29FE1846"/>
    <w:rsid w:val="2A780576"/>
    <w:rsid w:val="2B8925CC"/>
    <w:rsid w:val="2B900892"/>
    <w:rsid w:val="2E0E3E6F"/>
    <w:rsid w:val="2F3F2FA2"/>
    <w:rsid w:val="30890978"/>
    <w:rsid w:val="315D7420"/>
    <w:rsid w:val="33C61EE3"/>
    <w:rsid w:val="34B54432"/>
    <w:rsid w:val="351647A5"/>
    <w:rsid w:val="36793FBB"/>
    <w:rsid w:val="393671C3"/>
    <w:rsid w:val="3A115F36"/>
    <w:rsid w:val="3AFF433F"/>
    <w:rsid w:val="3B603E93"/>
    <w:rsid w:val="3C487939"/>
    <w:rsid w:val="3C9E1934"/>
    <w:rsid w:val="3CE138EA"/>
    <w:rsid w:val="3E4F2E22"/>
    <w:rsid w:val="3F1512F5"/>
    <w:rsid w:val="40155D85"/>
    <w:rsid w:val="41A1758B"/>
    <w:rsid w:val="41F52311"/>
    <w:rsid w:val="42C8423D"/>
    <w:rsid w:val="45463741"/>
    <w:rsid w:val="467D28D5"/>
    <w:rsid w:val="4694534E"/>
    <w:rsid w:val="46CC68DB"/>
    <w:rsid w:val="471671B5"/>
    <w:rsid w:val="483E50E0"/>
    <w:rsid w:val="49637622"/>
    <w:rsid w:val="4AB915BA"/>
    <w:rsid w:val="50235A79"/>
    <w:rsid w:val="52086FB4"/>
    <w:rsid w:val="523C5EA4"/>
    <w:rsid w:val="563A1C02"/>
    <w:rsid w:val="567E36F0"/>
    <w:rsid w:val="5A7311D7"/>
    <w:rsid w:val="5AA02A7C"/>
    <w:rsid w:val="5C336755"/>
    <w:rsid w:val="5CE160B8"/>
    <w:rsid w:val="5F954A8D"/>
    <w:rsid w:val="60C50FA1"/>
    <w:rsid w:val="63761ED3"/>
    <w:rsid w:val="64E2765C"/>
    <w:rsid w:val="65C14488"/>
    <w:rsid w:val="675A20CD"/>
    <w:rsid w:val="680A7A18"/>
    <w:rsid w:val="68826A3C"/>
    <w:rsid w:val="69084772"/>
    <w:rsid w:val="691272A3"/>
    <w:rsid w:val="6AF91C7B"/>
    <w:rsid w:val="6CBC5A50"/>
    <w:rsid w:val="6D060CB9"/>
    <w:rsid w:val="6D275220"/>
    <w:rsid w:val="6D4F612A"/>
    <w:rsid w:val="6E3B43E9"/>
    <w:rsid w:val="6EEF3519"/>
    <w:rsid w:val="73127121"/>
    <w:rsid w:val="73733E3B"/>
    <w:rsid w:val="78CA2377"/>
    <w:rsid w:val="794824EC"/>
    <w:rsid w:val="7D99109C"/>
    <w:rsid w:val="7D9A130D"/>
    <w:rsid w:val="7F8921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spacing w:before="100" w:beforeAutospacing="1" w:after="100" w:afterAutospacing="1"/>
      <w:ind w:left="1680"/>
    </w:pPr>
    <w:rPr>
      <w:rFonts w:ascii="Times New Roman" w:hAnsi="Times New Roman"/>
      <w:szCs w:val="21"/>
    </w:rPr>
  </w:style>
  <w:style w:type="paragraph" w:styleId="4">
    <w:name w:val="Body Text"/>
    <w:basedOn w:val="1"/>
    <w:qFormat/>
    <w:uiPriority w:val="0"/>
    <w:pPr>
      <w:spacing w:after="120"/>
    </w:pPr>
    <w:rPr>
      <w:szCs w:val="24"/>
    </w:rPr>
  </w:style>
  <w:style w:type="paragraph" w:styleId="5">
    <w:name w:val="Body Text Indent"/>
    <w:basedOn w:val="1"/>
    <w:qFormat/>
    <w:uiPriority w:val="0"/>
    <w:pPr>
      <w:spacing w:after="120"/>
      <w:ind w:left="420" w:leftChars="200"/>
    </w:pPr>
  </w:style>
  <w:style w:type="paragraph" w:styleId="6">
    <w:name w:val="Plain Text"/>
    <w:basedOn w:val="1"/>
    <w:next w:val="7"/>
    <w:qFormat/>
    <w:uiPriority w:val="0"/>
    <w:rPr>
      <w:rFonts w:ascii="宋体" w:hAnsi="Courier New"/>
      <w:szCs w:val="21"/>
    </w:rPr>
  </w:style>
  <w:style w:type="paragraph" w:customStyle="1" w:styleId="7">
    <w:name w:val="表格样式 1 A"/>
    <w:next w:val="8"/>
    <w:qFormat/>
    <w:uiPriority w:val="0"/>
    <w:pPr>
      <w:ind w:firstLine="6144"/>
    </w:pPr>
    <w:rPr>
      <w:rFonts w:ascii="Arial Unicode MS" w:hAnsi="Times New Roman" w:eastAsia="宋体" w:cs="Times New Roman"/>
      <w:sz w:val="24"/>
      <w:szCs w:val="24"/>
      <w:lang w:val="en-US" w:eastAsia="zh-CN" w:bidi="ar-SA"/>
    </w:rPr>
  </w:style>
  <w:style w:type="paragraph" w:styleId="8">
    <w:name w:val="header"/>
    <w:basedOn w:val="1"/>
    <w:next w:val="9"/>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BlockQuote"/>
    <w:basedOn w:val="1"/>
    <w:qFormat/>
    <w:uiPriority w:val="0"/>
    <w:pPr>
      <w:ind w:left="1440" w:leftChars="700" w:right="700" w:rightChars="700"/>
      <w:jc w:val="both"/>
      <w:textAlignment w:val="baseline"/>
    </w:pPr>
    <w:rPr>
      <w:rFonts w:ascii="Times New Roman" w:hAnsi="Times New Roman" w:eastAsia="宋体" w:cs="Times New Roman"/>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footnote text"/>
    <w:link w:val="21"/>
    <w:qFormat/>
    <w:uiPriority w:val="0"/>
    <w:pPr>
      <w:adjustRightInd w:val="0"/>
      <w:snapToGrid w:val="0"/>
      <w:spacing w:after="200"/>
    </w:pPr>
    <w:rPr>
      <w:rFonts w:ascii="Tahoma" w:hAnsi="Tahoma" w:eastAsia="宋体" w:cs="Times New Roman"/>
      <w:sz w:val="18"/>
      <w:szCs w:val="18"/>
      <w:lang w:val="en-US" w:eastAsia="zh-CN" w:bidi="ar-SA"/>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2"/>
    <w:basedOn w:val="1"/>
    <w:next w:val="1"/>
    <w:qFormat/>
    <w:uiPriority w:val="0"/>
    <w:pPr>
      <w:ind w:firstLine="420" w:firstLineChars="200"/>
    </w:p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 Char Char3"/>
    <w:link w:val="2"/>
    <w:qFormat/>
    <w:uiPriority w:val="9"/>
    <w:rPr>
      <w:rFonts w:ascii="宋体" w:hAnsi="宋体" w:eastAsia="宋体" w:cs="宋体"/>
      <w:b/>
      <w:bCs/>
      <w:kern w:val="36"/>
      <w:sz w:val="48"/>
      <w:szCs w:val="48"/>
    </w:rPr>
  </w:style>
  <w:style w:type="character" w:customStyle="1" w:styleId="19">
    <w:name w:val=" Char Char"/>
    <w:link w:val="8"/>
    <w:semiHidden/>
    <w:qFormat/>
    <w:uiPriority w:val="99"/>
    <w:rPr>
      <w:sz w:val="18"/>
      <w:szCs w:val="18"/>
    </w:rPr>
  </w:style>
  <w:style w:type="character" w:customStyle="1" w:styleId="20">
    <w:name w:val=" Char Char2"/>
    <w:link w:val="10"/>
    <w:qFormat/>
    <w:uiPriority w:val="99"/>
    <w:rPr>
      <w:sz w:val="18"/>
      <w:szCs w:val="18"/>
    </w:rPr>
  </w:style>
  <w:style w:type="character" w:customStyle="1" w:styleId="21">
    <w:name w:val=" Char Char1"/>
    <w:link w:val="11"/>
    <w:qFormat/>
    <w:uiPriority w:val="0"/>
    <w:rPr>
      <w:rFonts w:ascii="Tahoma" w:hAnsi="Tahoma"/>
      <w:sz w:val="18"/>
      <w:szCs w:val="18"/>
      <w:lang w:val="en-US" w:eastAsia="zh-CN" w:bidi="ar-SA"/>
    </w:rPr>
  </w:style>
  <w:style w:type="character" w:customStyle="1" w:styleId="22">
    <w:name w:val="UserStyle_0"/>
    <w:semiHidden/>
    <w:qFormat/>
    <w:uiPriority w:val="0"/>
    <w:rPr>
      <w:kern w:val="2"/>
      <w:sz w:val="24"/>
      <w:lang w:val="en-US" w:eastAsia="zh-CN"/>
    </w:rPr>
  </w:style>
  <w:style w:type="character" w:customStyle="1" w:styleId="23">
    <w:name w:val="NormalCharacter"/>
    <w:qFormat/>
    <w:uiPriority w:val="0"/>
    <w:rPr>
      <w:rFonts w:ascii="Calibri" w:hAnsi="Calibri" w:eastAsia="宋体" w:cs="Times New Roman"/>
      <w:kern w:val="2"/>
      <w:sz w:val="21"/>
      <w:szCs w:val="24"/>
      <w:lang w:val="en-US" w:eastAsia="zh-CN" w:bidi="ar-SA"/>
    </w:rPr>
  </w:style>
  <w:style w:type="character" w:customStyle="1" w:styleId="24">
    <w:name w:val="15"/>
    <w:qFormat/>
    <w:uiPriority w:val="0"/>
    <w:rPr>
      <w:rFonts w:hint="default" w:ascii="Times New Roman" w:hAnsi="Times New Roman" w:cs="Times New Roman"/>
      <w:vertAlign w:val="superscript"/>
    </w:rPr>
  </w:style>
  <w:style w:type="character" w:customStyle="1" w:styleId="25">
    <w:name w:val="16"/>
    <w:qFormat/>
    <w:uiPriority w:val="0"/>
    <w:rPr>
      <w:rFonts w:hint="default" w:ascii="Times New Roman" w:hAnsi="Times New Roman" w:cs="Times New Roman"/>
      <w:b/>
      <w:bCs/>
    </w:rPr>
  </w:style>
  <w:style w:type="paragraph" w:customStyle="1" w:styleId="26">
    <w:name w:val="Body text|1"/>
    <w:basedOn w:val="1"/>
    <w:qFormat/>
    <w:uiPriority w:val="0"/>
    <w:pPr>
      <w:spacing w:line="442" w:lineRule="auto"/>
      <w:ind w:firstLine="400"/>
    </w:pPr>
    <w:rPr>
      <w:rFonts w:ascii="宋体" w:hAnsi="宋体" w:cs="宋体"/>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8511</Words>
  <Characters>8864</Characters>
  <Lines>64</Lines>
  <Paragraphs>18</Paragraphs>
  <TotalTime>50</TotalTime>
  <ScaleCrop>false</ScaleCrop>
  <LinksUpToDate>false</LinksUpToDate>
  <CharactersWithSpaces>8873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2023-05-11T07:58:00Z</dcterms:created>
  <dc:creator>Administrator</dc:creator>
  <cp:lastModifiedBy>珠山区发展和改革委员会</cp:lastModifiedBy>
  <cp:lastPrinted>2023-05-11T03:00:00Z</cp:lastPrinted>
  <dcterms:modified xsi:type="dcterms:W3CDTF">2025-05-19T07:22:43Z</dcterms:modified>
  <dc:title>景德镇市珠山区2019年国民经济和社会发展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FBF9A3C4463040B7A47BB4265BB862A9_13</vt:lpwstr>
  </property>
  <property fmtid="{D5CDD505-2E9C-101B-9397-08002B2CF9AE}" pid="4" name="KSOTemplateDocerSaveRecord">
    <vt:lpwstr>eyJoZGlkIjoiNTU0MzI5ZTgyMDEzNWU4ODUyNDdmMTVlNWIwMjQyYzUiLCJ1c2VySWQiOiI4NjE0MDE2NTYifQ==</vt:lpwstr>
  </property>
</Properties>
</file>