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珠山区民政事业发展“十四五”规划</w:t>
      </w:r>
    </w:p>
    <w:p>
      <w:pPr>
        <w:pStyle w:val="2"/>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Fonts w:hint="eastAsia" w:ascii="仿宋" w:hAnsi="仿宋" w:eastAsia="仿宋" w:cs="仿宋"/>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22"/>
        </w:rPr>
      </w:pPr>
      <w:r>
        <w:rPr>
          <w:rFonts w:hint="eastAsia" w:ascii="仿宋_GB2312" w:hAnsi="仿宋_GB2312" w:eastAsia="仿宋_GB2312" w:cs="仿宋_GB2312"/>
          <w:sz w:val="32"/>
          <w:szCs w:val="32"/>
          <w:lang w:val="en-US" w:eastAsia="zh-CN"/>
        </w:rPr>
        <w:t>为深入学习贯彻习近平新时代中国特色社会主义思想，全面贯彻党的十九大和十九届二中、三中、四中、五中、六中全会精神，积极推动民政事业发展，</w:t>
      </w:r>
      <w:r>
        <w:rPr>
          <w:rFonts w:hint="eastAsia" w:ascii="仿宋_GB2312" w:hAnsi="仿宋_GB2312" w:eastAsia="仿宋_GB2312" w:cs="仿宋_GB2312"/>
          <w:sz w:val="32"/>
          <w:szCs w:val="22"/>
        </w:rPr>
        <w:t>依据《景德镇市珠山区国民经济和社会发展第十四个五年规划和二○三五年远景目标纲要》《“十四</w:t>
      </w:r>
      <w:r>
        <w:rPr>
          <w:rFonts w:hint="eastAsia" w:ascii="仿宋_GB2312" w:hAnsi="仿宋_GB2312" w:eastAsia="仿宋_GB2312" w:cs="仿宋_GB2312"/>
          <w:sz w:val="32"/>
          <w:szCs w:val="22"/>
          <w:lang w:val="en-US" w:eastAsia="zh-CN"/>
        </w:rPr>
        <w:t>五</w:t>
      </w:r>
      <w:r>
        <w:rPr>
          <w:rFonts w:hint="eastAsia" w:ascii="仿宋_GB2312" w:hAnsi="仿宋_GB2312" w:eastAsia="仿宋_GB2312" w:cs="仿宋_GB2312"/>
          <w:sz w:val="32"/>
          <w:szCs w:val="22"/>
        </w:rPr>
        <w:t>”民政事业发展规划》</w:t>
      </w:r>
      <w:r>
        <w:rPr>
          <w:rFonts w:hint="eastAsia" w:ascii="仿宋_GB2312" w:hAnsi="仿宋_GB2312" w:eastAsia="仿宋_GB2312" w:cs="仿宋_GB2312"/>
          <w:spacing w:val="-6"/>
          <w:sz w:val="32"/>
          <w:szCs w:val="22"/>
          <w:lang w:eastAsia="zh-CN"/>
        </w:rPr>
        <w:t>《</w:t>
      </w:r>
      <w:r>
        <w:rPr>
          <w:rFonts w:hint="eastAsia" w:ascii="仿宋_GB2312" w:hAnsi="仿宋_GB2312" w:eastAsia="仿宋_GB2312" w:cs="仿宋_GB2312"/>
          <w:spacing w:val="-6"/>
          <w:sz w:val="32"/>
          <w:szCs w:val="22"/>
          <w:lang w:val="en-US" w:eastAsia="zh-CN"/>
        </w:rPr>
        <w:t>景德镇市民政事业发展“十四五”规划</w:t>
      </w:r>
      <w:r>
        <w:rPr>
          <w:rFonts w:hint="eastAsia" w:ascii="仿宋_GB2312" w:hAnsi="仿宋_GB2312" w:eastAsia="仿宋_GB2312" w:cs="仿宋_GB2312"/>
          <w:spacing w:val="-6"/>
          <w:sz w:val="32"/>
          <w:szCs w:val="22"/>
          <w:lang w:eastAsia="zh-CN"/>
        </w:rPr>
        <w:t>》，</w:t>
      </w:r>
      <w:r>
        <w:rPr>
          <w:rFonts w:hint="eastAsia" w:ascii="仿宋_GB2312" w:hAnsi="仿宋_GB2312" w:eastAsia="仿宋_GB2312" w:cs="仿宋_GB2312"/>
          <w:spacing w:val="-6"/>
          <w:sz w:val="32"/>
          <w:szCs w:val="22"/>
        </w:rPr>
        <w:t>制定本规划。</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 w:hAnsi="仿宋" w:eastAsia="仿宋" w:cs="仿宋"/>
          <w:sz w:val="32"/>
          <w:szCs w:val="22"/>
        </w:rPr>
      </w:pPr>
    </w:p>
    <w:p>
      <w:pPr>
        <w:pStyle w:val="3"/>
        <w:pageBreakBefore w:val="0"/>
        <w:widowControl w:val="0"/>
        <w:kinsoku/>
        <w:wordWrap/>
        <w:overflowPunct/>
        <w:topLinePunct w:val="0"/>
        <w:autoSpaceDE/>
        <w:autoSpaceDN/>
        <w:bidi w:val="0"/>
        <w:adjustRightInd w:val="0"/>
        <w:snapToGrid w:val="0"/>
        <w:spacing w:before="0" w:after="0" w:line="560" w:lineRule="exact"/>
        <w:jc w:val="center"/>
        <w:textAlignment w:val="auto"/>
        <w:rPr>
          <w:rFonts w:hint="eastAsia" w:cs="Times New Roman"/>
          <w:b/>
          <w:bCs w:val="0"/>
          <w:sz w:val="32"/>
          <w:szCs w:val="22"/>
          <w:lang w:val="en-US" w:eastAsia="zh-CN"/>
        </w:rPr>
      </w:pPr>
      <w:r>
        <w:rPr>
          <w:rFonts w:hint="eastAsia" w:cs="Times New Roman"/>
          <w:b/>
          <w:bCs w:val="0"/>
          <w:sz w:val="32"/>
          <w:szCs w:val="22"/>
          <w:lang w:val="en-US" w:eastAsia="zh-CN"/>
        </w:rPr>
        <w:fldChar w:fldCharType="begin"/>
      </w:r>
      <w:r>
        <w:rPr>
          <w:rFonts w:hint="eastAsia" w:cs="Times New Roman"/>
          <w:b/>
          <w:bCs w:val="0"/>
          <w:sz w:val="32"/>
          <w:szCs w:val="22"/>
          <w:lang w:val="en-US" w:eastAsia="zh-CN"/>
        </w:rPr>
        <w:instrText xml:space="preserve"> HYPERLINK \l _Toc22356 </w:instrText>
      </w:r>
      <w:r>
        <w:rPr>
          <w:rFonts w:hint="eastAsia" w:cs="Times New Roman"/>
          <w:b/>
          <w:bCs w:val="0"/>
          <w:sz w:val="32"/>
          <w:szCs w:val="22"/>
          <w:lang w:val="en-US" w:eastAsia="zh-CN"/>
        </w:rPr>
        <w:fldChar w:fldCharType="separate"/>
      </w:r>
      <w:r>
        <w:rPr>
          <w:rFonts w:hint="eastAsia" w:cs="Times New Roman"/>
          <w:b/>
          <w:bCs w:val="0"/>
          <w:sz w:val="32"/>
          <w:szCs w:val="22"/>
          <w:lang w:val="en-US" w:eastAsia="zh-CN"/>
        </w:rPr>
        <w:t>第一章 全面贯彻落实习近平新时代中国</w:t>
      </w:r>
      <w:r>
        <w:rPr>
          <w:rFonts w:hint="eastAsia" w:cs="Times New Roman"/>
          <w:b/>
          <w:bCs w:val="0"/>
          <w:sz w:val="32"/>
          <w:szCs w:val="22"/>
          <w:lang w:val="en-US" w:eastAsia="zh-CN"/>
        </w:rPr>
        <w:fldChar w:fldCharType="end"/>
      </w:r>
      <w:r>
        <w:rPr>
          <w:rFonts w:hint="eastAsia" w:cs="Times New Roman"/>
          <w:b/>
          <w:bCs w:val="0"/>
          <w:sz w:val="32"/>
          <w:szCs w:val="22"/>
          <w:lang w:val="en-US" w:eastAsia="zh-CN"/>
        </w:rPr>
        <w:fldChar w:fldCharType="begin"/>
      </w:r>
      <w:r>
        <w:rPr>
          <w:rFonts w:hint="eastAsia" w:cs="Times New Roman"/>
          <w:b/>
          <w:bCs w:val="0"/>
          <w:sz w:val="32"/>
          <w:szCs w:val="22"/>
          <w:lang w:val="en-US" w:eastAsia="zh-CN"/>
        </w:rPr>
        <w:instrText xml:space="preserve"> HYPERLINK \l _Toc18965 </w:instrText>
      </w:r>
      <w:r>
        <w:rPr>
          <w:rFonts w:hint="eastAsia" w:cs="Times New Roman"/>
          <w:b/>
          <w:bCs w:val="0"/>
          <w:sz w:val="32"/>
          <w:szCs w:val="22"/>
          <w:lang w:val="en-US" w:eastAsia="zh-CN"/>
        </w:rPr>
        <w:fldChar w:fldCharType="separate"/>
      </w:r>
      <w:r>
        <w:rPr>
          <w:rFonts w:hint="eastAsia" w:cs="Times New Roman"/>
          <w:b/>
          <w:bCs w:val="0"/>
          <w:sz w:val="32"/>
          <w:szCs w:val="22"/>
          <w:lang w:val="en-US" w:eastAsia="zh-CN"/>
        </w:rPr>
        <w:t>特色社会主义思想，开启珠山民政事业</w:t>
      </w:r>
      <w:r>
        <w:rPr>
          <w:rFonts w:hint="eastAsia" w:cs="Times New Roman"/>
          <w:b/>
          <w:bCs w:val="0"/>
          <w:sz w:val="32"/>
          <w:szCs w:val="22"/>
          <w:lang w:val="en-US" w:eastAsia="zh-CN"/>
        </w:rPr>
        <w:fldChar w:fldCharType="end"/>
      </w:r>
      <w:r>
        <w:rPr>
          <w:rFonts w:hint="eastAsia" w:cs="Times New Roman"/>
          <w:b/>
          <w:bCs w:val="0"/>
          <w:sz w:val="32"/>
          <w:szCs w:val="22"/>
          <w:lang w:val="en-US" w:eastAsia="zh-CN"/>
        </w:rPr>
        <w:fldChar w:fldCharType="begin"/>
      </w:r>
      <w:r>
        <w:rPr>
          <w:rFonts w:hint="eastAsia" w:cs="Times New Roman"/>
          <w:b/>
          <w:bCs w:val="0"/>
          <w:sz w:val="32"/>
          <w:szCs w:val="22"/>
          <w:lang w:val="en-US" w:eastAsia="zh-CN"/>
        </w:rPr>
        <w:instrText xml:space="preserve"> HYPERLINK \l _Toc31574 </w:instrText>
      </w:r>
      <w:r>
        <w:rPr>
          <w:rFonts w:hint="eastAsia" w:cs="Times New Roman"/>
          <w:b/>
          <w:bCs w:val="0"/>
          <w:sz w:val="32"/>
          <w:szCs w:val="22"/>
          <w:lang w:val="en-US" w:eastAsia="zh-CN"/>
        </w:rPr>
        <w:fldChar w:fldCharType="separate"/>
      </w:r>
      <w:r>
        <w:rPr>
          <w:rFonts w:hint="eastAsia" w:cs="Times New Roman"/>
          <w:b/>
          <w:bCs w:val="0"/>
          <w:sz w:val="32"/>
          <w:szCs w:val="22"/>
          <w:lang w:val="en-US" w:eastAsia="zh-CN"/>
        </w:rPr>
        <w:t>高质量可</w:t>
      </w:r>
      <w:r>
        <w:rPr>
          <w:rFonts w:hint="eastAsia" w:cs="Times New Roman"/>
          <w:b/>
          <w:bCs w:val="0"/>
          <w:sz w:val="32"/>
          <w:szCs w:val="22"/>
          <w:lang w:val="en-US" w:eastAsia="zh-CN"/>
        </w:rPr>
        <w:fldChar w:fldCharType="end"/>
      </w:r>
      <w:r>
        <w:rPr>
          <w:rFonts w:hint="eastAsia" w:cs="Times New Roman"/>
          <w:b/>
          <w:bCs w:val="0"/>
          <w:sz w:val="32"/>
          <w:szCs w:val="22"/>
          <w:lang w:val="en-US" w:eastAsia="zh-CN"/>
        </w:rPr>
        <w:t>持续发展新征程</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cs="Times New Roman"/>
          <w:b/>
          <w:bCs w:val="0"/>
          <w:sz w:val="32"/>
          <w:szCs w:val="2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sz w:val="32"/>
          <w:szCs w:val="22"/>
        </w:rPr>
        <w:t>民政工作关系民生、连着民心，是社会建设的兜底性、基础性工作。“十四五”时期</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lang w:val="en-US" w:eastAsia="zh-CN"/>
        </w:rPr>
        <w:t>是</w:t>
      </w:r>
      <w:r>
        <w:rPr>
          <w:rFonts w:hint="eastAsia" w:ascii="仿宋_GB2312" w:hAnsi="仿宋_GB2312" w:eastAsia="仿宋_GB2312" w:cs="仿宋_GB2312"/>
          <w:sz w:val="32"/>
          <w:szCs w:val="22"/>
        </w:rPr>
        <w:t>我国</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lang w:val="en-US" w:eastAsia="zh-CN"/>
        </w:rPr>
        <w:t>两个一百年</w:t>
      </w:r>
      <w:r>
        <w:rPr>
          <w:rFonts w:hint="eastAsia" w:ascii="仿宋_GB2312" w:hAnsi="仿宋_GB2312" w:eastAsia="仿宋_GB2312" w:cs="仿宋_GB2312"/>
          <w:sz w:val="32"/>
          <w:szCs w:val="22"/>
          <w:lang w:eastAsia="zh-CN"/>
        </w:rPr>
        <w:t>”</w:t>
      </w:r>
      <w:r>
        <w:rPr>
          <w:rFonts w:hint="eastAsia" w:ascii="仿宋_GB2312" w:hAnsi="仿宋_GB2312" w:eastAsia="仿宋_GB2312" w:cs="仿宋_GB2312"/>
          <w:sz w:val="32"/>
          <w:szCs w:val="22"/>
          <w:lang w:val="en-US" w:eastAsia="zh-CN"/>
        </w:rPr>
        <w:t>奋斗目标承前启后的交汇期，是我区与全国、全省、全市同步全面建设社会主义现代化的起步期，</w:t>
      </w:r>
      <w:r>
        <w:rPr>
          <w:rFonts w:hint="eastAsia" w:ascii="仿宋_GB2312" w:hAnsi="仿宋_GB2312" w:eastAsia="仿宋_GB2312" w:cs="仿宋_GB2312"/>
          <w:sz w:val="32"/>
          <w:szCs w:val="22"/>
        </w:rPr>
        <w:t>是</w:t>
      </w:r>
      <w:r>
        <w:rPr>
          <w:rFonts w:hint="eastAsia" w:ascii="仿宋_GB2312" w:hAnsi="仿宋_GB2312" w:eastAsia="仿宋_GB2312" w:cs="仿宋_GB2312"/>
          <w:sz w:val="32"/>
          <w:szCs w:val="22"/>
          <w:lang w:val="en-US" w:eastAsia="zh-CN"/>
        </w:rPr>
        <w:t>全面推进我区建设的关键期，也是</w:t>
      </w:r>
      <w:r>
        <w:rPr>
          <w:rFonts w:hint="eastAsia" w:ascii="仿宋_GB2312" w:hAnsi="仿宋_GB2312" w:eastAsia="仿宋_GB2312" w:cs="仿宋_GB2312"/>
          <w:sz w:val="32"/>
          <w:szCs w:val="22"/>
        </w:rPr>
        <w:t>我</w:t>
      </w:r>
      <w:r>
        <w:rPr>
          <w:rFonts w:hint="eastAsia" w:ascii="仿宋_GB2312" w:hAnsi="仿宋_GB2312" w:eastAsia="仿宋_GB2312" w:cs="仿宋_GB2312"/>
          <w:sz w:val="32"/>
          <w:szCs w:val="22"/>
          <w:lang w:val="en-US" w:eastAsia="zh-CN"/>
        </w:rPr>
        <w:t>区</w:t>
      </w:r>
      <w:r>
        <w:rPr>
          <w:rStyle w:val="16"/>
          <w:rFonts w:hint="eastAsia" w:ascii="仿宋_GB2312" w:hAnsi="仿宋_GB2312" w:eastAsia="仿宋_GB2312" w:cs="仿宋_GB2312"/>
          <w:color w:val="auto"/>
          <w:kern w:val="2"/>
          <w:sz w:val="32"/>
          <w:szCs w:val="24"/>
          <w:highlight w:val="none"/>
          <w:lang w:val="en-US" w:eastAsia="zh-CN" w:bidi="ar-SA"/>
        </w:rPr>
        <w:t>巩固全面建成小康社会成果，提升珠山区在全市发展格局中的地位，描绘好新时代江西改革发展新画卷的重要时期。全区民政事业发展必须坚决贯彻习近平总书记对江西工作的重要要求，对标对表“两步走”的战略目标，充分认识我区发展面临的新优势新机遇，坚持新发展理念，加强谋划应对，始终坚持人民至上，主动适应新时代社会主要矛盾变化，加快推进普惠性基础性兜底性民生建设，加快推进脱贫攻坚与乡村振兴战略衔接，加快推进社会治理体系和治理能力现代化，努力实现好、维护好、发展好最广大人民的根本利益，为</w:t>
      </w:r>
      <w:r>
        <w:rPr>
          <w:rStyle w:val="15"/>
          <w:rFonts w:hint="eastAsia" w:ascii="仿宋_GB2312" w:hAnsi="仿宋_GB2312" w:eastAsia="仿宋_GB2312" w:cs="仿宋_GB2312"/>
          <w:color w:val="auto"/>
          <w:kern w:val="2"/>
          <w:sz w:val="32"/>
          <w:szCs w:val="32"/>
          <w:highlight w:val="none"/>
          <w:lang w:val="en-US" w:eastAsia="zh-CN" w:bidi="ar-SA"/>
        </w:rPr>
        <w:t>加快建设新时代江西大爱民政，打造与世界对话的国际瓷都后花园</w:t>
      </w:r>
      <w:r>
        <w:rPr>
          <w:rStyle w:val="16"/>
          <w:rFonts w:hint="eastAsia" w:ascii="仿宋_GB2312" w:hAnsi="仿宋_GB2312" w:eastAsia="仿宋_GB2312" w:cs="仿宋_GB2312"/>
          <w:color w:val="auto"/>
          <w:kern w:val="2"/>
          <w:sz w:val="32"/>
          <w:szCs w:val="24"/>
          <w:highlight w:val="none"/>
          <w:lang w:val="en-US" w:eastAsia="zh-CN" w:bidi="ar-SA"/>
        </w:rPr>
        <w:t>作出新的贡献。</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仿宋_GB2312" w:hAnsi="仿宋_GB2312" w:eastAsia="仿宋_GB2312" w:cs="仿宋_GB2312"/>
          <w:color w:val="auto"/>
          <w:kern w:val="2"/>
          <w:sz w:val="32"/>
          <w:szCs w:val="24"/>
          <w:highlight w:val="none"/>
          <w:lang w:val="en-US" w:eastAsia="zh-CN" w:bidi="ar-SA"/>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第一节“十三五”发展取得的成就</w:t>
      </w:r>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Style w:val="15"/>
          <w:rFonts w:hint="eastAsia" w:ascii="仿宋" w:hAnsi="仿宋" w:eastAsia="仿宋" w:cs="仿宋"/>
          <w:b w:val="0"/>
          <w:bCs/>
          <w:color w:val="000000" w:themeColor="text1"/>
          <w:kern w:val="2"/>
          <w:sz w:val="32"/>
          <w:szCs w:val="32"/>
          <w:highlight w:val="none"/>
          <w:shd w:val="clear" w:color="auto" w:fill="auto"/>
          <w:lang w:val="en-US" w:eastAsia="zh-CN" w:bidi="ar-SA"/>
          <w14:textFill>
            <w14:solidFill>
              <w14:schemeClr w14:val="tx1"/>
            </w14:solidFill>
          </w14:textFill>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Style w:val="15"/>
          <w:rFonts w:hint="eastAsia" w:ascii="仿宋_GB2312" w:hAnsi="仿宋_GB2312" w:eastAsia="仿宋_GB2312" w:cs="仿宋_GB2312"/>
          <w:b w:val="0"/>
          <w:bCs/>
          <w:color w:val="000000" w:themeColor="text1"/>
          <w:kern w:val="2"/>
          <w:sz w:val="32"/>
          <w:szCs w:val="32"/>
          <w:highlight w:val="none"/>
          <w:shd w:val="clear" w:color="auto" w:fill="auto"/>
          <w:lang w:val="en-US" w:eastAsia="zh-CN" w:bidi="ar-SA"/>
          <w14:textFill>
            <w14:solidFill>
              <w14:schemeClr w14:val="tx1"/>
            </w14:solidFill>
          </w14:textFill>
        </w:rPr>
        <w:t>“十三五”期间，在区委、区政府的正确领导下，在上级民政部门的精心指导和大力支持下，全区民政系统认真贯彻落实《</w:t>
      </w:r>
      <w:r>
        <w:rPr>
          <w:rStyle w:val="15"/>
          <w:rFonts w:hint="eastAsia" w:ascii="仿宋_GB2312" w:hAnsi="仿宋_GB2312" w:eastAsia="仿宋_GB2312" w:cs="仿宋_GB2312"/>
          <w:color w:val="auto"/>
          <w:kern w:val="2"/>
          <w:sz w:val="32"/>
          <w:szCs w:val="32"/>
          <w:highlight w:val="none"/>
          <w:lang w:val="en-US" w:eastAsia="zh-CN" w:bidi="ar-SA"/>
        </w:rPr>
        <w:t>珠山区国民经济和社会发展第十三个五年规划纲要》和《珠山区民政事业发展“十三五”规划》，</w:t>
      </w:r>
      <w:r>
        <w:rPr>
          <w:rFonts w:hint="eastAsia" w:ascii="仿宋_GB2312" w:hAnsi="仿宋_GB2312" w:eastAsia="仿宋_GB2312" w:cs="仿宋_GB2312"/>
          <w:b w:val="0"/>
          <w:bCs w:val="0"/>
          <w:sz w:val="32"/>
          <w:szCs w:val="32"/>
          <w:lang w:val="en-US" w:eastAsia="zh-CN"/>
        </w:rPr>
        <w:t>始终坚持以习近平新时代中国特色社会主义思想为指导，认真学习贯彻习近平总书记对民政工作的重要指示精神以及全国、全省、全市民政工作会议精神，深入践行“民政为民、民政爱民”工作理念，全面履行基本民生保障、基层社会治理、基本社会服务职责，统筹推进常态化疫情防控和民政事业改革发展，取得显著成效。</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Cs/>
          <w:sz w:val="32"/>
          <w:szCs w:val="32"/>
        </w:rPr>
      </w:pPr>
      <w:r>
        <w:rPr>
          <w:rFonts w:hint="eastAsia" w:ascii="楷体_GB2312" w:hAnsi="楷体_GB2312" w:eastAsia="楷体_GB2312" w:cs="楷体_GB2312"/>
          <w:b/>
          <w:bCs/>
          <w:color w:val="000000"/>
          <w:sz w:val="32"/>
          <w:szCs w:val="32"/>
        </w:rPr>
        <w:t>民政领域改革</w:t>
      </w:r>
      <w:r>
        <w:rPr>
          <w:rFonts w:hint="eastAsia" w:ascii="楷体_GB2312" w:hAnsi="楷体_GB2312" w:eastAsia="楷体_GB2312" w:cs="楷体_GB2312"/>
          <w:b/>
          <w:bCs/>
          <w:color w:val="000000"/>
          <w:sz w:val="32"/>
          <w:szCs w:val="32"/>
          <w:lang w:val="en-US" w:eastAsia="zh-CN"/>
        </w:rPr>
        <w:t>创新</w:t>
      </w:r>
      <w:r>
        <w:rPr>
          <w:rFonts w:hint="eastAsia" w:ascii="楷体_GB2312" w:hAnsi="楷体_GB2312" w:eastAsia="楷体_GB2312" w:cs="楷体_GB2312"/>
          <w:b/>
          <w:bCs/>
          <w:color w:val="000000"/>
          <w:sz w:val="32"/>
          <w:szCs w:val="32"/>
        </w:rPr>
        <w:t>成果</w:t>
      </w:r>
      <w:r>
        <w:rPr>
          <w:rFonts w:hint="eastAsia" w:ascii="楷体_GB2312" w:hAnsi="楷体_GB2312" w:eastAsia="楷体_GB2312" w:cs="楷体_GB2312"/>
          <w:b/>
          <w:bCs/>
          <w:color w:val="000000"/>
          <w:sz w:val="32"/>
          <w:szCs w:val="32"/>
          <w:lang w:val="en-US" w:eastAsia="zh-CN"/>
        </w:rPr>
        <w:t>丰硕</w:t>
      </w:r>
      <w:r>
        <w:rPr>
          <w:rFonts w:hint="eastAsia" w:ascii="楷体_GB2312" w:hAnsi="楷体_GB2312" w:eastAsia="楷体_GB2312" w:cs="楷体_GB2312"/>
          <w:b/>
          <w:bCs/>
          <w:color w:val="000000"/>
          <w:sz w:val="32"/>
          <w:szCs w:val="32"/>
        </w:rPr>
        <w:t>。</w:t>
      </w:r>
      <w:r>
        <w:rPr>
          <w:rStyle w:val="16"/>
          <w:rFonts w:hint="eastAsia" w:ascii="仿宋_GB2312" w:hAnsi="仿宋_GB2312" w:eastAsia="仿宋_GB2312" w:cs="仿宋_GB2312"/>
          <w:sz w:val="32"/>
          <w:szCs w:val="32"/>
        </w:rPr>
        <w:t>认真贯彻中央、</w:t>
      </w:r>
      <w:r>
        <w:rPr>
          <w:rStyle w:val="16"/>
          <w:rFonts w:hint="eastAsia" w:ascii="仿宋_GB2312" w:hAnsi="仿宋_GB2312" w:eastAsia="仿宋_GB2312" w:cs="仿宋_GB2312"/>
          <w:sz w:val="32"/>
          <w:szCs w:val="32"/>
          <w:lang w:val="en-US" w:eastAsia="zh-CN"/>
        </w:rPr>
        <w:t>省委、市</w:t>
      </w:r>
      <w:r>
        <w:rPr>
          <w:rStyle w:val="16"/>
          <w:rFonts w:hint="eastAsia" w:ascii="仿宋_GB2312" w:hAnsi="仿宋_GB2312" w:eastAsia="仿宋_GB2312" w:cs="仿宋_GB2312"/>
          <w:sz w:val="32"/>
          <w:szCs w:val="32"/>
        </w:rPr>
        <w:t>委关于深化党和国家机构改革的决策部署，民政部门职能</w:t>
      </w:r>
      <w:r>
        <w:rPr>
          <w:rStyle w:val="16"/>
          <w:rFonts w:hint="eastAsia" w:ascii="仿宋_GB2312" w:hAnsi="仿宋_GB2312" w:eastAsia="仿宋_GB2312" w:cs="仿宋_GB2312"/>
          <w:sz w:val="32"/>
          <w:szCs w:val="32"/>
          <w:lang w:val="en-US" w:eastAsia="zh-CN"/>
        </w:rPr>
        <w:t>得到</w:t>
      </w:r>
      <w:r>
        <w:rPr>
          <w:rStyle w:val="16"/>
          <w:rFonts w:hint="eastAsia" w:ascii="仿宋_GB2312" w:hAnsi="仿宋_GB2312" w:eastAsia="仿宋_GB2312" w:cs="仿宋_GB2312"/>
          <w:sz w:val="32"/>
          <w:szCs w:val="32"/>
        </w:rPr>
        <w:t>全面</w:t>
      </w:r>
      <w:r>
        <w:rPr>
          <w:rStyle w:val="16"/>
          <w:rFonts w:hint="eastAsia" w:ascii="仿宋_GB2312" w:hAnsi="仿宋_GB2312" w:eastAsia="仿宋_GB2312" w:cs="仿宋_GB2312"/>
          <w:sz w:val="32"/>
          <w:szCs w:val="32"/>
          <w:lang w:val="en-US" w:eastAsia="zh-CN"/>
        </w:rPr>
        <w:t>优化</w:t>
      </w:r>
      <w:r>
        <w:rPr>
          <w:rStyle w:val="16"/>
          <w:rFonts w:hint="eastAsia" w:ascii="仿宋_GB2312" w:hAnsi="仿宋_GB2312" w:eastAsia="仿宋_GB2312" w:cs="仿宋_GB2312"/>
          <w:sz w:val="32"/>
          <w:szCs w:val="32"/>
        </w:rPr>
        <w:t>。统筹推进城镇贫困群众脱贫解困工作，城镇贫困群众与全</w:t>
      </w:r>
      <w:r>
        <w:rPr>
          <w:rStyle w:val="16"/>
          <w:rFonts w:hint="eastAsia" w:ascii="仿宋_GB2312" w:hAnsi="仿宋_GB2312" w:eastAsia="仿宋_GB2312" w:cs="仿宋_GB2312"/>
          <w:sz w:val="32"/>
          <w:szCs w:val="32"/>
          <w:lang w:val="en-US" w:eastAsia="zh-CN"/>
        </w:rPr>
        <w:t>区</w:t>
      </w:r>
      <w:r>
        <w:rPr>
          <w:rStyle w:val="16"/>
          <w:rFonts w:hint="eastAsia" w:ascii="仿宋_GB2312" w:hAnsi="仿宋_GB2312" w:eastAsia="仿宋_GB2312" w:cs="仿宋_GB2312"/>
          <w:sz w:val="32"/>
          <w:szCs w:val="32"/>
        </w:rPr>
        <w:t>人民同步进入全面小康</w:t>
      </w:r>
      <w:r>
        <w:rPr>
          <w:rStyle w:val="16"/>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highlight w:val="none"/>
          <w:shd w:val="clear" w:color="auto" w:fill="auto"/>
          <w:lang w:bidi="zh-CN"/>
          <w14:textFill>
            <w14:solidFill>
              <w14:schemeClr w14:val="tx1"/>
            </w14:solidFill>
          </w14:textFill>
        </w:rPr>
        <w:t>深入推进殡葬改革三年行动计划，</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火化率和集中入墓安置率达100%，基本实现“推动殡葬改革大巩固”目标，</w:t>
      </w:r>
      <w:r>
        <w:rPr>
          <w:rFonts w:hint="eastAsia" w:ascii="仿宋_GB2312" w:hAnsi="仿宋_GB2312" w:eastAsia="仿宋_GB2312" w:cs="仿宋_GB2312"/>
          <w:color w:val="000000" w:themeColor="text1"/>
          <w:sz w:val="32"/>
          <w:szCs w:val="32"/>
          <w:highlight w:val="none"/>
          <w:shd w:val="clear" w:color="auto" w:fill="auto"/>
          <w:lang w:bidi="zh-CN"/>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殡葬基础设施建设和惠民政策落实</w:t>
      </w:r>
      <w:r>
        <w:rPr>
          <w:rFonts w:hint="eastAsia" w:ascii="仿宋_GB2312" w:hAnsi="仿宋_GB2312" w:eastAsia="仿宋_GB2312" w:cs="仿宋_GB2312"/>
          <w:color w:val="000000" w:themeColor="text1"/>
          <w:sz w:val="32"/>
          <w:szCs w:val="32"/>
          <w:highlight w:val="none"/>
          <w:shd w:val="clear" w:color="auto" w:fill="auto"/>
          <w:lang w:bidi="zh-CN"/>
          <w14:textFill>
            <w14:solidFill>
              <w14:schemeClr w14:val="tx1"/>
            </w14:solidFill>
          </w14:textFill>
        </w:rPr>
        <w:t>走在全</w:t>
      </w:r>
      <w:r>
        <w:rPr>
          <w:rFonts w:hint="eastAsia" w:ascii="仿宋_GB2312" w:hAnsi="仿宋_GB2312" w:eastAsia="仿宋_GB2312" w:cs="仿宋_GB2312"/>
          <w:color w:val="000000" w:themeColor="text1"/>
          <w:sz w:val="32"/>
          <w:szCs w:val="32"/>
          <w:highlight w:val="none"/>
          <w:shd w:val="clear" w:color="auto" w:fill="auto"/>
          <w:lang w:val="en-US" w:bidi="zh-CN"/>
          <w14:textFill>
            <w14:solidFill>
              <w14:schemeClr w14:val="tx1"/>
            </w14:solidFill>
          </w14:textFill>
        </w:rPr>
        <w:t>市、全省</w:t>
      </w:r>
      <w:r>
        <w:rPr>
          <w:rFonts w:hint="eastAsia" w:ascii="仿宋_GB2312" w:hAnsi="仿宋_GB2312" w:eastAsia="仿宋_GB2312" w:cs="仿宋_GB2312"/>
          <w:color w:val="000000" w:themeColor="text1"/>
          <w:sz w:val="32"/>
          <w:szCs w:val="32"/>
          <w:highlight w:val="none"/>
          <w:shd w:val="clear" w:color="auto" w:fill="auto"/>
          <w:lang w:bidi="zh-CN"/>
          <w14:textFill>
            <w14:solidFill>
              <w14:schemeClr w14:val="tx1"/>
            </w14:solidFill>
          </w14:textFill>
        </w:rPr>
        <w:t>前列。扎实推进5项基本殡葬服务免费政策落实，平均每具减免费用1520元左右，目前累计减免和奖补资金45.90万元。加强与市殡仪馆对接，简化减免程序，实现在殡葬服务机构直接核免，让群众少跑路。</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扎实开展安葬（放）设施违规建设经营专项摸排和违建墓地专项整治成果巩固提升行动。我区村一级组织已全部建立红白理事会，并配套制定村规民约及丧葬礼俗等规范标准。</w:t>
      </w:r>
      <w:r>
        <w:rPr>
          <w:rFonts w:hint="eastAsia" w:ascii="仿宋_GB2312" w:hAnsi="仿宋_GB2312" w:eastAsia="仿宋_GB2312" w:cs="仿宋_GB2312"/>
          <w:sz w:val="32"/>
          <w:szCs w:val="32"/>
        </w:rPr>
        <w:t>深入推进养老服</w:t>
      </w:r>
      <w:r>
        <w:rPr>
          <w:rFonts w:hint="eastAsia" w:ascii="仿宋_GB2312" w:hAnsi="仿宋_GB2312" w:eastAsia="仿宋_GB2312" w:cs="仿宋_GB2312"/>
          <w:sz w:val="32"/>
          <w:szCs w:val="32"/>
          <w:lang w:bidi="zh-CN"/>
        </w:rPr>
        <w:t>务体系建设发展三年行动计划，提升养老服务质量，</w:t>
      </w:r>
      <w:r>
        <w:rPr>
          <w:rFonts w:hint="eastAsia" w:ascii="仿宋_GB2312" w:hAnsi="仿宋_GB2312" w:eastAsia="仿宋_GB2312" w:cs="仿宋_GB2312"/>
          <w:sz w:val="32"/>
          <w:szCs w:val="32"/>
          <w:lang w:val="en-US" w:eastAsia="zh-CN"/>
        </w:rPr>
        <w:t>将养老服务体系建设纳入区政府高质量发展和乡村振兴战略实绩考核，</w:t>
      </w:r>
      <w:r>
        <w:rPr>
          <w:rFonts w:hint="eastAsia" w:ascii="仿宋_GB2312" w:hAnsi="仿宋_GB2312" w:eastAsia="仿宋_GB2312" w:cs="仿宋_GB2312"/>
          <w:b w:val="0"/>
          <w:bCs w:val="0"/>
          <w:sz w:val="32"/>
          <w:szCs w:val="32"/>
          <w:highlight w:val="none"/>
          <w:lang w:bidi="zh-CN"/>
        </w:rPr>
        <w:t>着力构建</w:t>
      </w:r>
      <w:r>
        <w:rPr>
          <w:rFonts w:hint="eastAsia" w:ascii="仿宋_GB2312" w:hAnsi="仿宋_GB2312" w:eastAsia="仿宋_GB2312" w:cs="仿宋_GB2312"/>
          <w:b w:val="0"/>
          <w:bCs w:val="0"/>
          <w:color w:val="auto"/>
          <w:sz w:val="32"/>
          <w:szCs w:val="32"/>
          <w:highlight w:val="none"/>
          <w:u w:val="none"/>
          <w:lang w:val="en-US" w:bidi="zh-CN"/>
        </w:rPr>
        <w:t>区镇</w:t>
      </w:r>
      <w:r>
        <w:rPr>
          <w:rFonts w:hint="eastAsia" w:ascii="仿宋_GB2312" w:hAnsi="仿宋_GB2312" w:eastAsia="仿宋_GB2312" w:cs="仿宋_GB2312"/>
          <w:b w:val="0"/>
          <w:bCs w:val="0"/>
          <w:color w:val="auto"/>
          <w:sz w:val="32"/>
          <w:szCs w:val="32"/>
          <w:highlight w:val="none"/>
          <w:u w:val="none"/>
          <w:lang w:bidi="zh-CN"/>
        </w:rPr>
        <w:t>村</w:t>
      </w:r>
      <w:r>
        <w:rPr>
          <w:rFonts w:hint="eastAsia" w:ascii="仿宋_GB2312" w:hAnsi="仿宋_GB2312" w:eastAsia="仿宋_GB2312" w:cs="仿宋_GB2312"/>
          <w:b w:val="0"/>
          <w:bCs w:val="0"/>
          <w:sz w:val="32"/>
          <w:szCs w:val="32"/>
          <w:highlight w:val="none"/>
          <w:lang w:bidi="zh-CN"/>
        </w:rPr>
        <w:t>三级联动的农村养老服务网络。</w:t>
      </w:r>
      <w:r>
        <w:rPr>
          <w:rFonts w:hint="eastAsia" w:ascii="仿宋_GB2312" w:hAnsi="仿宋_GB2312" w:eastAsia="仿宋_GB2312" w:cs="仿宋_GB2312"/>
          <w:sz w:val="32"/>
          <w:szCs w:val="32"/>
          <w:lang w:bidi="zh-CN"/>
        </w:rPr>
        <w:t>打造贫困重度失能残疾人照护和托养、民政服务元素融入社区治理</w:t>
      </w:r>
      <w:r>
        <w:rPr>
          <w:rFonts w:hint="eastAsia" w:ascii="仿宋_GB2312" w:hAnsi="仿宋_GB2312" w:eastAsia="仿宋_GB2312" w:cs="仿宋_GB2312"/>
          <w:bCs/>
          <w:sz w:val="32"/>
          <w:szCs w:val="32"/>
        </w:rPr>
        <w:t>等具有</w:t>
      </w:r>
      <w:r>
        <w:rPr>
          <w:rFonts w:hint="eastAsia" w:ascii="仿宋_GB2312" w:hAnsi="仿宋_GB2312" w:eastAsia="仿宋_GB2312" w:cs="仿宋_GB2312"/>
          <w:bCs/>
          <w:sz w:val="32"/>
          <w:szCs w:val="32"/>
          <w:lang w:val="en-US" w:eastAsia="zh-CN"/>
        </w:rPr>
        <w:t>江西</w:t>
      </w:r>
      <w:r>
        <w:rPr>
          <w:rFonts w:hint="eastAsia" w:ascii="仿宋_GB2312" w:hAnsi="仿宋_GB2312" w:eastAsia="仿宋_GB2312" w:cs="仿宋_GB2312"/>
          <w:bCs/>
          <w:sz w:val="32"/>
          <w:szCs w:val="32"/>
        </w:rPr>
        <w:t>特色的改革品牌，</w:t>
      </w:r>
      <w:r>
        <w:rPr>
          <w:rFonts w:hint="eastAsia" w:ascii="仿宋_GB2312" w:hAnsi="仿宋_GB2312" w:eastAsia="仿宋_GB2312" w:cs="仿宋_GB2312"/>
          <w:sz w:val="32"/>
          <w:szCs w:val="32"/>
        </w:rPr>
        <w:t>为民政事业改革发展探索了路径、提供了示范</w:t>
      </w:r>
      <w:r>
        <w:rPr>
          <w:rFonts w:hint="eastAsia" w:ascii="仿宋_GB2312" w:hAnsi="仿宋_GB2312" w:eastAsia="仿宋_GB2312" w:cs="仿宋_GB2312"/>
          <w:bCs/>
          <w:sz w:val="32"/>
          <w:szCs w:val="32"/>
        </w:rPr>
        <w:t>。</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color w:val="000000"/>
          <w:sz w:val="32"/>
          <w:szCs w:val="32"/>
        </w:rPr>
        <w:t>民政保障重大决策部署成效显著。</w:t>
      </w:r>
      <w:r>
        <w:rPr>
          <w:rFonts w:hint="eastAsia" w:ascii="仿宋_GB2312" w:hAnsi="仿宋_GB2312" w:eastAsia="仿宋_GB2312" w:cs="仿宋_GB2312"/>
          <w:sz w:val="32"/>
          <w:szCs w:val="22"/>
        </w:rPr>
        <w:t>坚决履行脱贫攻坚兜底保障政治责任，</w:t>
      </w:r>
      <w:r>
        <w:rPr>
          <w:rFonts w:hint="eastAsia" w:ascii="仿宋_GB2312" w:hAnsi="仿宋_GB2312" w:eastAsia="仿宋_GB2312" w:cs="仿宋_GB2312"/>
          <w:b w:val="0"/>
          <w:bCs w:val="0"/>
          <w:sz w:val="32"/>
          <w:szCs w:val="32"/>
          <w:lang w:val="en-US" w:eastAsia="zh-CN"/>
        </w:rPr>
        <w:t>深入开展农村低保专项治理，加强农村低保制度与扶贫开发政策的有效衔接，动态提标城乡低保和特困供养标准，圆满完成脱贫攻坚任务。全面完成中央脱贫攻坚专项巡视“回头看”反馈意见、国家成效考核指出问题整改。</w:t>
      </w:r>
      <w:r>
        <w:rPr>
          <w:rFonts w:hint="eastAsia" w:ascii="仿宋_GB2312" w:hAnsi="仿宋_GB2312" w:eastAsia="仿宋_GB2312" w:cs="仿宋_GB2312"/>
          <w:b w:val="0"/>
          <w:bCs w:val="0"/>
          <w:sz w:val="32"/>
          <w:szCs w:val="32"/>
          <w:highlight w:val="none"/>
          <w:lang w:val="en-US" w:eastAsia="zh-CN"/>
        </w:rPr>
        <w:t>为全区城乡低保对象和特困人员足额发放价格临时补贴，特别是2020年3-6月翻倍发放阶段性价格临时补贴，有效缓解了困难群众因物价上涨造成的临时性生活困难。</w:t>
      </w:r>
      <w:r>
        <w:rPr>
          <w:rFonts w:hint="eastAsia" w:ascii="仿宋_GB2312" w:hAnsi="仿宋_GB2312" w:eastAsia="仿宋_GB2312" w:cs="仿宋_GB2312"/>
          <w:b w:val="0"/>
          <w:bCs w:val="0"/>
          <w:sz w:val="32"/>
          <w:szCs w:val="32"/>
          <w:lang w:val="en-US" w:eastAsia="zh-CN"/>
        </w:rPr>
        <w:t>大力引导慈善组织、社会力量参与脱贫攻坚和城镇脱贫解困，推动慈善公益活动常态化，开展了对留守儿童、困难学生、困难群众等特殊群体一系列慈善公益活动。</w:t>
      </w:r>
      <w:r>
        <w:rPr>
          <w:rFonts w:hint="eastAsia" w:ascii="仿宋_GB2312" w:hAnsi="仿宋_GB2312" w:eastAsia="仿宋_GB2312" w:cs="仿宋_GB2312"/>
          <w:sz w:val="32"/>
          <w:szCs w:val="22"/>
        </w:rPr>
        <w:t>举全</w:t>
      </w:r>
      <w:r>
        <w:rPr>
          <w:rFonts w:hint="eastAsia" w:ascii="仿宋_GB2312" w:hAnsi="仿宋_GB2312" w:eastAsia="仿宋_GB2312" w:cs="仿宋_GB2312"/>
          <w:sz w:val="32"/>
          <w:szCs w:val="22"/>
          <w:lang w:val="en-US" w:eastAsia="zh-CN"/>
        </w:rPr>
        <w:t>区民政</w:t>
      </w:r>
      <w:r>
        <w:rPr>
          <w:rFonts w:hint="eastAsia" w:ascii="仿宋_GB2312" w:hAnsi="仿宋_GB2312" w:eastAsia="仿宋_GB2312" w:cs="仿宋_GB2312"/>
          <w:sz w:val="32"/>
          <w:szCs w:val="22"/>
        </w:rPr>
        <w:t>系统之力抗击新冠肺炎疫情，筑牢群防群治的防线，在</w:t>
      </w:r>
      <w:r>
        <w:rPr>
          <w:rFonts w:hint="eastAsia" w:ascii="仿宋_GB2312" w:hAnsi="仿宋_GB2312" w:eastAsia="仿宋_GB2312" w:cs="仿宋_GB2312"/>
          <w:sz w:val="32"/>
          <w:szCs w:val="32"/>
        </w:rPr>
        <w:t>民政服务机构方面，</w:t>
      </w:r>
      <w:r>
        <w:rPr>
          <w:rFonts w:hint="eastAsia" w:ascii="仿宋_GB2312" w:hAnsi="仿宋_GB2312" w:eastAsia="仿宋_GB2312" w:cs="仿宋_GB2312"/>
          <w:b w:val="0"/>
          <w:bCs w:val="0"/>
          <w:sz w:val="32"/>
          <w:szCs w:val="32"/>
          <w:lang w:val="en-US" w:eastAsia="zh-CN"/>
        </w:rPr>
        <w:t>做到了“真封闭、全封闭、严封闭”的硬核措施，最大限度阻断感染渠道</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rPr>
        <w:t>在兜底保障方面，</w:t>
      </w:r>
      <w:r>
        <w:rPr>
          <w:rFonts w:hint="eastAsia" w:ascii="仿宋_GB2312" w:hAnsi="仿宋_GB2312" w:eastAsia="仿宋_GB2312" w:cs="仿宋_GB2312"/>
          <w:bCs/>
          <w:sz w:val="32"/>
          <w:szCs w:val="32"/>
          <w:highlight w:val="none"/>
        </w:rPr>
        <w:t>做好疫情防控期特殊困难人群关爱保护工作</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在城乡社区，</w:t>
      </w:r>
      <w:r>
        <w:rPr>
          <w:rFonts w:hint="eastAsia" w:ascii="仿宋_GB2312" w:hAnsi="仿宋_GB2312" w:eastAsia="仿宋_GB2312" w:cs="仿宋_GB2312"/>
          <w:sz w:val="32"/>
          <w:szCs w:val="32"/>
          <w:highlight w:val="none"/>
        </w:rPr>
        <w:t>动员广大社区工作者守严守牢社区防线，加大对社区工作者关心关爱力度</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sz w:val="32"/>
          <w:szCs w:val="32"/>
          <w:lang w:val="en-US" w:eastAsia="zh-CN"/>
        </w:rPr>
        <w:t>民政兜底保障水平显著增强。</w:t>
      </w:r>
      <w:r>
        <w:rPr>
          <w:rFonts w:hint="eastAsia" w:ascii="仿宋_GB2312" w:hAnsi="仿宋_GB2312" w:eastAsia="仿宋_GB2312" w:cs="仿宋_GB2312"/>
          <w:b w:val="0"/>
          <w:bCs w:val="0"/>
          <w:color w:val="000000"/>
          <w:sz w:val="32"/>
          <w:szCs w:val="32"/>
          <w:lang w:val="en-US" w:eastAsia="zh-CN"/>
        </w:rPr>
        <w:t>我区在全省率先实行城乡低保一体化，</w:t>
      </w:r>
      <w:r>
        <w:rPr>
          <w:rStyle w:val="15"/>
          <w:rFonts w:hint="eastAsia" w:ascii="仿宋_GB2312" w:hAnsi="仿宋_GB2312" w:eastAsia="仿宋_GB2312" w:cs="仿宋_GB2312"/>
          <w:b w:val="0"/>
          <w:bCs w:val="0"/>
          <w:color w:val="auto"/>
          <w:kern w:val="2"/>
          <w:sz w:val="32"/>
          <w:szCs w:val="32"/>
          <w:highlight w:val="none"/>
          <w:shd w:val="clear" w:color="auto" w:fill="auto"/>
          <w:lang w:val="en-US" w:eastAsia="zh-CN" w:bidi="ar-SA"/>
        </w:rPr>
        <w:t>城乡低保标准达到每人每月720元；</w:t>
      </w:r>
      <w:r>
        <w:rPr>
          <w:rFonts w:hint="eastAsia" w:ascii="仿宋_GB2312" w:hAnsi="仿宋_GB2312" w:eastAsia="仿宋_GB2312" w:cs="仿宋_GB2312"/>
          <w:b w:val="0"/>
          <w:bCs w:val="0"/>
          <w:color w:val="auto"/>
          <w:sz w:val="32"/>
          <w:szCs w:val="32"/>
          <w:highlight w:val="none"/>
          <w:lang w:val="en-US" w:eastAsia="zh-CN"/>
        </w:rPr>
        <w:t>失能、半失能、生活自理的特困人员每月护理费分别达1200元、300元、70元。</w:t>
      </w:r>
      <w:r>
        <w:rPr>
          <w:rFonts w:hint="eastAsia" w:ascii="仿宋_GB2312" w:hAnsi="仿宋_GB2312" w:eastAsia="仿宋_GB2312" w:cs="仿宋_GB2312"/>
          <w:b w:val="0"/>
          <w:bCs w:val="0"/>
          <w:color w:val="auto"/>
          <w:sz w:val="32"/>
          <w:szCs w:val="32"/>
          <w:highlight w:val="none"/>
        </w:rPr>
        <w:t>建立</w:t>
      </w:r>
      <w:r>
        <w:rPr>
          <w:rFonts w:hint="eastAsia" w:ascii="仿宋_GB2312" w:hAnsi="仿宋_GB2312" w:eastAsia="仿宋_GB2312" w:cs="仿宋_GB2312"/>
          <w:b w:val="0"/>
          <w:bCs w:val="0"/>
          <w:color w:val="auto"/>
          <w:sz w:val="32"/>
          <w:szCs w:val="32"/>
          <w:highlight w:val="none"/>
          <w:lang w:eastAsia="zh-CN"/>
        </w:rPr>
        <w:t>了</w:t>
      </w:r>
      <w:r>
        <w:rPr>
          <w:rFonts w:hint="eastAsia" w:ascii="仿宋_GB2312" w:hAnsi="仿宋_GB2312" w:eastAsia="仿宋_GB2312" w:cs="仿宋_GB2312"/>
          <w:b w:val="0"/>
          <w:bCs w:val="0"/>
          <w:color w:val="auto"/>
          <w:sz w:val="32"/>
          <w:szCs w:val="32"/>
          <w:highlight w:val="none"/>
        </w:rPr>
        <w:t>经济困难高龄失能老年人补贴制度，</w:t>
      </w:r>
      <w:r>
        <w:rPr>
          <w:rFonts w:hint="eastAsia" w:ascii="仿宋_GB2312" w:hAnsi="仿宋_GB2312" w:eastAsia="仿宋_GB2312" w:cs="仿宋_GB2312"/>
          <w:b w:val="0"/>
          <w:bCs w:val="0"/>
          <w:color w:val="auto"/>
          <w:sz w:val="32"/>
          <w:szCs w:val="32"/>
          <w:highlight w:val="none"/>
          <w:lang w:val="en-US" w:eastAsia="zh-CN"/>
        </w:rPr>
        <w:t>按照每人每月不低于50元的标准分别发放护理补贴和养老服务补贴；为9037名80周岁以上</w:t>
      </w:r>
      <w:r>
        <w:rPr>
          <w:rFonts w:hint="eastAsia" w:ascii="仿宋_GB2312" w:hAnsi="仿宋_GB2312" w:eastAsia="仿宋_GB2312" w:cs="仿宋_GB2312"/>
          <w:b w:val="0"/>
          <w:bCs w:val="0"/>
          <w:color w:val="auto"/>
          <w:sz w:val="32"/>
          <w:szCs w:val="32"/>
          <w:highlight w:val="none"/>
        </w:rPr>
        <w:t>高龄老年人发放高龄津贴</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lang w:val="en-US" w:eastAsia="zh-CN"/>
        </w:rPr>
        <w:t>为我区城乡特困、重点优抚对象及70岁以上老年人参保老年人意外险。</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城乡散居孤儿养育标准分别达到每人每月</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1100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元，</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社会散居孤儿保障平均标准超过全省目标200元/人每月；</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事实无人抚养儿童按照散居孤儿保障标准落实保障经费</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全区7名孤儿，14名事实无人抚养儿童全部纳入儿童福利保障范围，开展了监护评估、精准帮扶</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等服务，</w:t>
      </w:r>
      <w:r>
        <w:rPr>
          <w:rFonts w:hint="eastAsia" w:ascii="仿宋_GB2312" w:hAnsi="仿宋_GB2312" w:eastAsia="仿宋_GB2312" w:cs="仿宋_GB2312"/>
          <w:b w:val="0"/>
          <w:bCs w:val="0"/>
          <w:color w:val="000000" w:themeColor="text1"/>
          <w:spacing w:val="-11"/>
          <w:sz w:val="32"/>
          <w:szCs w:val="32"/>
          <w:highlight w:val="none"/>
          <w14:textFill>
            <w14:solidFill>
              <w14:schemeClr w14:val="tx1"/>
            </w14:solidFill>
          </w14:textFill>
        </w:rPr>
        <w:t>残疾人生活补贴和护理补贴分别惠及</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2476</w:t>
      </w:r>
      <w:r>
        <w:rPr>
          <w:rFonts w:hint="eastAsia" w:ascii="仿宋_GB2312" w:hAnsi="仿宋_GB2312" w:eastAsia="仿宋_GB2312" w:cs="仿宋_GB2312"/>
          <w:b w:val="0"/>
          <w:bCs w:val="0"/>
          <w:color w:val="000000" w:themeColor="text1"/>
          <w:spacing w:val="-11"/>
          <w:sz w:val="32"/>
          <w:szCs w:val="32"/>
          <w:highlight w:val="none"/>
          <w14:textFill>
            <w14:solidFill>
              <w14:schemeClr w14:val="tx1"/>
            </w14:solidFill>
          </w14:textFill>
        </w:rPr>
        <w:t>人、</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1405</w:t>
      </w:r>
      <w:r>
        <w:rPr>
          <w:rFonts w:hint="eastAsia" w:ascii="仿宋_GB2312" w:hAnsi="仿宋_GB2312" w:eastAsia="仿宋_GB2312" w:cs="仿宋_GB2312"/>
          <w:b w:val="0"/>
          <w:bCs w:val="0"/>
          <w:color w:val="000000" w:themeColor="text1"/>
          <w:spacing w:val="-11"/>
          <w:sz w:val="32"/>
          <w:szCs w:val="32"/>
          <w:highlight w:val="none"/>
          <w14:textFill>
            <w14:solidFill>
              <w14:schemeClr w14:val="tx1"/>
            </w14:solidFill>
          </w14:textFill>
        </w:rPr>
        <w:t>人，为</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pacing w:val="-11"/>
          <w:sz w:val="32"/>
          <w:szCs w:val="32"/>
          <w:highlight w:val="none"/>
          <w14:textFill>
            <w14:solidFill>
              <w14:schemeClr w14:val="tx1"/>
            </w14:solidFill>
          </w14:textFill>
        </w:rPr>
        <w:t>余名贫困重度失能残疾人提供了照护和托养服务。</w:t>
      </w:r>
      <w:r>
        <w:rPr>
          <w:rFonts w:hint="eastAsia" w:ascii="仿宋_GB2312" w:hAnsi="仿宋_GB2312" w:eastAsia="仿宋_GB2312" w:cs="仿宋_GB2312"/>
          <w:b w:val="0"/>
          <w:bCs w:val="0"/>
          <w:color w:val="000000" w:themeColor="text1"/>
          <w:spacing w:val="0"/>
          <w:sz w:val="32"/>
          <w:szCs w:val="32"/>
          <w:highlight w:val="none"/>
          <w:lang w:val="en-US" w:eastAsia="zh-CN"/>
          <w14:textFill>
            <w14:solidFill>
              <w14:schemeClr w14:val="tx1"/>
            </w14:solidFill>
          </w14:textFill>
        </w:rPr>
        <w:t xml:space="preserve">  </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仿宋_GB2312" w:hAnsi="仿宋_GB2312" w:eastAsia="仿宋_GB2312" w:cs="仿宋_GB2312"/>
          <w:b w:val="0"/>
          <w:bCs w:val="0"/>
          <w:color w:val="auto"/>
          <w:kern w:val="2"/>
          <w:sz w:val="32"/>
          <w:szCs w:val="24"/>
          <w:highlight w:val="none"/>
          <w:u w:val="none"/>
          <w:lang w:val="en-US" w:eastAsia="zh-CN" w:bidi="ar-SA"/>
        </w:rPr>
      </w:pPr>
      <w:r>
        <w:rPr>
          <w:rFonts w:hint="eastAsia" w:ascii="楷体_GB2312" w:hAnsi="楷体_GB2312" w:eastAsia="楷体_GB2312" w:cs="楷体_GB2312"/>
          <w:b/>
          <w:bCs/>
          <w:color w:val="000000"/>
          <w:sz w:val="32"/>
          <w:szCs w:val="32"/>
        </w:rPr>
        <w:t>民政公共服务质量跨越提升。</w:t>
      </w:r>
      <w:r>
        <w:rPr>
          <w:rStyle w:val="15"/>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截至2020年底，</w:t>
      </w:r>
      <w:r>
        <w:rPr>
          <w:rStyle w:val="16"/>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争取中央福彩公益金108万元，省级福彩公益金278万元，获批第五批中央财政支持开展居家和社区养老服务改革试点补助277.9万元，养老服务体系建设省级补助资金45.5万元。全区建成养老机构共6家，养老机构床位数523张，其中公办敬老院1家，床位数77张。民办养老机构5家，床位数446张。护理型床位占比达到72.1%。全区13个建制村建成具备助餐等功能的农村互助养老服务设施11个，覆盖率为85%。</w:t>
      </w:r>
      <w:r>
        <w:rPr>
          <w:rStyle w:val="16"/>
          <w:rFonts w:hint="eastAsia" w:ascii="仿宋_GB2312" w:hAnsi="仿宋_GB2312" w:eastAsia="仿宋_GB2312" w:cs="仿宋_GB2312"/>
          <w:b w:val="0"/>
          <w:bCs w:val="0"/>
          <w:color w:val="auto"/>
          <w:kern w:val="2"/>
          <w:sz w:val="32"/>
          <w:szCs w:val="24"/>
          <w:highlight w:val="none"/>
          <w:u w:val="none"/>
          <w:lang w:val="en-US" w:eastAsia="zh-CN" w:bidi="ar-SA"/>
        </w:rPr>
        <w:t>建成农村公益性骨灰堂（公墓）1个。建成颁证室1个、婚姻家庭辅导室1个。</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仿宋_GB2312" w:hAnsi="仿宋_GB2312" w:eastAsia="仿宋_GB2312" w:cs="仿宋_GB2312"/>
          <w:color w:val="auto"/>
          <w:spacing w:val="-11"/>
          <w:kern w:val="2"/>
          <w:sz w:val="32"/>
          <w:szCs w:val="24"/>
          <w:highlight w:val="none"/>
          <w:lang w:val="en-US" w:eastAsia="zh-CN" w:bidi="ar-SA"/>
        </w:rPr>
      </w:pPr>
      <w:r>
        <w:rPr>
          <w:rFonts w:hint="eastAsia" w:ascii="楷体_GB2312" w:hAnsi="楷体_GB2312" w:eastAsia="楷体_GB2312" w:cs="楷体_GB2312"/>
          <w:b/>
          <w:bCs/>
          <w:color w:val="000000"/>
          <w:sz w:val="32"/>
          <w:szCs w:val="32"/>
          <w:lang w:val="en-US" w:eastAsia="zh-CN"/>
        </w:rPr>
        <w:t>持续推进基层社会治理创新</w:t>
      </w:r>
      <w:r>
        <w:rPr>
          <w:rFonts w:hint="eastAsia" w:ascii="楷体_GB2312" w:hAnsi="楷体_GB2312" w:eastAsia="楷体_GB2312" w:cs="楷体_GB2312"/>
          <w:b/>
          <w:bCs/>
          <w:color w:val="000000"/>
          <w:sz w:val="32"/>
          <w:szCs w:val="32"/>
          <w:lang w:val="zh-CN"/>
        </w:rPr>
        <w:t>。</w:t>
      </w:r>
      <w:r>
        <w:rPr>
          <w:rFonts w:hint="eastAsia" w:ascii="仿宋_GB2312" w:hAnsi="仿宋_GB2312" w:eastAsia="仿宋_GB2312" w:cs="仿宋_GB2312"/>
          <w:b w:val="0"/>
          <w:bCs w:val="0"/>
          <w:sz w:val="32"/>
          <w:szCs w:val="32"/>
          <w:lang w:val="en-US" w:eastAsia="zh-CN"/>
        </w:rPr>
        <w:t>推进城市社区管理体制改革，将中心城区的92个社区整合为54个，推进“一居一委一站”社区管理体制改革，获得省民政厅充分肯定。大力提升城市社区工作者待遇，珠山区社区工作者平均年增加1万元。100%的村（社区）建立村（居）民会议、村（居）民代表会议、村（居）民议事会、理事会等议事协商载体。目前，全区有23个社区获评全省绿色社区，13个社区获评全省农村试点社区。我区2020年度社会工作职业资格水平考试报考人数313人，珠山区报考总人数占全市报考比例80%。顺利</w:t>
      </w:r>
      <w:r>
        <w:rPr>
          <w:rStyle w:val="16"/>
          <w:rFonts w:hint="eastAsia" w:ascii="仿宋_GB2312" w:hAnsi="仿宋_GB2312" w:eastAsia="仿宋_GB2312" w:cs="仿宋_GB2312"/>
          <w:color w:val="auto"/>
          <w:kern w:val="2"/>
          <w:sz w:val="32"/>
          <w:szCs w:val="24"/>
          <w:highlight w:val="none"/>
          <w:lang w:val="en-US" w:eastAsia="zh-CN" w:bidi="ar-SA"/>
        </w:rPr>
        <w:t>完成全国第二次地名普查工作，全区编</w:t>
      </w:r>
      <w:r>
        <w:rPr>
          <w:rStyle w:val="16"/>
          <w:rFonts w:hint="eastAsia" w:ascii="仿宋_GB2312" w:hAnsi="仿宋_GB2312" w:eastAsia="仿宋_GB2312" w:cs="仿宋_GB2312"/>
          <w:color w:val="auto"/>
          <w:spacing w:val="-11"/>
          <w:kern w:val="2"/>
          <w:sz w:val="32"/>
          <w:szCs w:val="24"/>
          <w:highlight w:val="none"/>
          <w:lang w:val="en-US" w:eastAsia="zh-CN" w:bidi="ar-SA"/>
        </w:rPr>
        <w:t>入地名调查目录数2290条。扎实做好边界地名管理工作，开展皖赣线第四轮联检工作，对城区不规范路牌开展清理整治。</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仿宋_GB2312" w:hAnsi="仿宋_GB2312" w:eastAsia="仿宋_GB2312" w:cs="仿宋_GB2312"/>
          <w:color w:val="auto"/>
          <w:kern w:val="2"/>
          <w:sz w:val="32"/>
          <w:szCs w:val="24"/>
          <w:highlight w:val="none"/>
          <w:lang w:val="en-US" w:eastAsia="zh-CN" w:bidi="ar-SA"/>
        </w:rPr>
      </w:pPr>
      <w:r>
        <w:rPr>
          <w:rFonts w:hint="eastAsia" w:ascii="楷体_GB2312" w:hAnsi="楷体_GB2312" w:eastAsia="楷体_GB2312" w:cs="楷体_GB2312"/>
          <w:b/>
          <w:bCs/>
          <w:color w:val="000000"/>
          <w:sz w:val="32"/>
          <w:szCs w:val="32"/>
          <w:lang w:val="zh-CN"/>
        </w:rPr>
        <w:t>民政领域治理效能明显提高。</w:t>
      </w:r>
      <w:r>
        <w:rPr>
          <w:rFonts w:hint="eastAsia" w:ascii="仿宋_GB2312" w:hAnsi="仿宋_GB2312" w:eastAsia="仿宋_GB2312" w:cs="仿宋_GB2312"/>
          <w:sz w:val="32"/>
          <w:szCs w:val="32"/>
        </w:rPr>
        <w:t>以习近平新时代中国特色社会主义思想为指导，深入贯彻落实习近平总书记对民政工作和视察江西重要讲话精神，加强党建工作对民政工作的政治统领，不断增强“四个意识”、坚定“四个自信”，自觉把做到“两个维护”贯穿到民政工作全过程各方面，落实到广大党员干部的实际行动中。全力支持配合驻</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纪检监察组对民政各领域开展全方位监督，实现主体责任与监督责任贯通联动、同向发力。不断健全</w:t>
      </w:r>
      <w:r>
        <w:rPr>
          <w:rStyle w:val="16"/>
          <w:rFonts w:hint="eastAsia" w:ascii="仿宋_GB2312" w:hAnsi="仿宋_GB2312" w:eastAsia="仿宋_GB2312" w:cs="仿宋_GB2312"/>
          <w:sz w:val="32"/>
          <w:szCs w:val="32"/>
        </w:rPr>
        <w:t>资金绩效评价方法和资金使用管理制度，不断加大资金监管力度，</w:t>
      </w:r>
      <w:r>
        <w:rPr>
          <w:rFonts w:hint="eastAsia" w:ascii="仿宋_GB2312" w:hAnsi="仿宋_GB2312" w:eastAsia="仿宋_GB2312" w:cs="仿宋_GB2312"/>
          <w:sz w:val="32"/>
          <w:szCs w:val="32"/>
        </w:rPr>
        <w:t>持续推进精文减会，切实减轻基层负担，坚决杜绝形式主义、官僚主义问题，以风清气正政治生态确保民政事业健康发展和民政干部健康成长。</w:t>
      </w:r>
      <w:r>
        <w:rPr>
          <w:rStyle w:val="16"/>
          <w:rFonts w:hint="eastAsia" w:ascii="仿宋_GB2312" w:hAnsi="仿宋_GB2312" w:eastAsia="仿宋_GB2312" w:cs="仿宋_GB2312"/>
          <w:color w:val="auto"/>
          <w:kern w:val="2"/>
          <w:sz w:val="32"/>
          <w:szCs w:val="24"/>
          <w:highlight w:val="none"/>
          <w:lang w:val="en-US" w:eastAsia="zh-CN" w:bidi="ar-SA"/>
        </w:rPr>
        <w:t>加强机关党建建设，树立“做事就是最好的作风”导向，凝聚干事创业力量。加强全面从严治党，开展岗位风险排查。加强信息宣传，认真做好“政务公开网”管理及维护工作，积极推进政务公开。</w:t>
      </w:r>
      <w:r>
        <w:rPr>
          <w:rFonts w:hint="eastAsia" w:ascii="仿宋_GB2312" w:hAnsi="仿宋_GB2312" w:eastAsia="仿宋_GB2312" w:cs="仿宋_GB2312"/>
          <w:sz w:val="32"/>
          <w:szCs w:val="32"/>
        </w:rPr>
        <w:t>持续推进“数</w:t>
      </w:r>
      <w:r>
        <w:rPr>
          <w:rStyle w:val="16"/>
          <w:rFonts w:hint="eastAsia" w:ascii="仿宋_GB2312" w:hAnsi="仿宋_GB2312" w:eastAsia="仿宋_GB2312" w:cs="仿宋_GB2312"/>
          <w:sz w:val="32"/>
          <w:szCs w:val="32"/>
        </w:rPr>
        <w:t>字民政”应用平台建设并覆盖所有民政业务，“互联网+民政服务”框架基本形成。</w:t>
      </w:r>
      <w:r>
        <w:rPr>
          <w:rStyle w:val="16"/>
          <w:rFonts w:hint="eastAsia" w:ascii="仿宋_GB2312" w:hAnsi="仿宋_GB2312" w:eastAsia="仿宋_GB2312" w:cs="仿宋_GB2312"/>
          <w:color w:val="auto"/>
          <w:kern w:val="2"/>
          <w:sz w:val="32"/>
          <w:szCs w:val="24"/>
          <w:highlight w:val="none"/>
          <w:lang w:val="en-US" w:eastAsia="zh-CN" w:bidi="ar-SA"/>
        </w:rPr>
        <w:t>报请区政府出台进一步加强基层民政服务能力建设的实施意见，有力增强了基层民政能力。</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仿宋_GB2312" w:hAnsi="仿宋_GB2312" w:eastAsia="仿宋_GB2312" w:cs="仿宋_GB2312"/>
          <w:color w:val="auto"/>
          <w:kern w:val="2"/>
          <w:sz w:val="32"/>
          <w:szCs w:val="24"/>
          <w:highlight w:val="none"/>
          <w:lang w:val="en-US" w:eastAsia="zh-CN" w:bidi="ar-SA"/>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eastAsia="宋体" w:cs="宋体"/>
          <w:b/>
          <w:bCs/>
          <w:kern w:val="0"/>
          <w:sz w:val="32"/>
          <w:szCs w:val="32"/>
          <w:lang w:val="en-US" w:eastAsia="zh-CN"/>
        </w:rPr>
      </w:pPr>
      <w:r>
        <w:rPr>
          <w:rStyle w:val="15"/>
          <w:rFonts w:hint="eastAsia" w:ascii="宋体" w:hAnsi="宋体" w:eastAsia="宋体" w:cs="宋体"/>
          <w:b/>
          <w:bCs/>
          <w:kern w:val="0"/>
          <w:sz w:val="32"/>
          <w:szCs w:val="32"/>
          <w:lang w:val="en-US" w:eastAsia="zh-CN"/>
        </w:rPr>
        <w:t>“十三五”时期民政事业主要指标完成情况</w:t>
      </w:r>
    </w:p>
    <w:tbl>
      <w:tblPr>
        <w:tblStyle w:val="11"/>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3"/>
        <w:gridCol w:w="954"/>
        <w:gridCol w:w="2632"/>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b/>
                <w:bCs/>
                <w:color w:val="000000" w:themeColor="text1"/>
                <w:kern w:val="0"/>
                <w:sz w:val="21"/>
                <w:szCs w:val="21"/>
                <w14:textFill>
                  <w14:solidFill>
                    <w14:schemeClr w14:val="tx1"/>
                  </w14:solidFill>
                </w14:textFill>
              </w:rPr>
              <w:t>主要指标</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b/>
                <w:bCs/>
                <w:color w:val="000000" w:themeColor="text1"/>
                <w:kern w:val="0"/>
                <w:sz w:val="21"/>
                <w:szCs w:val="21"/>
                <w14:textFill>
                  <w14:solidFill>
                    <w14:schemeClr w14:val="tx1"/>
                  </w14:solidFill>
                </w14:textFill>
              </w:rPr>
              <w:t>2020年</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aseline"/>
              <w:rPr>
                <w:rStyle w:val="15"/>
                <w:rFonts w:hint="eastAsia" w:ascii="宋体" w:hAnsi="宋体"/>
                <w:b/>
                <w:bCs/>
                <w:color w:val="000000" w:themeColor="text1"/>
                <w:kern w:val="0"/>
                <w:sz w:val="21"/>
                <w:szCs w:val="21"/>
                <w14:textFill>
                  <w14:solidFill>
                    <w14:schemeClr w14:val="tx1"/>
                  </w14:solidFill>
                </w14:textFill>
              </w:rPr>
            </w:pPr>
            <w:r>
              <w:rPr>
                <w:rStyle w:val="15"/>
                <w:rFonts w:hint="eastAsia" w:ascii="宋体" w:hAnsi="宋体"/>
                <w:b/>
                <w:bCs/>
                <w:color w:val="000000" w:themeColor="text1"/>
                <w:kern w:val="0"/>
                <w:sz w:val="21"/>
                <w:szCs w:val="21"/>
                <w14:textFill>
                  <w14:solidFill>
                    <w14:schemeClr w14:val="tx1"/>
                  </w14:solidFill>
                </w14:textFill>
              </w:rPr>
              <w:t>江西省民政事业发展</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b/>
                <w:bCs/>
                <w:color w:val="000000" w:themeColor="text1"/>
                <w:kern w:val="0"/>
                <w:sz w:val="21"/>
                <w:szCs w:val="21"/>
                <w14:textFill>
                  <w14:solidFill>
                    <w14:schemeClr w14:val="tx1"/>
                  </w14:solidFill>
                </w14:textFill>
              </w:rPr>
              <w:t>“十三五”规划主要指标</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b/>
                <w:bCs/>
                <w:color w:val="000000" w:themeColor="text1"/>
                <w:kern w:val="0"/>
                <w:sz w:val="21"/>
                <w:szCs w:val="21"/>
                <w14:textFill>
                  <w14:solidFill>
                    <w14:schemeClr w14:val="tx1"/>
                  </w14:solidFill>
                </w14:textFill>
              </w:rPr>
              <w:t>实现目标情况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spacing w:val="-11"/>
                <w:kern w:val="0"/>
                <w:sz w:val="21"/>
                <w:szCs w:val="21"/>
                <w14:textFill>
                  <w14:solidFill>
                    <w14:schemeClr w14:val="tx1"/>
                  </w14:solidFill>
                </w14:textFill>
              </w:rPr>
              <w:t>城市最低生活保障平均标准(元/人、月）</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auto"/>
                <w:kern w:val="0"/>
                <w:sz w:val="21"/>
                <w:szCs w:val="21"/>
                <w:lang w:val="en-US" w:eastAsia="zh-CN" w:bidi="ar-SA"/>
              </w:rPr>
            </w:pPr>
            <w:r>
              <w:rPr>
                <w:rStyle w:val="15"/>
                <w:rFonts w:hint="eastAsia" w:ascii="宋体" w:hAnsi="宋体"/>
                <w:color w:val="auto"/>
                <w:kern w:val="0"/>
                <w:sz w:val="21"/>
                <w:szCs w:val="21"/>
              </w:rPr>
              <w:t>720</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default" w:ascii="宋体" w:hAnsi="宋体" w:cs="宋体"/>
                <w:b/>
                <w:bCs/>
                <w:color w:val="auto"/>
                <w:kern w:val="0"/>
                <w:sz w:val="21"/>
                <w:szCs w:val="21"/>
                <w:lang w:val="en-US"/>
              </w:rPr>
            </w:pPr>
            <w:r>
              <w:rPr>
                <w:rStyle w:val="15"/>
                <w:rFonts w:hint="eastAsia" w:ascii="宋体" w:hAnsi="宋体"/>
                <w:color w:val="auto"/>
                <w:kern w:val="0"/>
                <w:sz w:val="21"/>
                <w:szCs w:val="21"/>
              </w:rPr>
              <w:t>7</w:t>
            </w:r>
            <w:r>
              <w:rPr>
                <w:rStyle w:val="15"/>
                <w:rFonts w:hint="eastAsia" w:ascii="宋体" w:hAnsi="宋体"/>
                <w:color w:val="auto"/>
                <w:kern w:val="0"/>
                <w:sz w:val="21"/>
                <w:szCs w:val="21"/>
                <w:lang w:val="en-US"/>
              </w:rPr>
              <w:t>05</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实现目标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农村最低生活保障平均标准(元/人、月）</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宋体"/>
                <w:b/>
                <w:bCs/>
                <w:color w:val="auto"/>
                <w:kern w:val="0"/>
                <w:sz w:val="21"/>
                <w:szCs w:val="21"/>
                <w:lang w:val="en-US" w:eastAsia="zh-CN" w:bidi="ar-SA"/>
              </w:rPr>
            </w:pPr>
            <w:r>
              <w:rPr>
                <w:rStyle w:val="15"/>
                <w:rFonts w:hint="eastAsia" w:ascii="宋体" w:hAnsi="宋体"/>
                <w:color w:val="auto"/>
                <w:kern w:val="0"/>
                <w:sz w:val="21"/>
                <w:szCs w:val="21"/>
                <w:lang w:val="en-US"/>
              </w:rPr>
              <w:t>720</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auto"/>
                <w:kern w:val="0"/>
                <w:sz w:val="21"/>
                <w:szCs w:val="21"/>
              </w:rPr>
            </w:pPr>
            <w:r>
              <w:rPr>
                <w:rStyle w:val="16"/>
                <w:rFonts w:hint="eastAsia" w:ascii="宋体" w:hAnsi="宋体"/>
                <w:color w:val="auto"/>
                <w:kern w:val="0"/>
                <w:sz w:val="21"/>
                <w:szCs w:val="21"/>
              </w:rPr>
              <w:t>470</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实现目标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spacing w:val="-17"/>
                <w:kern w:val="0"/>
                <w:sz w:val="21"/>
                <w:szCs w:val="21"/>
                <w14:textFill>
                  <w14:solidFill>
                    <w14:schemeClr w14:val="tx1"/>
                  </w14:solidFill>
                </w14:textFill>
              </w:rPr>
              <w:t>社会散居孤儿基本生活最低养育标准(元/人、月）</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auto"/>
                <w:kern w:val="0"/>
                <w:sz w:val="21"/>
                <w:szCs w:val="21"/>
                <w:lang w:val="en-US"/>
              </w:rPr>
              <w:t>1100</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6"/>
                <w:rFonts w:hint="eastAsia" w:ascii="宋体" w:hAnsi="宋体"/>
                <w:color w:val="000000" w:themeColor="text1"/>
                <w:kern w:val="0"/>
                <w:sz w:val="21"/>
                <w:szCs w:val="21"/>
                <w14:textFill>
                  <w14:solidFill>
                    <w14:schemeClr w14:val="tx1"/>
                  </w14:solidFill>
                </w14:textFill>
              </w:rPr>
              <w:t>900</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spacing w:val="-23"/>
                <w:kern w:val="0"/>
                <w:sz w:val="21"/>
                <w:szCs w:val="21"/>
                <w14:textFill>
                  <w14:solidFill>
                    <w14:schemeClr w14:val="tx1"/>
                  </w14:solidFill>
                </w14:textFill>
              </w:rPr>
              <w:t>超过</w:t>
            </w:r>
            <w:r>
              <w:rPr>
                <w:rStyle w:val="15"/>
                <w:rFonts w:hint="eastAsia" w:ascii="宋体" w:hAnsi="宋体"/>
                <w:color w:val="000000" w:themeColor="text1"/>
                <w:spacing w:val="-23"/>
                <w:kern w:val="0"/>
                <w:sz w:val="21"/>
                <w:szCs w:val="21"/>
                <w:lang w:val="en-US"/>
                <w14:textFill>
                  <w14:solidFill>
                    <w14:schemeClr w14:val="tx1"/>
                  </w14:solidFill>
                </w14:textFill>
              </w:rPr>
              <w:t>20</w:t>
            </w:r>
            <w:r>
              <w:rPr>
                <w:rStyle w:val="15"/>
                <w:rFonts w:hint="eastAsia" w:ascii="宋体" w:hAnsi="宋体"/>
                <w:color w:val="000000" w:themeColor="text1"/>
                <w:spacing w:val="-23"/>
                <w:kern w:val="0"/>
                <w:sz w:val="21"/>
                <w:szCs w:val="21"/>
                <w14:textFill>
                  <w14:solidFill>
                    <w14:schemeClr w14:val="tx1"/>
                  </w14:solidFill>
                </w14:textFill>
              </w:rPr>
              <w:t>0(元/人、月）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养老机构护理型床位占比（%）</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kern w:val="0"/>
                <w:sz w:val="21"/>
                <w:szCs w:val="21"/>
                <w:lang w:val="en-US"/>
                <w14:textFill>
                  <w14:solidFill>
                    <w14:schemeClr w14:val="tx1"/>
                  </w14:solidFill>
                </w14:textFill>
              </w:rPr>
              <w:t>72.1</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30</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kern w:val="0"/>
                <w:sz w:val="21"/>
                <w:szCs w:val="21"/>
                <w:highlight w:val="none"/>
                <w:lang w:val="en-US"/>
                <w14:textFill>
                  <w14:solidFill>
                    <w14:schemeClr w14:val="tx1"/>
                  </w14:solidFill>
                </w14:textFill>
              </w:rPr>
              <w:t>实现目标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每万人拥有社会组织数（个）</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cs="宋体"/>
                <w:b w:val="0"/>
                <w:bCs w:val="0"/>
                <w:color w:val="000000" w:themeColor="text1"/>
                <w:kern w:val="0"/>
                <w:sz w:val="21"/>
                <w:szCs w:val="21"/>
                <w:lang w:val="en-US" w:eastAsia="zh-CN" w:bidi="ar-SA"/>
                <w14:textFill>
                  <w14:solidFill>
                    <w14:schemeClr w14:val="tx1"/>
                  </w14:solidFill>
                </w14:textFill>
              </w:rPr>
              <w:t>6.8</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6"/>
                <w:rFonts w:hint="eastAsia" w:ascii="宋体" w:hAnsi="宋体"/>
                <w:color w:val="000000" w:themeColor="text1"/>
                <w:kern w:val="0"/>
                <w:sz w:val="21"/>
                <w:szCs w:val="21"/>
                <w14:textFill>
                  <w14:solidFill>
                    <w14:schemeClr w14:val="tx1"/>
                  </w14:solidFill>
                </w14:textFill>
              </w:rPr>
              <w:t>6.7</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6"/>
                <w:rFonts w:hint="eastAsia" w:ascii="宋体" w:hAnsi="宋体"/>
                <w:color w:val="000000" w:themeColor="text1"/>
                <w:kern w:val="0"/>
                <w:sz w:val="21"/>
                <w:szCs w:val="21"/>
                <w:highlight w:val="none"/>
                <w14:textFill>
                  <w14:solidFill>
                    <w14:schemeClr w14:val="tx1"/>
                  </w14:solidFill>
                </w14:textFill>
              </w:rPr>
              <w:t>超过</w:t>
            </w:r>
            <w:r>
              <w:rPr>
                <w:rStyle w:val="16"/>
                <w:rFonts w:hint="eastAsia" w:ascii="宋体" w:hAnsi="宋体"/>
                <w:color w:val="000000" w:themeColor="text1"/>
                <w:kern w:val="0"/>
                <w:sz w:val="21"/>
                <w:szCs w:val="21"/>
                <w:highlight w:val="none"/>
                <w:lang w:val="en-US" w:eastAsia="zh-CN"/>
                <w14:textFill>
                  <w14:solidFill>
                    <w14:schemeClr w14:val="tx1"/>
                  </w14:solidFill>
                </w14:textFill>
              </w:rPr>
              <w:t>0.1</w:t>
            </w:r>
            <w:r>
              <w:rPr>
                <w:rStyle w:val="16"/>
                <w:rFonts w:hint="eastAsia" w:ascii="宋体" w:hAnsi="宋体"/>
                <w:color w:val="000000" w:themeColor="text1"/>
                <w:kern w:val="0"/>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城市社区综合服务设施覆盖率（%）</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100</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6"/>
                <w:rFonts w:hint="eastAsia" w:ascii="宋体" w:hAnsi="宋体"/>
                <w:color w:val="000000" w:themeColor="text1"/>
                <w:kern w:val="0"/>
                <w:sz w:val="21"/>
                <w:szCs w:val="21"/>
                <w14:textFill>
                  <w14:solidFill>
                    <w14:schemeClr w14:val="tx1"/>
                  </w14:solidFill>
                </w14:textFill>
              </w:rPr>
              <w:t>100</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实现目标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农村社区综合服务设施覆盖率（%）</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kern w:val="0"/>
                <w:sz w:val="21"/>
                <w:szCs w:val="21"/>
                <w:lang w:val="en-US"/>
                <w14:textFill>
                  <w14:solidFill>
                    <w14:schemeClr w14:val="tx1"/>
                  </w14:solidFill>
                </w14:textFill>
              </w:rPr>
              <w:t>100</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6"/>
                <w:rFonts w:hint="eastAsia" w:ascii="宋体" w:hAnsi="宋体"/>
                <w:color w:val="000000" w:themeColor="text1"/>
                <w:kern w:val="0"/>
                <w:sz w:val="21"/>
                <w:szCs w:val="21"/>
                <w14:textFill>
                  <w14:solidFill>
                    <w14:schemeClr w14:val="tx1"/>
                  </w14:solidFill>
                </w14:textFill>
              </w:rPr>
              <w:t>70</w:t>
            </w:r>
          </w:p>
        </w:tc>
        <w:tc>
          <w:tcPr>
            <w:tcW w:w="1868" w:type="dxa"/>
            <w:noWrap w:val="0"/>
            <w:vAlign w:val="center"/>
          </w:tcPr>
          <w:p>
            <w:pPr>
              <w:pStyle w:val="14"/>
              <w:keepNext w:val="0"/>
              <w:keepLines w:val="0"/>
              <w:pageBreakBefore w:val="0"/>
              <w:widowControl/>
              <w:kinsoku/>
              <w:wordWrap/>
              <w:overflowPunct/>
              <w:topLinePunct w:val="0"/>
              <w:autoSpaceDE/>
              <w:autoSpaceDN/>
              <w:bidi w:val="0"/>
              <w:adjustRightInd w:val="0"/>
              <w:snapToGrid w:val="0"/>
              <w:spacing w:before="0" w:after="0"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6"/>
                <w:rFonts w:hint="eastAsia" w:ascii="宋体" w:hAnsi="宋体" w:eastAsia="宋体"/>
                <w:b w:val="0"/>
                <w:bCs w:val="0"/>
                <w:color w:val="000000" w:themeColor="text1"/>
                <w:spacing w:val="-11"/>
                <w:kern w:val="0"/>
                <w:sz w:val="21"/>
                <w:szCs w:val="21"/>
                <w14:textFill>
                  <w14:solidFill>
                    <w14:schemeClr w14:val="tx1"/>
                  </w14:solidFill>
                </w14:textFill>
              </w:rPr>
              <w:t>超过</w:t>
            </w:r>
            <w:r>
              <w:rPr>
                <w:rStyle w:val="16"/>
                <w:rFonts w:hint="eastAsia" w:ascii="宋体" w:hAnsi="宋体" w:eastAsia="宋体"/>
                <w:b w:val="0"/>
                <w:bCs w:val="0"/>
                <w:color w:val="000000" w:themeColor="text1"/>
                <w:spacing w:val="-11"/>
                <w:kern w:val="0"/>
                <w:sz w:val="21"/>
                <w:szCs w:val="21"/>
                <w:lang w:val="en-US" w:eastAsia="zh-CN"/>
                <w14:textFill>
                  <w14:solidFill>
                    <w14:schemeClr w14:val="tx1"/>
                  </w14:solidFill>
                </w14:textFill>
              </w:rPr>
              <w:t>43</w:t>
            </w:r>
            <w:r>
              <w:rPr>
                <w:rStyle w:val="16"/>
                <w:rFonts w:hint="eastAsia" w:ascii="宋体" w:hAnsi="宋体" w:eastAsia="宋体"/>
                <w:b w:val="0"/>
                <w:bCs w:val="0"/>
                <w:color w:val="000000" w:themeColor="text1"/>
                <w:spacing w:val="-11"/>
                <w:kern w:val="0"/>
                <w:sz w:val="21"/>
                <w:szCs w:val="21"/>
                <w14:textFill>
                  <w14:solidFill>
                    <w14:schemeClr w14:val="tx1"/>
                  </w14:solidFill>
                </w14:textFill>
              </w:rPr>
              <w:t>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highlight w:val="none"/>
                <w14:textFill>
                  <w14:solidFill>
                    <w14:schemeClr w14:val="tx1"/>
                  </w14:solidFill>
                </w14:textFill>
              </w:rPr>
            </w:pPr>
            <w:r>
              <w:rPr>
                <w:rStyle w:val="15"/>
                <w:rFonts w:hint="eastAsia" w:ascii="宋体" w:hAnsi="宋体"/>
                <w:color w:val="000000" w:themeColor="text1"/>
                <w:spacing w:val="-17"/>
                <w:kern w:val="0"/>
                <w:sz w:val="21"/>
                <w:szCs w:val="21"/>
                <w:highlight w:val="none"/>
                <w:lang w:val="en-US"/>
                <w14:textFill>
                  <w14:solidFill>
                    <w14:schemeClr w14:val="tx1"/>
                  </w14:solidFill>
                </w14:textFill>
              </w:rPr>
              <w:t>基层政权建设和社区治理信息系统</w:t>
            </w:r>
            <w:r>
              <w:rPr>
                <w:rStyle w:val="15"/>
                <w:rFonts w:hint="eastAsia" w:ascii="宋体" w:hAnsi="宋体"/>
                <w:color w:val="000000" w:themeColor="text1"/>
                <w:spacing w:val="-17"/>
                <w:kern w:val="0"/>
                <w:sz w:val="21"/>
                <w:szCs w:val="21"/>
                <w:highlight w:val="none"/>
                <w14:textFill>
                  <w14:solidFill>
                    <w14:schemeClr w14:val="tx1"/>
                  </w14:solidFill>
                </w14:textFill>
              </w:rPr>
              <w:t>平台覆盖率(%)</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Style w:val="15"/>
                <w:rFonts w:hint="eastAsia" w:ascii="宋体" w:hAnsi="宋体"/>
                <w:color w:val="000000" w:themeColor="text1"/>
                <w:kern w:val="0"/>
                <w:sz w:val="21"/>
                <w:szCs w:val="21"/>
                <w:highlight w:val="none"/>
                <w:lang w:val="en-US"/>
                <w14:textFill>
                  <w14:solidFill>
                    <w14:schemeClr w14:val="tx1"/>
                  </w14:solidFill>
                </w14:textFill>
              </w:rPr>
              <w:t>100</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highlight w:val="none"/>
                <w14:textFill>
                  <w14:solidFill>
                    <w14:schemeClr w14:val="tx1"/>
                  </w14:solidFill>
                </w14:textFill>
              </w:rPr>
            </w:pPr>
            <w:r>
              <w:rPr>
                <w:rStyle w:val="16"/>
                <w:rFonts w:hint="eastAsia" w:ascii="宋体" w:hAnsi="宋体"/>
                <w:color w:val="000000" w:themeColor="text1"/>
                <w:kern w:val="0"/>
                <w:sz w:val="21"/>
                <w:szCs w:val="21"/>
                <w:highlight w:val="none"/>
                <w14:textFill>
                  <w14:solidFill>
                    <w14:schemeClr w14:val="tx1"/>
                  </w14:solidFill>
                </w14:textFill>
              </w:rPr>
              <w:t>60</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Style w:val="16"/>
                <w:rFonts w:hint="eastAsia" w:ascii="宋体" w:hAnsi="宋体"/>
                <w:color w:val="000000" w:themeColor="text1"/>
                <w:kern w:val="0"/>
                <w:sz w:val="21"/>
                <w:szCs w:val="21"/>
                <w:highlight w:val="none"/>
                <w14:textFill>
                  <w14:solidFill>
                    <w14:schemeClr w14:val="tx1"/>
                  </w14:solidFill>
                </w14:textFill>
              </w:rPr>
              <w:t>超过</w:t>
            </w:r>
            <w:r>
              <w:rPr>
                <w:rStyle w:val="16"/>
                <w:rFonts w:hint="eastAsia" w:ascii="宋体" w:hAnsi="宋体"/>
                <w:color w:val="000000" w:themeColor="text1"/>
                <w:kern w:val="0"/>
                <w:sz w:val="21"/>
                <w:szCs w:val="21"/>
                <w:highlight w:val="none"/>
                <w:lang w:val="en-US" w:eastAsia="zh-CN"/>
                <w14:textFill>
                  <w14:solidFill>
                    <w14:schemeClr w14:val="tx1"/>
                  </w14:solidFill>
                </w14:textFill>
              </w:rPr>
              <w:t>66</w:t>
            </w:r>
            <w:r>
              <w:rPr>
                <w:rStyle w:val="16"/>
                <w:rFonts w:hint="eastAsia" w:ascii="宋体" w:hAnsi="宋体"/>
                <w:color w:val="000000" w:themeColor="text1"/>
                <w:kern w:val="0"/>
                <w:sz w:val="21"/>
                <w:szCs w:val="21"/>
                <w:highlight w:val="none"/>
                <w14:textFill>
                  <w14:solidFill>
                    <w14:schemeClr w14:val="tx1"/>
                  </w14:solidFill>
                </w14:textFill>
              </w:rPr>
              <w:t>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83"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left"/>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社会工作专业人才占总人口比例(千人比)</w:t>
            </w:r>
          </w:p>
        </w:tc>
        <w:tc>
          <w:tcPr>
            <w:tcW w:w="954"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5"/>
                <w:rFonts w:hint="eastAsia" w:ascii="宋体" w:hAnsi="宋体"/>
                <w:color w:val="000000" w:themeColor="text1"/>
                <w:kern w:val="0"/>
                <w:sz w:val="21"/>
                <w:szCs w:val="21"/>
                <w14:textFill>
                  <w14:solidFill>
                    <w14:schemeClr w14:val="tx1"/>
                  </w14:solidFill>
                </w14:textFill>
              </w:rPr>
              <w:t>1</w:t>
            </w:r>
          </w:p>
        </w:tc>
        <w:tc>
          <w:tcPr>
            <w:tcW w:w="2632"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Style w:val="15"/>
                <w:rFonts w:hint="eastAsia" w:ascii="宋体" w:hAnsi="宋体" w:cs="宋体"/>
                <w:b/>
                <w:bCs/>
                <w:color w:val="000000" w:themeColor="text1"/>
                <w:kern w:val="0"/>
                <w:sz w:val="21"/>
                <w:szCs w:val="21"/>
                <w14:textFill>
                  <w14:solidFill>
                    <w14:schemeClr w14:val="tx1"/>
                  </w14:solidFill>
                </w14:textFill>
              </w:rPr>
            </w:pPr>
            <w:r>
              <w:rPr>
                <w:rStyle w:val="16"/>
                <w:rFonts w:hint="eastAsia" w:ascii="宋体" w:hAnsi="宋体"/>
                <w:color w:val="000000" w:themeColor="text1"/>
                <w:kern w:val="0"/>
                <w:sz w:val="21"/>
                <w:szCs w:val="21"/>
                <w14:textFill>
                  <w14:solidFill>
                    <w14:schemeClr w14:val="tx1"/>
                  </w14:solidFill>
                </w14:textFill>
              </w:rPr>
              <w:t>1</w:t>
            </w:r>
          </w:p>
        </w:tc>
        <w:tc>
          <w:tcPr>
            <w:tcW w:w="1868" w:type="dxa"/>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Style w:val="16"/>
                <w:rFonts w:hint="eastAsia" w:ascii="宋体" w:hAnsi="宋体"/>
                <w:color w:val="000000" w:themeColor="text1"/>
                <w:kern w:val="0"/>
                <w:sz w:val="21"/>
                <w:szCs w:val="21"/>
                <w14:textFill>
                  <w14:solidFill>
                    <w14:schemeClr w14:val="tx1"/>
                  </w14:solidFill>
                </w14:textFill>
              </w:rPr>
              <w:t>实现目标</w:t>
            </w:r>
          </w:p>
        </w:tc>
      </w:tr>
    </w:tbl>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第二节  科学研判“十四五”发展新形势</w:t>
      </w:r>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仿宋" w:hAnsi="仿宋" w:eastAsia="仿宋" w:cs="仿宋"/>
          <w:sz w:val="32"/>
          <w:szCs w:val="32"/>
          <w:shd w:val="clear" w:color="060000" w:fill="auto"/>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rPr>
      </w:pPr>
      <w:r>
        <w:rPr>
          <w:rFonts w:hint="eastAsia" w:ascii="仿宋_GB2312" w:hAnsi="仿宋_GB2312" w:eastAsia="仿宋_GB2312" w:cs="仿宋_GB2312"/>
          <w:sz w:val="32"/>
          <w:szCs w:val="32"/>
          <w:shd w:val="clear" w:color="060000" w:fill="auto"/>
        </w:rPr>
        <w:t>立足新发展阶段、贯彻新发展理念、</w:t>
      </w:r>
      <w:r>
        <w:rPr>
          <w:rFonts w:hint="eastAsia" w:ascii="仿宋_GB2312" w:hAnsi="仿宋_GB2312" w:eastAsia="仿宋_GB2312" w:cs="仿宋_GB2312"/>
          <w:sz w:val="32"/>
          <w:szCs w:val="32"/>
          <w:shd w:val="clear" w:color="060000" w:fill="auto"/>
          <w:lang w:val="en-US" w:eastAsia="zh-CN"/>
        </w:rPr>
        <w:t>融入</w:t>
      </w:r>
      <w:r>
        <w:rPr>
          <w:rFonts w:hint="eastAsia" w:ascii="仿宋_GB2312" w:hAnsi="仿宋_GB2312" w:eastAsia="仿宋_GB2312" w:cs="仿宋_GB2312"/>
          <w:sz w:val="32"/>
          <w:szCs w:val="32"/>
          <w:shd w:val="clear" w:color="060000" w:fill="auto"/>
        </w:rPr>
        <w:t>新发展格局，</w:t>
      </w:r>
      <w:r>
        <w:rPr>
          <w:rFonts w:hint="eastAsia" w:ascii="仿宋_GB2312" w:hAnsi="仿宋_GB2312" w:eastAsia="仿宋_GB2312" w:cs="仿宋_GB2312"/>
          <w:sz w:val="32"/>
        </w:rPr>
        <w:t>必须</w:t>
      </w:r>
      <w:r>
        <w:rPr>
          <w:rFonts w:hint="eastAsia" w:ascii="仿宋_GB2312" w:hAnsi="仿宋_GB2312" w:eastAsia="仿宋_GB2312" w:cs="仿宋_GB2312"/>
          <w:sz w:val="32"/>
          <w:szCs w:val="32"/>
          <w:shd w:val="clear" w:color="060000" w:fill="auto"/>
        </w:rPr>
        <w:t>深刻认识社会矛盾变化带来的新特征新要求，深刻认识错综复杂发展环境带来的新矛盾新挑战，深刻认识民政肩负的新使命新任务，抢抓发展机遇，主动融入大局，奋力推动“十四五”时期</w:t>
      </w:r>
      <w:r>
        <w:rPr>
          <w:rFonts w:hint="eastAsia" w:ascii="仿宋_GB2312" w:hAnsi="仿宋_GB2312" w:eastAsia="仿宋_GB2312" w:cs="仿宋_GB2312"/>
          <w:sz w:val="32"/>
          <w:szCs w:val="32"/>
          <w:shd w:val="clear" w:color="060000" w:fill="auto"/>
          <w:lang w:val="en-US" w:eastAsia="zh-CN"/>
        </w:rPr>
        <w:t>我市</w:t>
      </w:r>
      <w:r>
        <w:rPr>
          <w:rFonts w:hint="eastAsia" w:ascii="仿宋_GB2312" w:hAnsi="仿宋_GB2312" w:eastAsia="仿宋_GB2312" w:cs="仿宋_GB2312"/>
          <w:sz w:val="32"/>
          <w:szCs w:val="32"/>
          <w:shd w:val="clear" w:color="060000" w:fill="auto"/>
        </w:rPr>
        <w:t>民政事业高质量可持续发展</w:t>
      </w:r>
      <w:r>
        <w:rPr>
          <w:rFonts w:hint="eastAsia" w:ascii="仿宋_GB2312" w:hAnsi="仿宋_GB2312" w:eastAsia="仿宋_GB2312" w:cs="仿宋_GB2312"/>
          <w:sz w:val="32"/>
        </w:rPr>
        <w:t>。</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stheme="minorBidi"/>
          <w:color w:val="auto"/>
          <w:kern w:val="2"/>
          <w:sz w:val="32"/>
          <w:szCs w:val="24"/>
          <w:highlight w:val="none"/>
          <w:lang w:val="en-US" w:eastAsia="zh-CN" w:bidi="ar-SA"/>
        </w:rPr>
      </w:pPr>
      <w:r>
        <w:rPr>
          <w:rStyle w:val="15"/>
          <w:rFonts w:hint="eastAsia" w:ascii="楷体" w:hAnsi="楷体" w:eastAsia="楷体"/>
          <w:b/>
          <w:color w:val="auto"/>
          <w:sz w:val="32"/>
          <w:szCs w:val="28"/>
          <w:highlight w:val="none"/>
          <w:lang w:val="en-US"/>
        </w:rPr>
        <w:t>上级</w:t>
      </w:r>
      <w:r>
        <w:rPr>
          <w:rStyle w:val="15"/>
          <w:rFonts w:hint="eastAsia" w:ascii="楷体" w:hAnsi="楷体" w:eastAsia="楷体"/>
          <w:b/>
          <w:color w:val="auto"/>
          <w:sz w:val="32"/>
          <w:szCs w:val="28"/>
          <w:highlight w:val="none"/>
        </w:rPr>
        <w:t>有关决策部署对民政工作提出了新要求。</w:t>
      </w:r>
      <w:r>
        <w:rPr>
          <w:rStyle w:val="16"/>
          <w:rFonts w:hint="eastAsia" w:ascii="Times New Roman" w:hAnsi="Times New Roman" w:eastAsia="仿宋_GB2312" w:cstheme="minorBidi"/>
          <w:color w:val="auto"/>
          <w:kern w:val="2"/>
          <w:sz w:val="32"/>
          <w:szCs w:val="24"/>
          <w:highlight w:val="none"/>
          <w:lang w:val="en-US" w:eastAsia="zh-CN" w:bidi="ar-SA"/>
        </w:rPr>
        <w:t>习近平总书记对民政工作作出重要指示，要求各级民政部门加强党的建设，坚持改革创新，聚焦脱贫攻坚，聚焦特殊群体，聚焦群众关切，更好履行基本民生保障、基层社会治理、基本社会服务等职责。党的十九届五中全会立足党和国家事业发展全局，把应对人口老龄化上升为国家战略，对民政工作作了全面部署。同时，随着全面小康社会的建成，脱贫攻坚将被纳入乡村振兴战略统筹推进。市委市政府提出编制“十四五”规划要加快推动高质量跨越式发展，要深入践行以人民为中心的发展思想。这些都对民政工作提出了新要求。</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仿宋_GB2312" w:hAnsi="仿宋_GB2312" w:eastAsia="仿宋_GB2312" w:cs="仿宋_GB2312"/>
          <w:color w:val="auto"/>
          <w:spacing w:val="-11"/>
          <w:kern w:val="2"/>
          <w:sz w:val="32"/>
          <w:szCs w:val="24"/>
          <w:highlight w:val="none"/>
          <w:lang w:val="en-US" w:eastAsia="zh-CN" w:bidi="ar-SA"/>
        </w:rPr>
      </w:pPr>
      <w:r>
        <w:rPr>
          <w:rStyle w:val="15"/>
          <w:rFonts w:ascii="楷体" w:hAnsi="楷体" w:eastAsia="楷体"/>
          <w:b/>
          <w:color w:val="auto"/>
          <w:sz w:val="32"/>
          <w:szCs w:val="28"/>
          <w:highlight w:val="none"/>
        </w:rPr>
        <w:t>经济社会发展</w:t>
      </w:r>
      <w:r>
        <w:rPr>
          <w:rStyle w:val="15"/>
          <w:rFonts w:hint="eastAsia" w:ascii="楷体" w:hAnsi="楷体" w:eastAsia="楷体"/>
          <w:b/>
          <w:color w:val="auto"/>
          <w:sz w:val="32"/>
          <w:szCs w:val="28"/>
          <w:highlight w:val="none"/>
        </w:rPr>
        <w:t>为民政工作注入了新动力</w:t>
      </w:r>
      <w:r>
        <w:rPr>
          <w:rStyle w:val="15"/>
          <w:rFonts w:ascii="楷体" w:hAnsi="楷体" w:eastAsia="楷体"/>
          <w:b/>
          <w:color w:val="auto"/>
          <w:sz w:val="32"/>
          <w:szCs w:val="28"/>
          <w:highlight w:val="none"/>
        </w:rPr>
        <w:t>。</w:t>
      </w:r>
      <w:r>
        <w:rPr>
          <w:rStyle w:val="16"/>
          <w:rFonts w:hint="eastAsia" w:ascii="仿宋_GB2312" w:hAnsi="仿宋_GB2312" w:eastAsia="仿宋_GB2312" w:cs="仿宋_GB2312"/>
          <w:color w:val="auto"/>
          <w:kern w:val="2"/>
          <w:sz w:val="32"/>
          <w:szCs w:val="24"/>
          <w:highlight w:val="none"/>
          <w:lang w:val="en-US" w:eastAsia="zh-CN" w:bidi="ar-SA"/>
        </w:rPr>
        <w:t>“十三五”时期，我区经济发展质效稳步提升。地区生产总值保持8%左右中高速增长，财政收入增速稳定保持在全市前列，税收占比多年位列全市第一，固投、服务业、新增“四上”企业等均居全市前列。产业结构不断优化，第三产业占比达到79.2%，占全市三产37.4%，形成了具有鲜明城区特色的“3+1”产业体系。随着我区经济发展水平的提升，民政事业发展的经济基础更加坚实。“十四五”时期，我区社会发展迎来较大变化，快速城镇化将逐步转为高质量城镇化，市域社会治理的推进为打造共建共治共享的社会治理格局提供了有效路径</w:t>
      </w:r>
      <w:r>
        <w:rPr>
          <w:rStyle w:val="16"/>
          <w:rFonts w:hint="eastAsia" w:ascii="仿宋_GB2312" w:hAnsi="仿宋_GB2312" w:eastAsia="仿宋_GB2312" w:cs="仿宋_GB2312"/>
          <w:color w:val="000000" w:themeColor="text1"/>
          <w:kern w:val="2"/>
          <w:sz w:val="32"/>
          <w:szCs w:val="24"/>
          <w:highlight w:val="none"/>
          <w:lang w:val="en-US" w:eastAsia="zh-CN" w:bidi="ar-SA"/>
          <w14:textFill>
            <w14:solidFill>
              <w14:schemeClr w14:val="tx1"/>
            </w14:solidFill>
          </w14:textFill>
        </w:rPr>
        <w:t>；</w:t>
      </w:r>
      <w:r>
        <w:rPr>
          <w:rStyle w:val="16"/>
          <w:rFonts w:hint="eastAsia" w:ascii="仿宋_GB2312" w:hAnsi="仿宋_GB2312" w:eastAsia="仿宋_GB2312" w:cs="仿宋_GB2312"/>
          <w:color w:val="auto"/>
          <w:kern w:val="2"/>
          <w:sz w:val="32"/>
          <w:szCs w:val="24"/>
          <w:highlight w:val="none"/>
          <w:lang w:val="en-US" w:eastAsia="zh-CN" w:bidi="ar-SA"/>
        </w:rPr>
        <w:t>人口老龄化程度逐步加深，与之相关的老有所养、幼有所育、弱有所扶等事项也摆上政府重要议事日程、列入重点民</w:t>
      </w:r>
      <w:r>
        <w:rPr>
          <w:rStyle w:val="16"/>
          <w:rFonts w:hint="eastAsia" w:ascii="仿宋_GB2312" w:hAnsi="仿宋_GB2312" w:eastAsia="仿宋_GB2312" w:cs="仿宋_GB2312"/>
          <w:color w:val="auto"/>
          <w:spacing w:val="-11"/>
          <w:kern w:val="2"/>
          <w:sz w:val="32"/>
          <w:szCs w:val="24"/>
          <w:highlight w:val="none"/>
          <w:lang w:val="en-US" w:eastAsia="zh-CN" w:bidi="ar-SA"/>
        </w:rPr>
        <w:t>生工程，养老、托育、康复等事业和产业将迎来新的发展机遇。</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stheme="minorBidi"/>
          <w:color w:val="auto"/>
          <w:kern w:val="2"/>
          <w:sz w:val="32"/>
          <w:szCs w:val="24"/>
          <w:highlight w:val="none"/>
          <w:lang w:val="en-US" w:eastAsia="zh-CN" w:bidi="ar-SA"/>
        </w:rPr>
      </w:pPr>
      <w:r>
        <w:rPr>
          <w:rStyle w:val="15"/>
          <w:rFonts w:ascii="楷体" w:hAnsi="楷体" w:eastAsia="楷体"/>
          <w:b/>
          <w:color w:val="auto"/>
          <w:sz w:val="32"/>
          <w:szCs w:val="28"/>
          <w:highlight w:val="none"/>
        </w:rPr>
        <w:t>民政</w:t>
      </w:r>
      <w:r>
        <w:rPr>
          <w:rStyle w:val="15"/>
          <w:rFonts w:hint="eastAsia" w:ascii="楷体" w:hAnsi="楷体" w:eastAsia="楷体"/>
          <w:b/>
          <w:color w:val="auto"/>
          <w:sz w:val="32"/>
          <w:szCs w:val="28"/>
          <w:highlight w:val="none"/>
        </w:rPr>
        <w:t>工作面临着新</w:t>
      </w:r>
      <w:r>
        <w:rPr>
          <w:rStyle w:val="15"/>
          <w:rFonts w:ascii="楷体" w:hAnsi="楷体" w:eastAsia="楷体"/>
          <w:b/>
          <w:color w:val="auto"/>
          <w:sz w:val="32"/>
          <w:szCs w:val="28"/>
          <w:highlight w:val="none"/>
        </w:rPr>
        <w:t>挑战。</w:t>
      </w:r>
      <w:r>
        <w:rPr>
          <w:rStyle w:val="16"/>
          <w:rFonts w:hint="eastAsia" w:ascii="Times New Roman" w:hAnsi="Times New Roman" w:eastAsia="仿宋_GB2312" w:cstheme="minorBidi"/>
          <w:color w:val="auto"/>
          <w:kern w:val="2"/>
          <w:sz w:val="32"/>
          <w:szCs w:val="24"/>
          <w:highlight w:val="none"/>
          <w:lang w:val="en-US" w:eastAsia="zh-CN" w:bidi="ar-SA"/>
        </w:rPr>
        <w:t>新一轮行政机构改革和事业单位改革以后，民政部门职能、机构、编制进行了较大调整，服务对象发生了较大变化。新冠肺炎疫情防控对处置民政领域重大突发事件、构建民政应急管理体系、健全应急管理长效机制、提升治理体系治理能力现代化水平提出了更高要求。全区基层民政基础和基层民政能力还有待进一步提高；民政公共服务设施建设资金缺口较大、来源较为单一；养老等民政基本服务有效供给还不足，质量有待进一步提高，养老护理员等专业人员紧缺等问题更加凸显；社会治理体制机制创新不够，社会自治和城乡社区服务功能有待进一步增强。准确认识把握我区当前民政工作存在的差距和短板，明确发展方向和目标，对应对新时期带来的新挑战，更好履行职责使命具有重要意义。</w:t>
      </w: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第三节  总体思想</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坚持以习近平新时代中国特色社会主义思想为指导，深入贯彻习近平总书记对民政工作重要指示精神和视察江西重要讲话精神，全面贯彻党的十九大和十九届二中、三中、四中、五中、六中全会精神，全面落实省委、省政府、市委、市政府、区委、区政府和上级民政部门部署要求，加强党对民政工作的全面领导，聚焦“作示范、勇争先”目标定位和“五个推进”更高要求，坚持稳中求进工作总基调，立足新发展阶段，贯彻新发展理念，融入新发展格局，以推动高质量发展为主题，以改革创新为根本动力，以满足人民日益增长的美好生活需要为根本目的，坚持系统观念，践行“民政为民、民政爱民”工作理念，着力保基本、补短板、扬优势、抓规范、可持续，更好统筹发展和安全，扎实做好“六稳”工作、全面落实“六保”任务，以更坚定的决心、更有力的举措推动民政事业高质量发展。</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Times New Roman" w:hAnsi="Times New Roman" w:eastAsia="仿宋_GB2312"/>
          <w:color w:val="auto"/>
          <w:kern w:val="2"/>
          <w:sz w:val="32"/>
          <w:szCs w:val="24"/>
          <w:highlight w:val="none"/>
          <w:lang w:val="en-US" w:eastAsia="zh-CN" w:bidi="ar-SA"/>
        </w:rPr>
      </w:pPr>
      <w:r>
        <w:rPr>
          <w:rStyle w:val="16"/>
          <w:rFonts w:hint="eastAsia" w:ascii="Times New Roman" w:hAnsi="Times New Roman" w:eastAsia="仿宋_GB2312"/>
          <w:color w:val="auto"/>
          <w:kern w:val="2"/>
          <w:sz w:val="32"/>
          <w:szCs w:val="24"/>
          <w:highlight w:val="none"/>
          <w:lang w:val="en-US" w:eastAsia="zh-CN" w:bidi="ar-SA"/>
        </w:rPr>
        <w:t>必须遵循以下原则：</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sz w:val="32"/>
          <w:szCs w:val="32"/>
        </w:rPr>
        <w:t>——</w:t>
      </w:r>
      <w:r>
        <w:rPr>
          <w:rFonts w:hint="eastAsia" w:ascii="楷体" w:hAnsi="楷体" w:eastAsia="楷体" w:cs="楷体"/>
          <w:b/>
          <w:bCs/>
          <w:sz w:val="32"/>
          <w:szCs w:val="22"/>
        </w:rPr>
        <w:t>坚持党的全面领导。</w:t>
      </w:r>
      <w:r>
        <w:rPr>
          <w:rFonts w:hint="eastAsia" w:ascii="仿宋_GB2312" w:hAnsi="仿宋_GB2312" w:eastAsia="仿宋_GB2312" w:cs="仿宋_GB2312"/>
          <w:sz w:val="32"/>
          <w:szCs w:val="32"/>
        </w:rPr>
        <w:t>贯彻党把方向、谋大局、定政策、促改革的要求，深入</w:t>
      </w:r>
      <w:r>
        <w:rPr>
          <w:rFonts w:hint="eastAsia" w:ascii="仿宋_GB2312" w:hAnsi="仿宋_GB2312" w:eastAsia="仿宋_GB2312" w:cs="仿宋_GB2312"/>
          <w:bCs/>
          <w:sz w:val="32"/>
          <w:szCs w:val="32"/>
        </w:rPr>
        <w:t>学习习近平新时代中国特色社会主义思想，始终把习近平总书记重要指示精神作为民政工作的根本遵循，</w:t>
      </w:r>
      <w:r>
        <w:rPr>
          <w:rFonts w:hint="eastAsia" w:ascii="仿宋_GB2312" w:hAnsi="仿宋_GB2312" w:eastAsia="仿宋_GB2312" w:cs="仿宋_GB2312"/>
          <w:bCs/>
          <w:color w:val="000000" w:themeColor="text1"/>
          <w:sz w:val="32"/>
          <w:szCs w:val="32"/>
          <w14:textFill>
            <w14:solidFill>
              <w14:schemeClr w14:val="tx1"/>
            </w14:solidFill>
          </w14:textFill>
        </w:rPr>
        <w:t>贯彻落实新时代党的组织路线，坚持严的主基调，把党中央关于民政事业发展重大决策和</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上级民政部门、区委、区政府</w:t>
      </w:r>
      <w:r>
        <w:rPr>
          <w:rFonts w:hint="eastAsia" w:ascii="仿宋_GB2312" w:hAnsi="仿宋_GB2312" w:eastAsia="仿宋_GB2312" w:cs="仿宋_GB2312"/>
          <w:bCs/>
          <w:color w:val="000000" w:themeColor="text1"/>
          <w:sz w:val="32"/>
          <w:szCs w:val="32"/>
          <w14:textFill>
            <w14:solidFill>
              <w14:schemeClr w14:val="tx1"/>
            </w14:solidFill>
          </w14:textFill>
        </w:rPr>
        <w:t>有关重要工作部署</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w:t>
      </w:r>
      <w:r>
        <w:rPr>
          <w:rFonts w:hint="eastAsia" w:ascii="仿宋_GB2312" w:hAnsi="仿宋_GB2312" w:eastAsia="仿宋_GB2312" w:cs="仿宋_GB2312"/>
          <w:bCs/>
          <w:color w:val="000000" w:themeColor="text1"/>
          <w:sz w:val="32"/>
          <w:szCs w:val="32"/>
          <w14:textFill>
            <w14:solidFill>
              <w14:schemeClr w14:val="tx1"/>
            </w14:solidFill>
          </w14:textFill>
        </w:rPr>
        <w:t>到实处，</w:t>
      </w:r>
      <w:r>
        <w:rPr>
          <w:rFonts w:hint="eastAsia" w:ascii="仿宋_GB2312" w:hAnsi="仿宋_GB2312" w:eastAsia="仿宋_GB2312" w:cs="仿宋_GB2312"/>
          <w:bCs/>
          <w:sz w:val="32"/>
          <w:szCs w:val="32"/>
        </w:rPr>
        <w:t>确保民政事业始终沿着正确的政治方向前进。</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eastAsia="仿宋_GB2312"/>
          <w:sz w:val="32"/>
          <w:szCs w:val="32"/>
        </w:rPr>
      </w:pPr>
      <w:r>
        <w:rPr>
          <w:rFonts w:hint="eastAsia" w:ascii="仿宋_GB2312" w:hAnsi="仿宋_GB2312" w:eastAsia="仿宋_GB2312"/>
          <w:sz w:val="32"/>
          <w:szCs w:val="32"/>
        </w:rPr>
        <w:t>——</w:t>
      </w:r>
      <w:r>
        <w:rPr>
          <w:rFonts w:hint="eastAsia" w:ascii="楷体_GB2312" w:eastAsia="楷体_GB2312"/>
          <w:b/>
          <w:sz w:val="32"/>
          <w:szCs w:val="32"/>
        </w:rPr>
        <w:t>保障基本</w:t>
      </w:r>
      <w:r>
        <w:rPr>
          <w:rFonts w:hint="eastAsia" w:ascii="楷体_GB2312" w:eastAsia="楷体_GB2312"/>
          <w:b/>
          <w:sz w:val="32"/>
          <w:szCs w:val="32"/>
          <w:lang w:eastAsia="zh-CN"/>
        </w:rPr>
        <w:t>、</w:t>
      </w:r>
      <w:r>
        <w:rPr>
          <w:rFonts w:hint="eastAsia" w:ascii="楷体_GB2312" w:eastAsia="楷体_GB2312"/>
          <w:b/>
          <w:sz w:val="32"/>
          <w:szCs w:val="32"/>
        </w:rPr>
        <w:t>守住底线。</w:t>
      </w:r>
      <w:r>
        <w:rPr>
          <w:rFonts w:hint="eastAsia" w:eastAsia="仿宋_GB2312"/>
          <w:sz w:val="32"/>
          <w:szCs w:val="32"/>
        </w:rPr>
        <w:t>聚焦</w:t>
      </w:r>
      <w:r>
        <w:rPr>
          <w:rFonts w:hint="eastAsia" w:eastAsia="仿宋_GB2312"/>
          <w:sz w:val="32"/>
          <w:szCs w:val="32"/>
          <w:lang w:val="en-US" w:eastAsia="zh-CN"/>
        </w:rPr>
        <w:t>乡村振兴</w:t>
      </w:r>
      <w:r>
        <w:rPr>
          <w:rFonts w:hint="eastAsia" w:eastAsia="仿宋_GB2312"/>
          <w:sz w:val="32"/>
          <w:szCs w:val="32"/>
        </w:rPr>
        <w:t>，加强农村低保制度与脱贫攻坚政策的有效衔接。聚焦特殊群体，为特殊困难群体和自身能力不足的贫困人口提供基本民生保障，兜住民生底线。</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eastAsia="仿宋_GB2312"/>
          <w:sz w:val="32"/>
          <w:szCs w:val="32"/>
        </w:rPr>
      </w:pPr>
      <w:r>
        <w:rPr>
          <w:rFonts w:hint="eastAsia" w:ascii="仿宋_GB2312" w:hAnsi="仿宋_GB2312" w:eastAsia="仿宋_GB2312"/>
          <w:sz w:val="32"/>
          <w:szCs w:val="32"/>
        </w:rPr>
        <w:t>——</w:t>
      </w:r>
      <w:r>
        <w:rPr>
          <w:rFonts w:hint="eastAsia" w:ascii="楷体_GB2312" w:eastAsia="楷体_GB2312"/>
          <w:b/>
          <w:sz w:val="32"/>
          <w:szCs w:val="32"/>
        </w:rPr>
        <w:t>突出重点、引导预期。</w:t>
      </w:r>
      <w:r>
        <w:rPr>
          <w:rFonts w:hint="eastAsia" w:eastAsia="仿宋_GB2312"/>
          <w:sz w:val="32"/>
          <w:szCs w:val="32"/>
        </w:rPr>
        <w:t>聚焦群众关切，主动问需于民、问计于民，积极回应群众关切，</w:t>
      </w:r>
      <w:r>
        <w:rPr>
          <w:rFonts w:hint="eastAsia" w:eastAsia="仿宋_GB2312"/>
          <w:sz w:val="32"/>
          <w:szCs w:val="32"/>
          <w:lang w:eastAsia="zh-CN"/>
        </w:rPr>
        <w:t>不断</w:t>
      </w:r>
      <w:r>
        <w:rPr>
          <w:rFonts w:hint="eastAsia" w:eastAsia="仿宋_GB2312"/>
          <w:sz w:val="32"/>
          <w:szCs w:val="32"/>
        </w:rPr>
        <w:t>创新基层社会治理，</w:t>
      </w:r>
      <w:r>
        <w:rPr>
          <w:rFonts w:hint="eastAsia" w:eastAsia="仿宋_GB2312"/>
          <w:sz w:val="32"/>
          <w:szCs w:val="32"/>
          <w:lang w:eastAsia="zh-CN"/>
        </w:rPr>
        <w:t>努力</w:t>
      </w:r>
      <w:r>
        <w:rPr>
          <w:rFonts w:hint="eastAsia" w:eastAsia="仿宋_GB2312"/>
          <w:sz w:val="32"/>
          <w:szCs w:val="32"/>
        </w:rPr>
        <w:t>提供</w:t>
      </w:r>
      <w:r>
        <w:rPr>
          <w:rFonts w:hint="eastAsia" w:eastAsia="仿宋_GB2312"/>
          <w:sz w:val="32"/>
          <w:szCs w:val="32"/>
          <w:lang w:eastAsia="zh-CN"/>
        </w:rPr>
        <w:t>优质</w:t>
      </w:r>
      <w:r>
        <w:rPr>
          <w:rFonts w:hint="eastAsia" w:eastAsia="仿宋_GB2312"/>
          <w:sz w:val="32"/>
          <w:szCs w:val="32"/>
        </w:rPr>
        <w:t>高</w:t>
      </w:r>
      <w:r>
        <w:rPr>
          <w:rFonts w:hint="eastAsia" w:eastAsia="仿宋_GB2312"/>
          <w:sz w:val="32"/>
          <w:szCs w:val="32"/>
          <w:lang w:eastAsia="zh-CN"/>
        </w:rPr>
        <w:t>效</w:t>
      </w:r>
      <w:r>
        <w:rPr>
          <w:rFonts w:hint="eastAsia" w:eastAsia="仿宋_GB2312"/>
          <w:sz w:val="32"/>
          <w:szCs w:val="32"/>
        </w:rPr>
        <w:t>的基本社会服务。聚焦重大改革，合理有效配置资源，正确引导公众合理预期，增强民生政策的可持续性。</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eastAsia="仿宋_GB2312"/>
          <w:sz w:val="32"/>
          <w:szCs w:val="32"/>
        </w:rPr>
      </w:pPr>
      <w:r>
        <w:rPr>
          <w:rFonts w:hint="eastAsia" w:ascii="仿宋_GB2312" w:hAnsi="仿宋_GB2312" w:eastAsia="仿宋_GB2312"/>
          <w:sz w:val="32"/>
          <w:szCs w:val="32"/>
        </w:rPr>
        <w:t>——</w:t>
      </w:r>
      <w:r>
        <w:rPr>
          <w:rFonts w:hint="eastAsia" w:ascii="楷体_GB2312" w:eastAsia="楷体_GB2312"/>
          <w:b/>
          <w:sz w:val="32"/>
          <w:szCs w:val="32"/>
        </w:rPr>
        <w:t>多方参与、协同治理。</w:t>
      </w:r>
      <w:r>
        <w:rPr>
          <w:rFonts w:hint="eastAsia" w:eastAsia="仿宋_GB2312"/>
          <w:sz w:val="32"/>
          <w:szCs w:val="32"/>
        </w:rPr>
        <w:t>厘清政府、市场、社会力量在民政事业发展中的职责作用，充分发挥市场在资源配置中的决定性作用和更好发挥政府作用，搭建基层社会治理和基本社会服务平台，形成整体合力。</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sz w:val="32"/>
          <w:szCs w:val="32"/>
        </w:rPr>
        <w:t>——</w:t>
      </w:r>
      <w:r>
        <w:rPr>
          <w:rFonts w:hint="eastAsia" w:ascii="仿宋" w:hAnsi="仿宋" w:eastAsia="仿宋" w:cs="仿宋"/>
          <w:b/>
          <w:sz w:val="32"/>
          <w:szCs w:val="32"/>
        </w:rPr>
        <w:t>改革引领、创新驱动。</w:t>
      </w:r>
      <w:r>
        <w:rPr>
          <w:rFonts w:hint="eastAsia" w:ascii="仿宋_GB2312" w:hAnsi="仿宋_GB2312" w:eastAsia="仿宋_GB2312" w:cs="仿宋_GB2312"/>
          <w:sz w:val="32"/>
          <w:szCs w:val="32"/>
        </w:rPr>
        <w:t>全面深化民政领域供给侧结构性改革，深入推进民政重点领域和关键环节改革，创新民政事业发展方式和实现形式，切实用改革的办法和全局的视野推动民</w:t>
      </w:r>
      <w:r>
        <w:rPr>
          <w:rFonts w:hint="eastAsia" w:ascii="仿宋_GB2312" w:hAnsi="仿宋_GB2312" w:eastAsia="仿宋_GB2312" w:cs="仿宋_GB2312"/>
          <w:sz w:val="32"/>
          <w:szCs w:val="32"/>
          <w:highlight w:val="none"/>
        </w:rPr>
        <w:t>政工作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增强内生</w:t>
      </w:r>
      <w:r>
        <w:rPr>
          <w:rFonts w:hint="eastAsia" w:ascii="仿宋_GB2312" w:hAnsi="仿宋_GB2312" w:eastAsia="仿宋_GB2312" w:cs="仿宋_GB2312"/>
          <w:sz w:val="32"/>
          <w:szCs w:val="32"/>
        </w:rPr>
        <w:t>动力和发展活力。</w:t>
      </w:r>
      <w:bookmarkStart w:id="0" w:name="_Toc5544"/>
      <w:bookmarkStart w:id="1" w:name="_Toc20381"/>
      <w:bookmarkStart w:id="2" w:name="_Toc11197"/>
      <w:bookmarkStart w:id="3" w:name="_Toc32512"/>
      <w:bookmarkStart w:id="4" w:name="_Toc22726"/>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both"/>
        <w:textAlignment w:val="baseline"/>
        <w:rPr>
          <w:rFonts w:hint="eastAsia" w:ascii="黑体" w:hAnsi="黑体" w:eastAsia="黑体" w:cs="黑体"/>
          <w:b w:val="0"/>
          <w:bCs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第四节  发展目标</w:t>
      </w:r>
      <w:bookmarkEnd w:id="0"/>
      <w:bookmarkEnd w:id="1"/>
      <w:bookmarkEnd w:id="2"/>
      <w:bookmarkEnd w:id="3"/>
      <w:bookmarkEnd w:id="4"/>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仿宋_GB2312" w:hAnsi="仿宋_GB2312" w:eastAsia="仿宋_GB2312" w:cs="仿宋_GB2312"/>
          <w:b w:val="0"/>
          <w:bCs w:val="0"/>
          <w:color w:val="auto"/>
          <w:kern w:val="2"/>
          <w:sz w:val="32"/>
          <w:szCs w:val="24"/>
          <w:highlight w:val="none"/>
          <w:lang w:val="en-US" w:eastAsia="zh-CN" w:bidi="ar-SA"/>
        </w:rPr>
      </w:pPr>
      <w:r>
        <w:rPr>
          <w:rStyle w:val="16"/>
          <w:rFonts w:hint="eastAsia" w:ascii="仿宋_GB2312" w:hAnsi="仿宋_GB2312" w:eastAsia="仿宋_GB2312" w:cs="仿宋_GB2312"/>
          <w:color w:val="auto"/>
          <w:kern w:val="2"/>
          <w:sz w:val="32"/>
          <w:szCs w:val="24"/>
          <w:highlight w:val="none"/>
          <w:lang w:val="en-US" w:eastAsia="zh-CN" w:bidi="ar-SA"/>
        </w:rPr>
        <w:t>“十四五”时期全区民政事业发展总体目标是：</w:t>
      </w:r>
      <w:r>
        <w:rPr>
          <w:rStyle w:val="16"/>
          <w:rFonts w:hint="eastAsia" w:ascii="仿宋_GB2312" w:hAnsi="仿宋_GB2312" w:eastAsia="仿宋_GB2312" w:cs="仿宋_GB2312"/>
          <w:b w:val="0"/>
          <w:bCs w:val="0"/>
          <w:color w:val="auto"/>
          <w:kern w:val="2"/>
          <w:sz w:val="32"/>
          <w:szCs w:val="24"/>
          <w:highlight w:val="none"/>
          <w:lang w:val="en-US" w:eastAsia="zh-CN" w:bidi="ar-SA"/>
        </w:rPr>
        <w:t>以发挥民政在社会建设中的兜底性、基础性作用为引领，以履行基本民生保障、基层社会治理、基本社会服务职责为核心任务，以社会救助、养老服务、社会事务、儿童福利、区划地名等为主要内容，以城乡社区为依托，以社会组织为重要载体，以社会工作人才和志愿服务队伍为重要力量，聚焦特殊群体，聚焦群众关切，聚焦乡村振兴，民政服务大局、服务群众、服务社会的作用更加明显，全区民政公共服务主要指标达到全市全省先进水平。</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Times New Roman" w:hAnsi="Times New Roman" w:eastAsia="仿宋_GB2312"/>
          <w:color w:val="auto"/>
          <w:kern w:val="2"/>
          <w:sz w:val="32"/>
          <w:szCs w:val="24"/>
          <w:highlight w:val="none"/>
          <w:lang w:val="en-US" w:eastAsia="zh-CN" w:bidi="ar-SA"/>
        </w:rPr>
      </w:pPr>
      <w:r>
        <w:rPr>
          <w:rStyle w:val="16"/>
          <w:rFonts w:hint="eastAsia" w:ascii="Times New Roman" w:hAnsi="Times New Roman" w:eastAsia="仿宋_GB2312"/>
          <w:color w:val="auto"/>
          <w:kern w:val="2"/>
          <w:sz w:val="32"/>
          <w:szCs w:val="24"/>
          <w:highlight w:val="none"/>
          <w:lang w:val="en-US" w:eastAsia="zh-CN" w:bidi="ar-SA"/>
        </w:rPr>
        <w:t>“十四五”时期民政事业发展的主要目标是：</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Times New Roman" w:hAnsi="Times New Roman" w:eastAsia="仿宋_GB2312"/>
          <w:color w:val="auto"/>
          <w:kern w:val="2"/>
          <w:sz w:val="32"/>
          <w:szCs w:val="24"/>
          <w:highlight w:val="none"/>
          <w:lang w:val="en-US" w:eastAsia="zh-CN" w:bidi="ar-SA"/>
        </w:rPr>
      </w:pPr>
      <w:r>
        <w:rPr>
          <w:rFonts w:hint="eastAsia" w:ascii="仿宋_GB2312" w:hAnsi="仿宋_GB2312" w:eastAsia="仿宋_GB2312"/>
          <w:sz w:val="32"/>
          <w:szCs w:val="32"/>
        </w:rPr>
        <w:t>——</w:t>
      </w:r>
      <w:r>
        <w:rPr>
          <w:rFonts w:hint="eastAsia" w:ascii="楷体" w:hAnsi="楷体" w:eastAsia="楷体" w:cs="楷体"/>
          <w:b/>
          <w:bCs/>
          <w:sz w:val="32"/>
          <w:szCs w:val="32"/>
        </w:rPr>
        <w:t>基本民生保障更加完善。</w:t>
      </w:r>
      <w:r>
        <w:rPr>
          <w:rStyle w:val="16"/>
          <w:rFonts w:hint="eastAsia" w:ascii="Times New Roman" w:hAnsi="Times New Roman" w:eastAsia="仿宋_GB2312"/>
          <w:color w:val="auto"/>
          <w:kern w:val="2"/>
          <w:sz w:val="32"/>
          <w:szCs w:val="24"/>
          <w:highlight w:val="none"/>
          <w:lang w:val="en-US" w:eastAsia="zh-CN" w:bidi="ar-SA"/>
        </w:rPr>
        <w:t>社会救助内容完善定型，体制机制高效顺畅，兜底保障功能有效发挥，低收入家庭以及有急难救助需求的城乡居民及时获得救助。</w:t>
      </w:r>
      <w:r>
        <w:rPr>
          <w:rStyle w:val="15"/>
          <w:rFonts w:hint="eastAsia" w:ascii="仿宋_GB2312" w:hAnsi="仿宋_GB2312" w:eastAsia="仿宋_GB2312" w:cs="仿宋_GB2312"/>
          <w:b w:val="0"/>
          <w:bCs w:val="0"/>
          <w:color w:val="auto"/>
          <w:kern w:val="2"/>
          <w:sz w:val="32"/>
          <w:szCs w:val="32"/>
          <w:highlight w:val="none"/>
          <w:lang w:val="en-US" w:eastAsia="zh-CN" w:bidi="ar-SA"/>
        </w:rPr>
        <w:t>分层分类的救助制度体系全面建立</w:t>
      </w:r>
      <w:r>
        <w:rPr>
          <w:rStyle w:val="15"/>
          <w:rFonts w:hint="eastAsia" w:ascii="仿宋_GB2312" w:hAnsi="仿宋_GB2312" w:eastAsia="仿宋_GB2312" w:cs="仿宋_GB2312"/>
          <w:color w:val="auto"/>
          <w:kern w:val="2"/>
          <w:sz w:val="32"/>
          <w:szCs w:val="32"/>
          <w:highlight w:val="none"/>
          <w:lang w:val="en-US" w:eastAsia="zh-CN" w:bidi="ar-SA"/>
        </w:rPr>
        <w:t>。</w:t>
      </w:r>
      <w:r>
        <w:rPr>
          <w:rStyle w:val="16"/>
          <w:rFonts w:hint="eastAsia" w:ascii="Times New Roman" w:hAnsi="Times New Roman" w:eastAsia="仿宋_GB2312"/>
          <w:color w:val="auto"/>
          <w:kern w:val="2"/>
          <w:sz w:val="32"/>
          <w:szCs w:val="24"/>
          <w:highlight w:val="none"/>
          <w:lang w:val="en-US" w:eastAsia="zh-CN" w:bidi="ar-SA"/>
        </w:rPr>
        <w:t>农村留守老人、留守儿童、留守妇女和孤弃儿童、困境儿童关爱服务体系全面建立。生活无着流浪乞讨人员救助管理和残疾人福利事业稳步推进。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Times New Roman" w:hAnsi="Times New Roman" w:eastAsia="仿宋_GB2312"/>
          <w:color w:val="auto"/>
          <w:kern w:val="2"/>
          <w:sz w:val="32"/>
          <w:szCs w:val="24"/>
          <w:highlight w:val="none"/>
          <w:lang w:val="en-US" w:eastAsia="zh-CN" w:bidi="ar-SA"/>
        </w:rPr>
      </w:pPr>
      <w:r>
        <w:rPr>
          <w:rFonts w:hint="eastAsia" w:ascii="仿宋_GB2312" w:hAnsi="仿宋_GB2312" w:eastAsia="仿宋_GB2312"/>
          <w:sz w:val="32"/>
          <w:szCs w:val="32"/>
        </w:rPr>
        <w:t>——</w:t>
      </w:r>
      <w:r>
        <w:rPr>
          <w:rFonts w:hint="eastAsia" w:ascii="楷体" w:hAnsi="楷体" w:eastAsia="楷体" w:cs="楷体"/>
          <w:b/>
          <w:bCs/>
          <w:sz w:val="32"/>
          <w:szCs w:val="32"/>
        </w:rPr>
        <w:t>基层社会治理创新推进。</w:t>
      </w:r>
      <w:r>
        <w:rPr>
          <w:rFonts w:hint="eastAsia" w:ascii="仿宋_GB2312" w:hAnsi="仿宋_GB2312" w:eastAsia="仿宋_GB2312" w:cs="仿宋_GB2312"/>
          <w:b w:val="0"/>
          <w:bCs w:val="0"/>
          <w:sz w:val="32"/>
          <w:szCs w:val="32"/>
        </w:rPr>
        <w:t>社会组织、社会工作者、社区志愿者、社会慈善资源</w:t>
      </w:r>
      <w:r>
        <w:rPr>
          <w:rStyle w:val="16"/>
          <w:rFonts w:hint="eastAsia" w:ascii="Times New Roman" w:hAnsi="Times New Roman" w:eastAsia="仿宋_GB2312"/>
          <w:color w:val="auto"/>
          <w:kern w:val="2"/>
          <w:sz w:val="32"/>
          <w:szCs w:val="24"/>
          <w:highlight w:val="none"/>
          <w:lang w:val="en-US" w:eastAsia="zh-CN" w:bidi="ar-SA"/>
        </w:rPr>
        <w:t>、社区“五社联动”机制不断健全。城乡社区治理和基层政权建设持续加强，更多的资源和力量下沉到村居、社区。社会组织发展规范有序，社会组织培育监管力度持续增强，党的组织和党的工作在社会组织实现全覆盖。慈善、社会工作和志愿服务统筹发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Style w:val="16"/>
          <w:rFonts w:hint="eastAsia" w:ascii="Times New Roman" w:hAnsi="Times New Roman" w:eastAsia="仿宋_GB2312"/>
          <w:color w:val="auto"/>
          <w:kern w:val="2"/>
          <w:sz w:val="32"/>
          <w:szCs w:val="24"/>
          <w:highlight w:val="none"/>
          <w:lang w:val="en-US" w:eastAsia="zh-CN" w:bidi="ar-SA"/>
        </w:rPr>
      </w:pPr>
      <w:r>
        <w:rPr>
          <w:rFonts w:hint="eastAsia" w:ascii="仿宋_GB2312" w:hAnsi="仿宋_GB2312" w:eastAsia="仿宋_GB2312"/>
          <w:sz w:val="32"/>
          <w:szCs w:val="32"/>
        </w:rPr>
        <w:t>——</w:t>
      </w:r>
      <w:r>
        <w:rPr>
          <w:rFonts w:hint="eastAsia" w:ascii="楷体" w:hAnsi="楷体" w:eastAsia="楷体" w:cs="楷体"/>
          <w:b/>
          <w:bCs/>
          <w:sz w:val="32"/>
          <w:szCs w:val="32"/>
        </w:rPr>
        <w:t>基本社会服务提质扩面。</w:t>
      </w:r>
      <w:r>
        <w:rPr>
          <w:rStyle w:val="16"/>
          <w:rFonts w:hint="eastAsia" w:ascii="Times New Roman" w:hAnsi="Times New Roman" w:eastAsia="仿宋_GB2312" w:cstheme="minorBidi"/>
          <w:b w:val="0"/>
          <w:bCs w:val="0"/>
          <w:color w:val="auto"/>
          <w:kern w:val="2"/>
          <w:sz w:val="32"/>
          <w:szCs w:val="24"/>
          <w:highlight w:val="none"/>
          <w:lang w:val="en-US" w:eastAsia="zh-CN" w:bidi="ar-SA"/>
        </w:rPr>
        <w:t>建设居家社区机构相协调、医养康养相结合的养老服务体系</w:t>
      </w:r>
      <w:r>
        <w:rPr>
          <w:rStyle w:val="16"/>
          <w:rFonts w:hint="eastAsia" w:ascii="Times New Roman" w:hAnsi="Times New Roman" w:eastAsia="仿宋_GB2312"/>
          <w:color w:val="auto"/>
          <w:kern w:val="2"/>
          <w:sz w:val="32"/>
          <w:szCs w:val="24"/>
          <w:highlight w:val="none"/>
          <w:lang w:val="en-US" w:eastAsia="zh-CN" w:bidi="ar-SA"/>
        </w:rPr>
        <w:t>，老年人多层次、高质量的养老服务需求基本满足。惠民绿色文明殡葬改革稳步推进，厚养礼葬、文明节俭、生态环保的殡葬新风尚蔚然成风。区划地名、婚姻管理、收养登记工作水平和服务能力进一步提升。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bCs/>
          <w:spacing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bCs/>
          <w:spacing w:val="0"/>
          <w:sz w:val="32"/>
          <w:szCs w:val="32"/>
          <w:lang w:val="en-US" w:eastAsia="zh-CN"/>
        </w:rPr>
      </w:pPr>
      <w:r>
        <w:rPr>
          <w:rFonts w:hint="eastAsia" w:ascii="黑体" w:hAnsi="黑体" w:eastAsia="黑体" w:cs="黑体"/>
          <w:b/>
          <w:bCs/>
          <w:spacing w:val="0"/>
          <w:sz w:val="32"/>
          <w:szCs w:val="32"/>
          <w:lang w:val="en-US" w:eastAsia="zh-CN"/>
        </w:rPr>
        <w:t>珠山区“十四五”时期民政事业发展主要指</w:t>
      </w:r>
    </w:p>
    <w:tbl>
      <w:tblPr>
        <w:tblStyle w:val="12"/>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465"/>
        <w:gridCol w:w="1290"/>
        <w:gridCol w:w="2033"/>
        <w:gridCol w:w="1140"/>
      </w:tblGrid>
      <w:tr>
        <w:tblPrEx>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 w:val="0"/>
                <w:bCs w:val="0"/>
                <w:color w:val="auto"/>
                <w:kern w:val="0"/>
                <w:sz w:val="21"/>
                <w:szCs w:val="21"/>
                <w:lang w:val="en-US" w:eastAsia="zh-CN" w:bidi="ar-SA"/>
              </w:rPr>
            </w:pPr>
            <w:r>
              <w:rPr>
                <w:rStyle w:val="15"/>
                <w:rFonts w:hint="eastAsia" w:ascii="宋体" w:hAnsi="宋体" w:eastAsia="宋体" w:cs="宋体"/>
                <w:b w:val="0"/>
                <w:bCs w:val="0"/>
                <w:color w:val="auto"/>
                <w:kern w:val="0"/>
                <w:sz w:val="21"/>
                <w:szCs w:val="21"/>
              </w:rPr>
              <w:t>主要指标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单位</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lang w:val="en-US" w:eastAsia="zh-CN" w:bidi="ar-SA"/>
              </w:rPr>
            </w:pPr>
            <w:r>
              <w:rPr>
                <w:rStyle w:val="15"/>
                <w:rFonts w:hint="eastAsia" w:ascii="宋体" w:hAnsi="宋体" w:eastAsia="宋体" w:cs="宋体"/>
                <w:b w:val="0"/>
                <w:bCs w:val="0"/>
                <w:color w:val="auto"/>
                <w:kern w:val="0"/>
                <w:sz w:val="21"/>
                <w:szCs w:val="21"/>
              </w:rPr>
              <w:t>2025年</w:t>
            </w:r>
            <w:r>
              <w:rPr>
                <w:rStyle w:val="15"/>
                <w:rFonts w:hint="eastAsia" w:ascii="宋体" w:hAnsi="宋体" w:eastAsia="宋体" w:cs="宋体"/>
                <w:b w:val="0"/>
                <w:bCs w:val="0"/>
                <w:color w:val="auto"/>
                <w:kern w:val="0"/>
                <w:sz w:val="21"/>
                <w:szCs w:val="21"/>
                <w:lang w:val="en-US"/>
              </w:rPr>
              <w:t>目标值</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城乡低保标准年度增速</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sz w:val="21"/>
                <w:szCs w:val="21"/>
              </w:rPr>
              <w:t>不低于居民上年度人均消费支出增速</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Cs/>
                <w:spacing w:val="-20"/>
                <w:kern w:val="2"/>
                <w:sz w:val="21"/>
                <w:szCs w:val="21"/>
                <w:lang w:val="en-US" w:eastAsia="zh-CN" w:bidi="ar-SA"/>
              </w:rPr>
            </w:pPr>
            <w:r>
              <w:rPr>
                <w:rFonts w:hint="eastAsia" w:ascii="宋体" w:hAnsi="宋体" w:eastAsia="宋体" w:cs="宋体"/>
                <w:bCs/>
                <w:spacing w:val="-20"/>
                <w:sz w:val="21"/>
                <w:szCs w:val="21"/>
              </w:rPr>
              <w:t>2</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bCs/>
                <w:spacing w:val="-20"/>
                <w:kern w:val="2"/>
                <w:sz w:val="21"/>
                <w:szCs w:val="21"/>
                <w:lang w:val="en-US" w:eastAsia="zh-CN" w:bidi="ar-SA"/>
              </w:rPr>
            </w:pPr>
            <w:r>
              <w:rPr>
                <w:rFonts w:hint="eastAsia" w:ascii="宋体" w:hAnsi="宋体" w:eastAsia="宋体" w:cs="宋体"/>
                <w:sz w:val="21"/>
                <w:szCs w:val="21"/>
              </w:rPr>
              <w:t>农村低保标准占城市低保标准比例</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Cs/>
                <w:spacing w:val="-20"/>
                <w:kern w:val="2"/>
                <w:sz w:val="21"/>
                <w:szCs w:val="21"/>
                <w:lang w:val="en-US" w:eastAsia="zh-CN" w:bidi="ar-SA"/>
              </w:rPr>
            </w:pPr>
            <w:r>
              <w:rPr>
                <w:rFonts w:hint="eastAsia" w:ascii="宋体" w:hAnsi="宋体" w:eastAsia="宋体" w:cs="宋体"/>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75</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Cs/>
                <w:spacing w:val="-20"/>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城市特困人员和农村特困失能半失能人员供养标准</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(元/人、月）</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不低于低保标准的1.3倍</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农村特困全自理人员供养标准</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(元/人、月）</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不低于低保标准的1.3倍</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特困失能人员照料护理标准</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(元/人、月）</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不低于最低工资标准的80%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特困半失能人员照料护理标准</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(元/人、月）</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不低于最低工资标准的20%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特困全自理人员照料护理标准</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(元/人、月）</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不低于重度残疾人护理补贴标准</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8</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困难残疾人生活补贴覆盖率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100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9</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重度残疾人护理补贴覆盖率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100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0</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每百户居民拥有的城乡社区综合服务设施建筑面积</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平方米</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sz w:val="21"/>
                <w:szCs w:val="21"/>
              </w:rPr>
              <w:t>&gt;30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1</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社会组织专职工作人员数量</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万人</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b w:val="0"/>
                <w:bCs w:val="0"/>
                <w:color w:val="auto"/>
                <w:kern w:val="0"/>
                <w:sz w:val="21"/>
                <w:szCs w:val="21"/>
                <w:shd w:val="clear" w:color="auto" w:fill="auto"/>
                <w:lang w:val="en-US" w:eastAsia="zh-CN" w:bidi="ar-SA"/>
              </w:rPr>
              <w:t>0.2</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2</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示范性社会组织培育发展基地</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b w:val="0"/>
                <w:bCs w:val="0"/>
                <w:color w:val="auto"/>
                <w:kern w:val="0"/>
                <w:sz w:val="21"/>
                <w:szCs w:val="21"/>
                <w:shd w:val="clear" w:color="auto" w:fill="auto"/>
                <w:lang w:val="en-US" w:eastAsia="zh-CN" w:bidi="ar-SA"/>
              </w:rPr>
              <w:t>3</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3</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社会工作专业人才总量</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万人</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宋体" w:hAnsi="宋体" w:eastAsia="宋体" w:cs="宋体"/>
                <w:b w:val="0"/>
                <w:bCs w:val="0"/>
                <w:color w:val="auto"/>
                <w:kern w:val="0"/>
                <w:sz w:val="21"/>
                <w:szCs w:val="21"/>
                <w:shd w:val="clear" w:color="auto" w:fill="auto"/>
                <w:lang w:val="en-US" w:eastAsia="zh-CN" w:bidi="ar-SA"/>
              </w:rPr>
            </w:pPr>
            <w:r>
              <w:rPr>
                <w:rFonts w:hint="eastAsia" w:ascii="宋体" w:hAnsi="宋体" w:cs="宋体"/>
                <w:b w:val="0"/>
                <w:bCs w:val="0"/>
                <w:color w:val="auto"/>
                <w:kern w:val="0"/>
                <w:sz w:val="21"/>
                <w:szCs w:val="21"/>
                <w:shd w:val="clear" w:color="auto" w:fill="auto"/>
                <w:lang w:val="en-US" w:eastAsia="zh-CN" w:bidi="ar-SA"/>
              </w:rPr>
              <w:t>0.35</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cs="宋体"/>
                <w:sz w:val="21"/>
                <w:szCs w:val="21"/>
                <w:lang w:val="en-US" w:eastAsia="zh-CN"/>
              </w:rPr>
              <w:t>4</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志愿服务站点在社区综合服务设施中的覆盖率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b w:val="0"/>
                <w:bCs w:val="0"/>
                <w:color w:val="auto"/>
                <w:kern w:val="0"/>
                <w:sz w:val="21"/>
                <w:szCs w:val="21"/>
                <w:shd w:val="clear" w:color="auto" w:fill="auto"/>
                <w:lang w:val="en-US" w:eastAsia="zh-CN" w:bidi="ar-SA"/>
              </w:rPr>
              <w:t>80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pStyle w:val="2"/>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宋体" w:hAnsi="宋体" w:eastAsia="宋体" w:cs="宋体"/>
                <w:kern w:val="2"/>
                <w:sz w:val="21"/>
                <w:szCs w:val="21"/>
                <w:lang w:val="en-US" w:eastAsia="zh-CN" w:bidi="ar-SA"/>
              </w:rPr>
            </w:pPr>
            <w:r>
              <w:rPr>
                <w:rFonts w:hint="eastAsia" w:hAnsi="宋体" w:cs="宋体"/>
                <w:sz w:val="21"/>
                <w:szCs w:val="21"/>
                <w:lang w:val="en-US" w:eastAsia="zh-CN"/>
              </w:rPr>
              <w:t>15</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养老机构护理型床位占比</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b w:val="0"/>
                <w:bCs w:val="0"/>
                <w:color w:val="auto"/>
                <w:kern w:val="0"/>
                <w:sz w:val="21"/>
                <w:szCs w:val="21"/>
                <w:shd w:val="clear" w:color="auto" w:fill="auto"/>
                <w:lang w:val="en-US" w:eastAsia="zh-CN" w:bidi="ar-SA"/>
              </w:rPr>
              <w:t>60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684" w:type="dxa"/>
            <w:vAlign w:val="top"/>
          </w:tcPr>
          <w:p>
            <w:pPr>
              <w:pStyle w:val="2"/>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宋体" w:hAnsi="宋体" w:eastAsia="宋体" w:cs="宋体"/>
                <w:kern w:val="2"/>
                <w:sz w:val="21"/>
                <w:szCs w:val="21"/>
                <w:lang w:val="en-US" w:eastAsia="zh-CN" w:bidi="ar-SA"/>
              </w:rPr>
            </w:pPr>
            <w:r>
              <w:rPr>
                <w:rFonts w:hint="eastAsia" w:hAnsi="宋体" w:cs="宋体"/>
                <w:sz w:val="21"/>
                <w:szCs w:val="21"/>
                <w:lang w:val="en-US" w:eastAsia="zh-CN"/>
              </w:rPr>
              <w:t>16</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乡镇（街道）范围具备综合功能的养老服务机构覆盖率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b w:val="0"/>
                <w:bCs w:val="0"/>
                <w:color w:val="auto"/>
                <w:kern w:val="0"/>
                <w:sz w:val="21"/>
                <w:szCs w:val="21"/>
                <w:shd w:val="clear" w:color="auto" w:fill="auto"/>
                <w:lang w:val="en-US" w:eastAsia="zh-CN" w:bidi="ar-SA"/>
              </w:rPr>
              <w:t>60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tabs>
                <w:tab w:val="left" w:pos="2726"/>
              </w:tabs>
              <w:kinsoku/>
              <w:wordWrap/>
              <w:overflowPunct/>
              <w:topLinePunct w:val="0"/>
              <w:autoSpaceDE/>
              <w:autoSpaceDN/>
              <w:bidi w:val="0"/>
              <w:adjustRightInd w:val="0"/>
              <w:snapToGrid w:val="0"/>
              <w:spacing w:line="560" w:lineRule="exact"/>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17</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社区日间照料机构覆盖率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100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18</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农村互助养老服务设施覆盖率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100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default" w:ascii="宋体" w:hAnsi="宋体" w:eastAsia="宋体" w:cs="宋体"/>
                <w:bCs/>
                <w:spacing w:val="-20"/>
                <w:kern w:val="2"/>
                <w:sz w:val="21"/>
                <w:szCs w:val="21"/>
                <w:lang w:val="en-US" w:eastAsia="zh-CN" w:bidi="ar-SA"/>
              </w:rPr>
            </w:pPr>
            <w:r>
              <w:rPr>
                <w:rFonts w:hint="eastAsia" w:ascii="宋体" w:hAnsi="宋体" w:cs="宋体"/>
                <w:bCs/>
                <w:spacing w:val="-20"/>
                <w:sz w:val="21"/>
                <w:szCs w:val="21"/>
                <w:lang w:val="en-US" w:eastAsia="zh-CN"/>
              </w:rPr>
              <w:t>19</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Cs/>
                <w:spacing w:val="0"/>
                <w:kern w:val="2"/>
                <w:sz w:val="21"/>
                <w:szCs w:val="21"/>
                <w:lang w:val="en-US" w:eastAsia="zh-CN" w:bidi="ar-SA"/>
              </w:rPr>
            </w:pPr>
            <w:r>
              <w:rPr>
                <w:rFonts w:hint="eastAsia" w:ascii="宋体" w:hAnsi="宋体" w:eastAsia="宋体" w:cs="宋体"/>
                <w:color w:val="000000"/>
                <w:spacing w:val="0"/>
                <w:kern w:val="0"/>
                <w:sz w:val="21"/>
                <w:szCs w:val="21"/>
              </w:rPr>
              <w:t>乡镇（街道）未成年人保护工作站覆盖率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bCs/>
                <w:spacing w:val="0"/>
                <w:kern w:val="2"/>
                <w:sz w:val="21"/>
                <w:szCs w:val="21"/>
                <w:lang w:val="en-US" w:eastAsia="zh-CN" w:bidi="ar-SA"/>
              </w:rPr>
            </w:pPr>
            <w:r>
              <w:rPr>
                <w:rFonts w:hint="eastAsia" w:ascii="宋体" w:hAnsi="宋体" w:eastAsia="宋体" w:cs="宋体"/>
                <w:spacing w:val="0"/>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50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bCs/>
                <w:spacing w:val="-20"/>
                <w:kern w:val="2"/>
                <w:sz w:val="21"/>
                <w:szCs w:val="21"/>
                <w:lang w:val="en-US" w:eastAsia="zh-CN" w:bidi="ar-SA"/>
              </w:rPr>
            </w:pPr>
            <w:r>
              <w:rPr>
                <w:rFonts w:hint="eastAsia" w:ascii="宋体" w:hAnsi="宋体" w:eastAsia="宋体" w:cs="宋体"/>
                <w:color w:val="000000"/>
                <w:kern w:val="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20</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cs="宋体"/>
                <w:color w:val="000000"/>
                <w:kern w:val="0"/>
                <w:sz w:val="21"/>
                <w:szCs w:val="21"/>
                <w:lang w:val="en-US" w:eastAsia="zh-CN"/>
              </w:rPr>
              <w:t>区</w:t>
            </w:r>
            <w:r>
              <w:rPr>
                <w:rFonts w:hint="eastAsia" w:ascii="宋体" w:hAnsi="宋体" w:eastAsia="宋体" w:cs="宋体"/>
                <w:color w:val="000000"/>
                <w:kern w:val="0"/>
                <w:sz w:val="21"/>
                <w:szCs w:val="21"/>
              </w:rPr>
              <w:t>级城乡公益性安葬（放）设施覆盖率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100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r>
              <w:rPr>
                <w:rFonts w:hint="eastAsia" w:ascii="宋体" w:hAnsi="宋体" w:cs="宋体"/>
                <w:sz w:val="21"/>
                <w:szCs w:val="21"/>
                <w:lang w:val="en-US" w:eastAsia="zh-CN"/>
              </w:rPr>
              <w:t>1</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婚姻登记“跨省通办”实施率</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highlight w:val="none"/>
                <w:shd w:val="clear" w:color="auto" w:fill="auto"/>
                <w:lang w:val="en-US" w:eastAsia="zh-CN" w:bidi="ar-SA"/>
              </w:rPr>
            </w:pPr>
            <w:r>
              <w:rPr>
                <w:rFonts w:hint="eastAsia" w:ascii="宋体" w:hAnsi="宋体" w:eastAsia="宋体" w:cs="宋体"/>
                <w:b w:val="0"/>
                <w:bCs w:val="0"/>
                <w:color w:val="auto"/>
                <w:kern w:val="0"/>
                <w:sz w:val="21"/>
                <w:szCs w:val="21"/>
                <w:highlight w:val="none"/>
                <w:shd w:val="clear" w:color="auto" w:fill="auto"/>
                <w:lang w:val="en-US" w:eastAsia="zh-CN" w:bidi="ar-SA"/>
              </w:rPr>
              <w:t>100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2</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b w:val="0"/>
                <w:bCs w:val="0"/>
                <w:color w:val="auto"/>
                <w:kern w:val="0"/>
                <w:sz w:val="21"/>
                <w:szCs w:val="21"/>
                <w:shd w:val="clear" w:color="auto" w:fill="auto"/>
                <w:lang w:val="en-US" w:eastAsia="zh-CN" w:bidi="ar-SA"/>
              </w:rPr>
              <w:t>社会散居孤儿保障最低标准</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sz w:val="21"/>
                <w:szCs w:val="21"/>
              </w:rPr>
              <w:t>(元/人、月）</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shd w:val="clear" w:color="auto" w:fill="auto"/>
                <w:lang w:val="en-US" w:eastAsia="zh-CN" w:bidi="ar-SA"/>
              </w:rPr>
            </w:pPr>
            <w:r>
              <w:rPr>
                <w:rFonts w:hint="eastAsia" w:ascii="宋体" w:hAnsi="宋体" w:eastAsia="宋体" w:cs="宋体"/>
                <w:b w:val="0"/>
                <w:bCs w:val="0"/>
                <w:color w:val="auto"/>
                <w:kern w:val="0"/>
                <w:sz w:val="21"/>
                <w:szCs w:val="21"/>
                <w:shd w:val="clear" w:color="auto" w:fill="auto"/>
                <w:lang w:val="en-US" w:eastAsia="zh-CN" w:bidi="ar-SA"/>
              </w:rPr>
              <w:t>1600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684"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r>
              <w:rPr>
                <w:rFonts w:hint="eastAsia" w:ascii="宋体" w:hAnsi="宋体" w:cs="宋体"/>
                <w:sz w:val="21"/>
                <w:szCs w:val="21"/>
                <w:vertAlign w:val="baseline"/>
                <w:lang w:val="en-US" w:eastAsia="zh-CN"/>
              </w:rPr>
              <w:t>3</w:t>
            </w:r>
          </w:p>
        </w:tc>
        <w:tc>
          <w:tcPr>
            <w:tcW w:w="3465"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事实无人抚养儿童保障最低标准</w:t>
            </w:r>
          </w:p>
        </w:tc>
        <w:tc>
          <w:tcPr>
            <w:tcW w:w="129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sz w:val="21"/>
                <w:szCs w:val="21"/>
              </w:rPr>
              <w:t>(元/人、月）</w:t>
            </w:r>
          </w:p>
        </w:tc>
        <w:tc>
          <w:tcPr>
            <w:tcW w:w="2033"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1600</w:t>
            </w:r>
          </w:p>
        </w:tc>
        <w:tc>
          <w:tcPr>
            <w:tcW w:w="1140" w:type="dxa"/>
            <w:vAlign w:val="top"/>
          </w:tcPr>
          <w:p>
            <w:pPr>
              <w:keepNext w:val="0"/>
              <w:keepLines w:val="0"/>
              <w:pageBreakBefore w:val="0"/>
              <w:widowControl/>
              <w:kinsoku/>
              <w:wordWrap/>
              <w:overflowPunct/>
              <w:topLinePunct w:val="0"/>
              <w:autoSpaceDE/>
              <w:autoSpaceDN/>
              <w:bidi w:val="0"/>
              <w:adjustRightInd w:val="0"/>
              <w:snapToGrid w:val="0"/>
              <w:spacing w:line="560" w:lineRule="exact"/>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预期性</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jc w:val="both"/>
        <w:textAlignment w:val="baseline"/>
        <w:rPr>
          <w:rFonts w:hint="eastAsia" w:ascii="宋体" w:hAnsi="宋体" w:cs="宋体"/>
          <w:sz w:val="24"/>
          <w:szCs w:val="24"/>
        </w:rPr>
      </w:pPr>
      <w:r>
        <w:rPr>
          <w:rFonts w:hint="eastAsia" w:ascii="宋体" w:hAnsi="宋体" w:cs="宋体"/>
          <w:sz w:val="24"/>
          <w:szCs w:val="24"/>
        </w:rPr>
        <w:t>注：城乡低保标准年度增速指标目标值是指每年城乡低保标准增速不低于居民上年度人均消费支出增速。</w:t>
      </w:r>
    </w:p>
    <w:p>
      <w:pPr>
        <w:pStyle w:val="2"/>
        <w:pageBreakBefore w:val="0"/>
        <w:kinsoku/>
        <w:wordWrap/>
        <w:overflowPunct/>
        <w:topLinePunct w:val="0"/>
        <w:autoSpaceDE/>
        <w:autoSpaceDN/>
        <w:bidi w:val="0"/>
        <w:spacing w:line="560" w:lineRule="exact"/>
        <w:rPr>
          <w:rFonts w:hint="eastAsia"/>
          <w:sz w:val="32"/>
          <w:szCs w:val="32"/>
        </w:rPr>
      </w:pPr>
    </w:p>
    <w:p>
      <w:pPr>
        <w:pStyle w:val="3"/>
        <w:pageBreakBefore w:val="0"/>
        <w:widowControl w:val="0"/>
        <w:numPr>
          <w:ilvl w:val="0"/>
          <w:numId w:val="1"/>
        </w:numPr>
        <w:kinsoku/>
        <w:wordWrap/>
        <w:overflowPunct/>
        <w:topLinePunct w:val="0"/>
        <w:autoSpaceDE/>
        <w:autoSpaceDN/>
        <w:bidi w:val="0"/>
        <w:adjustRightInd w:val="0"/>
        <w:snapToGrid w:val="0"/>
        <w:spacing w:before="0" w:after="0" w:line="560" w:lineRule="exact"/>
        <w:jc w:val="center"/>
        <w:textAlignment w:val="auto"/>
        <w:rPr>
          <w:sz w:val="32"/>
          <w:szCs w:val="32"/>
          <w:lang w:val="en-US" w:eastAsia="zh-CN"/>
        </w:rPr>
      </w:pPr>
      <w:r>
        <w:rPr>
          <w:rFonts w:hint="eastAsia" w:cs="Times New Roman"/>
          <w:b/>
          <w:bCs w:val="0"/>
          <w:sz w:val="32"/>
          <w:szCs w:val="32"/>
        </w:rPr>
        <w:t>全</w:t>
      </w:r>
      <w:r>
        <w:rPr>
          <w:rFonts w:hint="eastAsia" w:cs="Times New Roman"/>
          <w:b/>
          <w:bCs w:val="0"/>
          <w:sz w:val="32"/>
          <w:szCs w:val="32"/>
          <w:lang w:val="en-US" w:eastAsia="zh-CN"/>
        </w:rPr>
        <w:t>力</w:t>
      </w:r>
      <w:r>
        <w:rPr>
          <w:rFonts w:hint="eastAsia" w:cs="Times New Roman"/>
          <w:b/>
          <w:bCs w:val="0"/>
          <w:sz w:val="32"/>
          <w:szCs w:val="32"/>
        </w:rPr>
        <w:t>兜牢民政基本民生保障底线</w:t>
      </w:r>
      <w:r>
        <w:rPr>
          <w:rFonts w:hint="eastAsia" w:cs="Times New Roman"/>
          <w:b/>
          <w:bCs w:val="0"/>
          <w:sz w:val="32"/>
          <w:szCs w:val="32"/>
          <w:lang w:val="en-US" w:eastAsia="zh-CN"/>
        </w:rPr>
        <w:t>，</w:t>
      </w:r>
      <w:r>
        <w:rPr>
          <w:rFonts w:hint="eastAsia" w:cs="Times New Roman"/>
          <w:b/>
          <w:bCs w:val="0"/>
          <w:sz w:val="32"/>
          <w:szCs w:val="32"/>
        </w:rPr>
        <w:t>促</w:t>
      </w:r>
      <w:r>
        <w:rPr>
          <w:rFonts w:hint="eastAsia" w:cs="Times New Roman"/>
          <w:b/>
          <w:bCs w:val="0"/>
          <w:sz w:val="32"/>
          <w:szCs w:val="32"/>
          <w:lang w:val="en-US" w:eastAsia="zh-CN"/>
        </w:rPr>
        <w:t>进珠山区</w:t>
      </w:r>
      <w:r>
        <w:rPr>
          <w:rFonts w:hint="eastAsia" w:cs="Times New Roman"/>
          <w:b/>
          <w:bCs w:val="0"/>
          <w:sz w:val="32"/>
          <w:szCs w:val="32"/>
        </w:rPr>
        <w:t>人民共同富裕作出新贡献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color w:val="000000"/>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color w:val="000000"/>
          <w:sz w:val="32"/>
          <w:szCs w:val="32"/>
          <w:shd w:val="clear" w:color="auto" w:fill="FFFFFF"/>
          <w:lang w:val="en-US" w:eastAsia="zh-CN"/>
        </w:rPr>
      </w:pPr>
      <w:r>
        <w:rPr>
          <w:rFonts w:hint="eastAsia" w:ascii="仿宋_GB2312" w:hAnsi="仿宋_GB2312" w:eastAsia="仿宋_GB2312" w:cs="仿宋_GB2312"/>
          <w:b w:val="0"/>
          <w:bCs/>
          <w:color w:val="000000"/>
          <w:sz w:val="32"/>
          <w:szCs w:val="32"/>
          <w:shd w:val="clear" w:color="auto" w:fill="FFFFFF"/>
          <w:lang w:val="en-US" w:eastAsia="zh-CN"/>
        </w:rPr>
        <w:t>坚持以人民为中心，尽力而为、量力而行，做好巩固拓展民政领域脱贫攻坚成果同乡村振兴有效衔接，</w:t>
      </w:r>
      <w:r>
        <w:rPr>
          <w:rStyle w:val="16"/>
          <w:rFonts w:hint="eastAsia" w:ascii="仿宋_GB2312" w:hAnsi="仿宋_GB2312" w:eastAsia="仿宋_GB2312" w:cs="仿宋_GB2312"/>
          <w:b w:val="0"/>
          <w:bCs/>
          <w:sz w:val="32"/>
          <w:szCs w:val="32"/>
        </w:rPr>
        <w:t>按照保基本</w:t>
      </w:r>
      <w:r>
        <w:rPr>
          <w:rStyle w:val="16"/>
          <w:rFonts w:hint="eastAsia" w:ascii="仿宋_GB2312" w:hAnsi="仿宋_GB2312" w:eastAsia="仿宋_GB2312" w:cs="仿宋_GB2312"/>
          <w:b w:val="0"/>
          <w:bCs/>
          <w:sz w:val="32"/>
          <w:szCs w:val="32"/>
          <w:lang w:eastAsia="zh-CN"/>
        </w:rPr>
        <w:t>、</w:t>
      </w:r>
      <w:r>
        <w:rPr>
          <w:rStyle w:val="16"/>
          <w:rFonts w:hint="eastAsia" w:ascii="仿宋_GB2312" w:hAnsi="仿宋_GB2312" w:eastAsia="仿宋_GB2312" w:cs="仿宋_GB2312"/>
          <w:b w:val="0"/>
          <w:bCs/>
          <w:sz w:val="32"/>
          <w:szCs w:val="32"/>
        </w:rPr>
        <w:t>兜底线</w:t>
      </w:r>
      <w:r>
        <w:rPr>
          <w:rStyle w:val="16"/>
          <w:rFonts w:hint="eastAsia" w:ascii="仿宋_GB2312" w:hAnsi="仿宋_GB2312" w:eastAsia="仿宋_GB2312" w:cs="仿宋_GB2312"/>
          <w:b w:val="0"/>
          <w:bCs/>
          <w:sz w:val="32"/>
          <w:szCs w:val="32"/>
          <w:lang w:eastAsia="zh-CN"/>
        </w:rPr>
        <w:t>、</w:t>
      </w:r>
      <w:r>
        <w:rPr>
          <w:rStyle w:val="16"/>
          <w:rFonts w:hint="eastAsia" w:ascii="仿宋_GB2312" w:hAnsi="仿宋_GB2312" w:eastAsia="仿宋_GB2312" w:cs="仿宋_GB2312"/>
          <w:b w:val="0"/>
          <w:bCs/>
          <w:sz w:val="32"/>
          <w:szCs w:val="32"/>
        </w:rPr>
        <w:t>救急难</w:t>
      </w:r>
      <w:r>
        <w:rPr>
          <w:rStyle w:val="16"/>
          <w:rFonts w:hint="eastAsia" w:ascii="仿宋_GB2312" w:hAnsi="仿宋_GB2312" w:eastAsia="仿宋_GB2312" w:cs="仿宋_GB2312"/>
          <w:b w:val="0"/>
          <w:bCs/>
          <w:sz w:val="32"/>
          <w:szCs w:val="32"/>
          <w:lang w:eastAsia="zh-CN"/>
        </w:rPr>
        <w:t>、</w:t>
      </w:r>
      <w:r>
        <w:rPr>
          <w:rStyle w:val="16"/>
          <w:rFonts w:hint="eastAsia" w:ascii="仿宋_GB2312" w:hAnsi="仿宋_GB2312" w:eastAsia="仿宋_GB2312" w:cs="仿宋_GB2312"/>
          <w:b w:val="0"/>
          <w:bCs/>
          <w:sz w:val="32"/>
          <w:szCs w:val="32"/>
        </w:rPr>
        <w:t>可持续的总体思路</w:t>
      </w:r>
      <w:r>
        <w:rPr>
          <w:rStyle w:val="16"/>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000000"/>
          <w:sz w:val="32"/>
          <w:szCs w:val="32"/>
          <w:shd w:val="clear" w:color="auto" w:fill="FFFFFF"/>
          <w:lang w:val="en-US" w:eastAsia="zh-CN"/>
        </w:rPr>
        <w:t>健全分层分类的社会救助体系，稳步提升残疾人、孤儿等社会福利水平，不断增强民政服务对象获得感、幸福感、安全感。</w:t>
      </w:r>
      <w:bookmarkStart w:id="5" w:name="_Toc31450"/>
      <w:bookmarkStart w:id="6" w:name="_Toc11944"/>
      <w:bookmarkStart w:id="7" w:name="_Toc23990"/>
      <w:bookmarkStart w:id="8" w:name="_Toc28630"/>
      <w:bookmarkStart w:id="9" w:name="_Toc13081"/>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第一节  巩固拓展民政领域脱贫攻坚成果</w:t>
      </w:r>
      <w:bookmarkEnd w:id="5"/>
      <w:bookmarkEnd w:id="6"/>
      <w:bookmarkEnd w:id="7"/>
      <w:bookmarkEnd w:id="8"/>
      <w:bookmarkEnd w:id="9"/>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default" w:ascii="楷体" w:hAnsi="楷体" w:eastAsia="楷体" w:cs="楷体"/>
          <w:b/>
          <w:bCs/>
          <w:kern w:val="2"/>
          <w:sz w:val="32"/>
          <w:szCs w:val="2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default" w:ascii="楷体" w:hAnsi="楷体" w:eastAsia="楷体" w:cs="楷体"/>
          <w:b/>
          <w:bCs/>
          <w:kern w:val="2"/>
          <w:sz w:val="32"/>
          <w:szCs w:val="22"/>
          <w:highlight w:val="none"/>
          <w:lang w:val="en-US" w:eastAsia="zh-CN" w:bidi="ar-SA"/>
        </w:rPr>
        <w:t>巩固脱贫攻坚成果。</w:t>
      </w:r>
      <w:r>
        <w:rPr>
          <w:rFonts w:hint="default" w:ascii="仿宋" w:hAnsi="仿宋" w:eastAsia="仿宋" w:cs="仿宋"/>
          <w:b w:val="0"/>
          <w:bCs w:val="0"/>
          <w:sz w:val="32"/>
          <w:szCs w:val="32"/>
          <w:highlight w:val="none"/>
          <w:lang w:val="en-US" w:eastAsia="zh-CN"/>
        </w:rPr>
        <w:t>要</w:t>
      </w:r>
      <w:r>
        <w:rPr>
          <w:rFonts w:hint="eastAsia" w:ascii="仿宋_GB2312" w:hAnsi="仿宋_GB2312" w:eastAsia="仿宋_GB2312" w:cs="仿宋_GB2312"/>
          <w:b w:val="0"/>
          <w:bCs w:val="0"/>
          <w:sz w:val="32"/>
          <w:szCs w:val="32"/>
          <w:highlight w:val="none"/>
          <w:lang w:val="en-US" w:eastAsia="zh-CN"/>
        </w:rPr>
        <w:t>继续保持社会救助兜底保障政策的总体稳定，将“防返贫、防致贫”作为工作重心，推动社会救助政策“单人保”“刚性支出扣除”“渐退期”等落实落地，实现低收入家庭中重病、重残等特殊困难群体社会救助全纳入。制定加强民政兜底保障与乡村振兴有效衔接政策措施。将脱贫人口中完全丧失劳动能力或部分丧失劳动能力且无法通过产业就业获得稳定收入的人口，依规全部纳入农村低保或特困人员救助供养范围。对低收入家庭、支出型贫困家庭中的重残人员、重病患者等特殊对象，参照“单人户”纳入低保。开展城镇脱贫解困验收评估，推动制定城镇扶弱助困长效政策措施。</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pacing w:val="-6"/>
          <w:sz w:val="32"/>
          <w:szCs w:val="32"/>
          <w:lang w:val="en-US" w:eastAsia="zh-CN"/>
        </w:rPr>
      </w:pPr>
      <w:r>
        <w:rPr>
          <w:rFonts w:hint="default" w:ascii="楷体" w:hAnsi="楷体" w:eastAsia="楷体" w:cs="楷体"/>
          <w:b/>
          <w:bCs/>
          <w:kern w:val="2"/>
          <w:sz w:val="32"/>
          <w:szCs w:val="22"/>
          <w:highlight w:val="none"/>
          <w:lang w:val="en-US" w:eastAsia="zh-CN" w:bidi="ar-SA"/>
        </w:rPr>
        <w:t>提升农村地区民政公共服务水平。</w:t>
      </w:r>
      <w:r>
        <w:rPr>
          <w:rFonts w:hint="eastAsia" w:ascii="仿宋_GB2312" w:hAnsi="仿宋_GB2312" w:eastAsia="仿宋_GB2312" w:cs="仿宋_GB2312"/>
          <w:color w:val="000000"/>
          <w:sz w:val="32"/>
          <w:szCs w:val="32"/>
          <w:highlight w:val="none"/>
          <w:shd w:val="clear" w:color="auto" w:fill="FFFFFF"/>
          <w:lang w:val="en-US" w:eastAsia="zh-CN"/>
        </w:rPr>
        <w:t>推进社会救助制度城乡统筹发展，加大农村社会救助投入，逐步缩小城乡差距，</w:t>
      </w:r>
      <w:r>
        <w:rPr>
          <w:rFonts w:hint="eastAsia" w:ascii="仿宋_GB2312" w:hAnsi="仿宋_GB2312" w:eastAsia="仿宋_GB2312" w:cs="仿宋_GB2312"/>
          <w:color w:val="000000"/>
          <w:sz w:val="32"/>
          <w:szCs w:val="32"/>
          <w:shd w:val="clear" w:color="auto" w:fill="FFFFFF"/>
          <w:lang w:val="en-US" w:eastAsia="zh-CN"/>
        </w:rPr>
        <w:t>推进城乡救助服务均等化。</w:t>
      </w:r>
      <w:r>
        <w:rPr>
          <w:rFonts w:hint="eastAsia" w:ascii="仿宋_GB2312" w:hAnsi="仿宋_GB2312" w:eastAsia="仿宋_GB2312" w:cs="仿宋_GB2312"/>
          <w:sz w:val="32"/>
          <w:szCs w:val="32"/>
          <w:lang w:val="en-US" w:eastAsia="zh-CN"/>
        </w:rPr>
        <w:t>健全农村地区老年人、残疾人、留守儿童和困境儿童关爱服务体系，完善帮扶残疾人、孤儿等社会福利制度。统筹推进农村民政服务设施和村级社区综合服务设施建设，促进公共服务资源向农村覆盖，向困难地区倾斜，推动农村民政领域公共服务水平持续提升。加强基层社会治理队伍建设。鼓励引导社会组</w:t>
      </w:r>
      <w:r>
        <w:rPr>
          <w:rFonts w:hint="eastAsia" w:ascii="仿宋_GB2312" w:hAnsi="仿宋_GB2312" w:eastAsia="仿宋_GB2312" w:cs="仿宋_GB2312"/>
          <w:spacing w:val="-6"/>
          <w:sz w:val="32"/>
          <w:szCs w:val="32"/>
          <w:lang w:val="en-US" w:eastAsia="zh-CN"/>
        </w:rPr>
        <w:t>织、社会工作者和志愿服务组织积极向乡村提供民政公共服务。</w:t>
      </w:r>
    </w:p>
    <w:p>
      <w:pPr>
        <w:pStyle w:val="2"/>
        <w:pageBreakBefore w:val="0"/>
        <w:kinsoku/>
        <w:wordWrap/>
        <w:overflowPunct/>
        <w:topLinePunct w:val="0"/>
        <w:autoSpaceDE/>
        <w:autoSpaceDN/>
        <w:bidi w:val="0"/>
        <w:spacing w:line="560" w:lineRule="exact"/>
        <w:rPr>
          <w:rFonts w:hint="eastAsia" w:ascii="仿宋_GB2312" w:hAnsi="仿宋_GB2312" w:eastAsia="仿宋_GB2312" w:cs="仿宋_GB2312"/>
          <w:spacing w:val="-6"/>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第二节  改革完善社会救助制度</w:t>
      </w:r>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default" w:ascii="楷体" w:hAnsi="楷体" w:eastAsia="楷体" w:cs="楷体"/>
          <w:b/>
          <w:bCs/>
          <w:kern w:val="2"/>
          <w:sz w:val="32"/>
          <w:szCs w:val="22"/>
          <w:lang w:val="en-US" w:eastAsia="zh-CN" w:bidi="ar-SA"/>
        </w:rPr>
        <w:t>健全分层分类的社会救助体系。</w:t>
      </w:r>
      <w:r>
        <w:rPr>
          <w:rFonts w:hint="eastAsia" w:ascii="仿宋_GB2312" w:hAnsi="仿宋_GB2312" w:eastAsia="仿宋_GB2312" w:cs="仿宋_GB2312"/>
          <w:b w:val="0"/>
          <w:bCs w:val="0"/>
          <w:sz w:val="32"/>
          <w:szCs w:val="32"/>
          <w:lang w:val="en-US" w:eastAsia="zh-CN"/>
        </w:rPr>
        <w:t>贯彻落实《省委办公厅 省政府办公厅关于改革完善社会救助制度的实施意见》，推动构建综合救助格局。</w:t>
      </w:r>
      <w:r>
        <w:rPr>
          <w:rFonts w:hint="eastAsia" w:ascii="仿宋_GB2312" w:hAnsi="仿宋_GB2312" w:eastAsia="仿宋_GB2312" w:cs="仿宋_GB2312"/>
          <w:color w:val="000000"/>
          <w:sz w:val="32"/>
          <w:szCs w:val="32"/>
          <w:shd w:val="clear" w:color="auto" w:fill="FFFFFF"/>
        </w:rPr>
        <w:t>完善特困人员认定办法，</w:t>
      </w:r>
      <w:r>
        <w:rPr>
          <w:rFonts w:hint="eastAsia" w:ascii="仿宋_GB2312" w:hAnsi="仿宋_GB2312" w:eastAsia="仿宋_GB2312" w:cs="仿宋_GB2312"/>
          <w:sz w:val="32"/>
          <w:szCs w:val="32"/>
        </w:rPr>
        <w:t>将特困人员救助供养覆盖的未成年人年龄从16周岁延长至18周岁</w:t>
      </w:r>
      <w:r>
        <w:rPr>
          <w:rFonts w:hint="eastAsia" w:ascii="仿宋_GB2312" w:hAnsi="仿宋_GB2312" w:eastAsia="仿宋_GB2312" w:cs="仿宋_GB2312"/>
          <w:color w:val="000000"/>
          <w:sz w:val="32"/>
          <w:szCs w:val="32"/>
          <w:lang w:bidi="ar"/>
        </w:rPr>
        <w:t>。做好重度残疾人护理补贴、孤儿保障、事实无人抚养儿童保障等制度与社会救助政策有效衔接。</w:t>
      </w:r>
      <w:r>
        <w:rPr>
          <w:rFonts w:hint="eastAsia" w:ascii="仿宋_GB2312" w:hAnsi="仿宋_GB2312" w:eastAsia="仿宋_GB2312" w:cs="仿宋_GB2312"/>
          <w:b w:val="0"/>
          <w:bCs w:val="0"/>
          <w:sz w:val="32"/>
          <w:szCs w:val="32"/>
          <w:lang w:val="en-US" w:eastAsia="zh-CN"/>
        </w:rPr>
        <w:t>修订临时救助操作规程，制定低收入家庭救助政策。完善特困人员医疗保障服务政策。健全社会救助标准制定和动态调整机制。开展社会救助综合改革创新试点，推进</w:t>
      </w:r>
      <w:r>
        <w:rPr>
          <w:rFonts w:hint="eastAsia" w:ascii="仿宋_GB2312" w:hAnsi="仿宋_GB2312" w:eastAsia="仿宋_GB2312" w:cs="仿宋_GB2312"/>
          <w:b w:val="0"/>
          <w:bCs w:val="0"/>
          <w:sz w:val="32"/>
          <w:szCs w:val="32"/>
          <w:highlight w:val="none"/>
          <w:lang w:val="en-US" w:eastAsia="zh-CN"/>
        </w:rPr>
        <w:t>党建+社会救助、</w:t>
      </w:r>
      <w:r>
        <w:rPr>
          <w:rFonts w:hint="eastAsia" w:ascii="仿宋_GB2312" w:hAnsi="仿宋_GB2312" w:eastAsia="仿宋_GB2312" w:cs="仿宋_GB2312"/>
          <w:b w:val="0"/>
          <w:bCs w:val="0"/>
          <w:sz w:val="32"/>
          <w:szCs w:val="32"/>
          <w:lang w:val="en-US" w:eastAsia="zh-CN"/>
        </w:rPr>
        <w:t>居住地申办低保、</w:t>
      </w:r>
      <w:r>
        <w:rPr>
          <w:rFonts w:hint="eastAsia" w:ascii="仿宋_GB2312" w:hAnsi="仿宋_GB2312" w:eastAsia="仿宋_GB2312" w:cs="仿宋_GB2312"/>
          <w:b w:val="0"/>
          <w:bCs w:val="0"/>
          <w:spacing w:val="-11"/>
          <w:sz w:val="32"/>
          <w:szCs w:val="32"/>
          <w:lang w:val="en-US" w:eastAsia="zh-CN"/>
        </w:rPr>
        <w:t>服务型救助、困难家庭救助帮扶综合评估、社会救助制度城乡统筹等改革。创新发展急难救助制度，深入推进“救急难”工作。</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olor w:val="auto"/>
          <w:spacing w:val="-6"/>
          <w:kern w:val="2"/>
          <w:sz w:val="32"/>
          <w:szCs w:val="24"/>
          <w:highlight w:val="none"/>
          <w:lang w:val="en-US" w:eastAsia="zh-CN" w:bidi="ar-SA"/>
        </w:rPr>
      </w:pPr>
      <w:r>
        <w:rPr>
          <w:rFonts w:hint="eastAsia" w:ascii="楷体" w:hAnsi="楷体" w:eastAsia="楷体" w:cs="楷体"/>
          <w:b/>
          <w:bCs/>
          <w:kern w:val="2"/>
          <w:sz w:val="32"/>
          <w:szCs w:val="22"/>
          <w:lang w:val="en-US" w:eastAsia="zh-CN" w:bidi="ar-SA"/>
        </w:rPr>
        <w:t>完善社会救助工作机制。</w:t>
      </w:r>
      <w:r>
        <w:rPr>
          <w:rStyle w:val="16"/>
          <w:rFonts w:hint="eastAsia" w:ascii="Times New Roman" w:hAnsi="Times New Roman" w:eastAsia="仿宋_GB2312"/>
          <w:color w:val="auto"/>
          <w:kern w:val="2"/>
          <w:sz w:val="32"/>
          <w:szCs w:val="24"/>
          <w:highlight w:val="none"/>
          <w:lang w:val="en-US" w:eastAsia="zh-CN" w:bidi="ar-SA"/>
        </w:rPr>
        <w:t>推动成立区社会救助工作领导小组，指导完善镇、街级困难群众基本生活保障工作协调机制，统筹社会救助资源。深入推进社会救助信息化建设，建立社会救助对象信息资源库，健全监测预警机制，动态监测低收入人口，强化主动发现、快速响应机制。健全社会救助家庭经济状况核对机制，扩展核对查询覆盖范围，全面普及电子授权，强化核对信息安全保护。发挥社会救助服务热线作用，推动乡镇（街道）“一门受理、协同办理”提质增效。做好低保审核确认权限下放后续工作。大力推行政府购买社会救助服务，强化镇、街两级经办服务能力。巩固提升农村低保专项治理成果，持续整治</w:t>
      </w:r>
      <w:r>
        <w:rPr>
          <w:rStyle w:val="16"/>
          <w:rFonts w:hint="eastAsia" w:ascii="Times New Roman" w:hAnsi="Times New Roman" w:eastAsia="仿宋_GB2312"/>
          <w:color w:val="auto"/>
          <w:spacing w:val="-6"/>
          <w:kern w:val="2"/>
          <w:sz w:val="32"/>
          <w:szCs w:val="24"/>
          <w:highlight w:val="none"/>
          <w:lang w:val="en-US" w:eastAsia="zh-CN" w:bidi="ar-SA"/>
        </w:rPr>
        <w:t>漠视侵害群众利益问题，健全社会救助监督检查长效机制。</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楷体" w:hAnsi="楷体" w:eastAsia="楷体" w:cs="楷体"/>
          <w:b/>
          <w:bCs/>
          <w:kern w:val="2"/>
          <w:sz w:val="32"/>
          <w:szCs w:val="22"/>
          <w:lang w:val="en-US" w:eastAsia="zh-CN" w:bidi="ar-SA"/>
        </w:rPr>
        <w:t>健全基本社会救助标准动态调整机制。</w:t>
      </w:r>
      <w:r>
        <w:rPr>
          <w:rStyle w:val="16"/>
          <w:rFonts w:hint="eastAsia" w:ascii="仿宋_GB2312" w:hAnsi="仿宋_GB2312" w:eastAsia="仿宋_GB2312" w:cs="仿宋_GB2312"/>
          <w:color w:val="auto"/>
          <w:kern w:val="2"/>
          <w:sz w:val="32"/>
          <w:szCs w:val="24"/>
          <w:highlight w:val="none"/>
          <w:lang w:val="en-US" w:eastAsia="zh-CN" w:bidi="ar-SA"/>
        </w:rPr>
        <w:t>建立健全基本生活救助标准科学动态调整机制和与物价上涨挂钩联动机制，</w:t>
      </w:r>
      <w:r>
        <w:rPr>
          <w:rFonts w:hint="eastAsia" w:ascii="仿宋_GB2312" w:hAnsi="仿宋_GB2312" w:eastAsia="仿宋_GB2312" w:cs="仿宋_GB2312"/>
          <w:sz w:val="32"/>
          <w:szCs w:val="32"/>
        </w:rPr>
        <w:t>以当地低保标准为基础，上浮</w:t>
      </w:r>
      <w:r>
        <w:rPr>
          <w:rFonts w:hint="eastAsia" w:ascii="仿宋_GB2312" w:hAnsi="仿宋_GB2312" w:eastAsia="仿宋_GB2312" w:cs="仿宋_GB2312"/>
          <w:sz w:val="32"/>
          <w:szCs w:val="32"/>
          <w:highlight w:val="none"/>
        </w:rPr>
        <w:t>一定比例确定特困人员基本生活标准，原则上不低于1.3倍；</w:t>
      </w:r>
      <w:r>
        <w:rPr>
          <w:rStyle w:val="16"/>
          <w:rFonts w:hint="eastAsia" w:ascii="仿宋_GB2312" w:hAnsi="仿宋_GB2312" w:eastAsia="仿宋_GB2312" w:cs="仿宋_GB2312"/>
          <w:color w:val="auto"/>
          <w:kern w:val="2"/>
          <w:sz w:val="32"/>
          <w:szCs w:val="24"/>
          <w:highlight w:val="none"/>
          <w:lang w:val="en-US" w:eastAsia="zh-CN" w:bidi="ar-SA"/>
        </w:rPr>
        <w:t>强化特困供养人员自理、失能、半失能分级护理，失能、半失能特困人员护理标准不低于最低工资标准的80%、20%。</w:t>
      </w:r>
      <w:r>
        <w:rPr>
          <w:rFonts w:hint="eastAsia" w:ascii="仿宋_GB2312" w:hAnsi="仿宋_GB2312" w:eastAsia="仿宋_GB2312" w:cs="仿宋_GB2312"/>
          <w:sz w:val="32"/>
          <w:szCs w:val="32"/>
        </w:rPr>
        <w:t>根据生活自理能力和服务需求分档制定照料护理标准。</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stheme="minorBidi"/>
          <w:color w:val="auto"/>
          <w:kern w:val="2"/>
          <w:sz w:val="32"/>
          <w:szCs w:val="24"/>
          <w:highlight w:val="none"/>
          <w:u w:val="none"/>
          <w:lang w:val="en-US" w:eastAsia="zh-CN" w:bidi="ar-SA"/>
        </w:rPr>
      </w:pPr>
      <w:r>
        <w:rPr>
          <w:rFonts w:hint="eastAsia" w:ascii="楷体" w:hAnsi="楷体" w:eastAsia="楷体" w:cs="楷体"/>
          <w:b/>
          <w:bCs/>
          <w:kern w:val="2"/>
          <w:sz w:val="32"/>
          <w:szCs w:val="22"/>
          <w:lang w:val="en-US" w:eastAsia="zh-CN" w:bidi="ar-SA"/>
        </w:rPr>
        <w:t>保障流浪乞讨人员人身安全和基本生活。</w:t>
      </w:r>
      <w:r>
        <w:rPr>
          <w:rStyle w:val="16"/>
          <w:rFonts w:hint="eastAsia" w:ascii="Times New Roman" w:hAnsi="Times New Roman" w:eastAsia="仿宋_GB2312" w:cstheme="minorBidi"/>
          <w:color w:val="auto"/>
          <w:kern w:val="2"/>
          <w:sz w:val="32"/>
          <w:szCs w:val="24"/>
          <w:highlight w:val="none"/>
          <w:u w:val="none"/>
          <w:lang w:val="en-US" w:eastAsia="zh-CN" w:bidi="ar-SA"/>
        </w:rPr>
        <w:t>推动建立健全政府负责同志牵头的救助管理工作领导协调机制，明确部门职责，强化协同联动。充分发挥平安建设（综治工作）考核评价体系作用，提升救助管理水平。不断完善救助管理政策体系，减少不文明流浪乞讨现象。继续推进救助寻亲服务，充分利用智能化手段，发动社会力量，帮助流浪乞讨人员回归家庭和社会。推进源头治理工作，建立易流浪走失人员信息库，减少反复流浪乞讨现象。</w:t>
      </w:r>
      <w:bookmarkStart w:id="10" w:name="_Toc21337"/>
      <w:bookmarkStart w:id="11" w:name="_Toc30385"/>
      <w:bookmarkStart w:id="12" w:name="_Toc26763"/>
      <w:bookmarkStart w:id="13" w:name="_Toc9217"/>
      <w:bookmarkStart w:id="14" w:name="_Toc3523"/>
    </w:p>
    <w:p>
      <w:pPr>
        <w:pStyle w:val="2"/>
        <w:pageBreakBefore w:val="0"/>
        <w:kinsoku/>
        <w:wordWrap/>
        <w:overflowPunct/>
        <w:topLinePunct w:val="0"/>
        <w:autoSpaceDE/>
        <w:autoSpaceDN/>
        <w:bidi w:val="0"/>
        <w:spacing w:line="560" w:lineRule="exact"/>
        <w:rPr>
          <w:rFonts w:hint="eastAsia"/>
          <w:sz w:val="32"/>
          <w:szCs w:val="32"/>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8793" w:type="dxa"/>
            <w:tcBorders>
              <w:top w:val="single" w:color="auto" w:sz="4" w:space="0"/>
              <w:left w:val="single" w:color="auto" w:sz="4" w:space="0"/>
              <w:bottom w:val="single" w:color="auto" w:sz="4" w:space="0"/>
              <w:right w:val="single" w:color="auto" w:sz="4" w:space="0"/>
            </w:tcBorders>
            <w:shd w:val="clear" w:color="auto" w:fill="948A54"/>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专栏1：基层社会救助能力提升工程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8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1.</w:t>
            </w:r>
            <w:r>
              <w:rPr>
                <w:rFonts w:hint="eastAsia" w:ascii="方正仿宋_GBK" w:hAnsi="方正仿宋_GBK" w:eastAsia="方正仿宋_GBK" w:cs="方正仿宋_GBK"/>
                <w:b/>
                <w:bCs/>
                <w:sz w:val="24"/>
                <w:szCs w:val="24"/>
              </w:rPr>
              <w:t>提升基层社会救助经办服务能</w:t>
            </w:r>
            <w:r>
              <w:rPr>
                <w:rFonts w:hint="eastAsia" w:ascii="方正仿宋_GBK" w:hAnsi="方正仿宋_GBK" w:eastAsia="方正仿宋_GBK" w:cs="方正仿宋_GBK"/>
                <w:b/>
                <w:bCs/>
                <w:sz w:val="24"/>
                <w:szCs w:val="24"/>
                <w:lang w:val="en-US" w:eastAsia="zh-CN"/>
              </w:rPr>
              <w:t>力</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80" w:firstLineChars="200"/>
              <w:jc w:val="both"/>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整合社会救助资源，强化乡镇（街道）社会救助责任，提升保障条件。推动村级设立社会救助协理员，困难群众较多的村（社区）建立社会救助服务站（点），将走访、发现需要救助的困难群众列为村（社区）重要工作内容。加强政府购买社会救助服务，为有需要的困难群众提供主动发现和协助申请、资源链接、政策信息、心理调适、转办转介、社会融入等相关服务。优化社会救助程序，取消可以通过国家或地方政务服务平台查询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87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2.建设流浪乞讨人员救助管理设施</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baseline"/>
            </w:pPr>
            <w:r>
              <w:rPr>
                <w:rFonts w:hint="eastAsia" w:ascii="方正仿宋_GBK" w:hAnsi="方正仿宋_GBK" w:eastAsia="方正仿宋_GBK" w:cs="方正仿宋_GBK"/>
                <w:b w:val="0"/>
                <w:bCs w:val="0"/>
                <w:sz w:val="24"/>
                <w:szCs w:val="24"/>
                <w:highlight w:val="none"/>
              </w:rPr>
              <w:t>充分利用现有社会福利设施建设流浪乞讨人员救助设施，实现救助服务网络覆盖全部</w:t>
            </w:r>
            <w:r>
              <w:rPr>
                <w:rFonts w:hint="eastAsia" w:ascii="方正仿宋_GBK" w:hAnsi="方正仿宋_GBK" w:eastAsia="方正仿宋_GBK" w:cs="方正仿宋_GBK"/>
                <w:b w:val="0"/>
                <w:bCs w:val="0"/>
                <w:sz w:val="24"/>
                <w:szCs w:val="24"/>
                <w:highlight w:val="none"/>
                <w:lang w:val="en-US" w:eastAsia="zh-CN"/>
              </w:rPr>
              <w:t>镇</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sz w:val="24"/>
                <w:szCs w:val="24"/>
                <w:highlight w:val="none"/>
                <w:lang w:val="en-US" w:eastAsia="zh-CN"/>
              </w:rPr>
              <w:t>街</w:t>
            </w:r>
            <w:r>
              <w:rPr>
                <w:rFonts w:hint="eastAsia" w:ascii="方正仿宋_GBK" w:hAnsi="方正仿宋_GBK" w:eastAsia="方正仿宋_GBK" w:cs="方正仿宋_GBK"/>
                <w:b w:val="0"/>
                <w:bCs w:val="0"/>
                <w:sz w:val="24"/>
                <w:szCs w:val="24"/>
                <w:highlight w:val="none"/>
              </w:rPr>
              <w:t>）。</w:t>
            </w:r>
          </w:p>
        </w:tc>
      </w:tr>
    </w:tbl>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第三节  提升儿童福利保障水平</w:t>
      </w:r>
      <w:bookmarkEnd w:id="10"/>
      <w:bookmarkEnd w:id="11"/>
      <w:bookmarkEnd w:id="12"/>
      <w:bookmarkEnd w:id="13"/>
      <w:bookmarkEnd w:id="14"/>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楷体" w:hAnsi="楷体" w:eastAsia="楷体" w:cs="楷体"/>
          <w:b/>
          <w:bCs/>
          <w:kern w:val="2"/>
          <w:sz w:val="32"/>
          <w:szCs w:val="2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highlight w:val="none"/>
        </w:rPr>
      </w:pPr>
      <w:r>
        <w:rPr>
          <w:rFonts w:hint="eastAsia" w:ascii="楷体" w:hAnsi="楷体" w:eastAsia="楷体" w:cs="楷体"/>
          <w:b/>
          <w:bCs/>
          <w:kern w:val="2"/>
          <w:sz w:val="32"/>
          <w:szCs w:val="22"/>
          <w:highlight w:val="none"/>
          <w:lang w:val="en-US" w:eastAsia="zh-CN" w:bidi="ar-SA"/>
        </w:rPr>
        <w:t>完善帮扶孤儿和事实无人抚养儿童福利制度。</w:t>
      </w:r>
      <w:r>
        <w:rPr>
          <w:rFonts w:hint="eastAsia" w:ascii="仿宋_GB2312" w:hAnsi="仿宋_GB2312" w:eastAsia="仿宋_GB2312" w:cs="仿宋_GB2312"/>
          <w:b w:val="0"/>
          <w:bCs w:val="0"/>
          <w:sz w:val="32"/>
          <w:szCs w:val="22"/>
          <w:highlight w:val="none"/>
          <w:lang w:bidi="ar"/>
        </w:rPr>
        <w:t>规范落实事实无人抚养儿童认定标准和程序。</w:t>
      </w:r>
      <w:r>
        <w:rPr>
          <w:rFonts w:hint="eastAsia" w:ascii="仿宋_GB2312" w:hAnsi="仿宋_GB2312" w:eastAsia="仿宋_GB2312" w:cs="仿宋_GB2312"/>
          <w:b w:val="0"/>
          <w:bCs w:val="0"/>
          <w:sz w:val="32"/>
          <w:szCs w:val="32"/>
          <w:highlight w:val="none"/>
          <w:lang w:bidi="ar"/>
        </w:rPr>
        <w:t>推进</w:t>
      </w:r>
      <w:r>
        <w:rPr>
          <w:rFonts w:hint="eastAsia" w:ascii="仿宋_GB2312" w:hAnsi="仿宋_GB2312" w:eastAsia="仿宋_GB2312" w:cs="仿宋_GB2312"/>
          <w:b w:val="0"/>
          <w:bCs w:val="0"/>
          <w:sz w:val="32"/>
          <w:szCs w:val="32"/>
          <w:highlight w:val="none"/>
        </w:rPr>
        <w:t>落实孤儿和事实无人抚养儿童保障标准自然增长机制，推动建立孤儿和事实无人抚养儿童基本生活保障标准动态调整机制，持续提高孤儿和事实无人抚养儿童在医疗、康复、教育、就业、住房等方面的保障水平，拓展保障范围，确保保障标准与经济社会发展水平相匹配、与相关社会福利标准相衔接。严格规范家庭寄养。优化完善社会散居孤儿、家庭寄养儿童、事实无人抚养儿童家庭走访、培训和监护评估、保护制度。探索对符合条件的事实无人抚养儿童开展助医助学工作。</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黑体" w:hAnsi="黑体" w:eastAsia="黑体" w:cs="黑体"/>
          <w:b w:val="0"/>
          <w:bCs w:val="0"/>
          <w:sz w:val="32"/>
          <w:szCs w:val="32"/>
        </w:rPr>
      </w:pPr>
      <w:r>
        <w:rPr>
          <w:rFonts w:hint="eastAsia" w:ascii="楷体" w:hAnsi="楷体" w:eastAsia="楷体" w:cs="楷体"/>
          <w:b/>
          <w:bCs/>
          <w:kern w:val="2"/>
          <w:sz w:val="32"/>
          <w:szCs w:val="22"/>
          <w:lang w:val="en-US" w:eastAsia="zh-CN" w:bidi="ar-SA"/>
        </w:rPr>
        <w:t>推进儿童福利标准化建设。</w:t>
      </w:r>
      <w:r>
        <w:rPr>
          <w:rFonts w:hint="eastAsia" w:ascii="仿宋_GB2312" w:hAnsi="仿宋_GB2312" w:eastAsia="仿宋_GB2312" w:cs="仿宋_GB2312"/>
          <w:sz w:val="32"/>
          <w:szCs w:val="32"/>
        </w:rPr>
        <w:t>宣传贯彻有关儿童福利工</w:t>
      </w:r>
      <w:r>
        <w:rPr>
          <w:rFonts w:hint="eastAsia" w:ascii="仿宋_GB2312" w:hAnsi="仿宋_GB2312" w:eastAsia="仿宋_GB2312" w:cs="仿宋_GB2312"/>
          <w:spacing w:val="0"/>
          <w:sz w:val="32"/>
          <w:szCs w:val="32"/>
        </w:rPr>
        <w:t>作标准。根据国家部署，运用全国统一的服务质量标准和评价体系</w:t>
      </w:r>
      <w:bookmarkStart w:id="15" w:name="_Toc4302"/>
      <w:bookmarkStart w:id="16" w:name="_Toc4222"/>
      <w:bookmarkStart w:id="17" w:name="_Toc29265"/>
      <w:bookmarkStart w:id="18" w:name="_Toc26698"/>
      <w:bookmarkStart w:id="19" w:name="_Toc2494"/>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 xml:space="preserve">节 </w:t>
      </w:r>
      <w:r>
        <w:rPr>
          <w:rFonts w:hint="eastAsia" w:ascii="黑体" w:hAnsi="黑体" w:eastAsia="黑体" w:cs="黑体"/>
          <w:b w:val="0"/>
          <w:bCs w:val="0"/>
          <w:sz w:val="32"/>
          <w:szCs w:val="32"/>
          <w:lang w:val="en-US" w:eastAsia="zh-CN"/>
        </w:rPr>
        <w:t>完善残疾人福利制度</w:t>
      </w:r>
      <w:bookmarkEnd w:id="15"/>
      <w:bookmarkEnd w:id="16"/>
      <w:bookmarkEnd w:id="17"/>
      <w:bookmarkEnd w:id="18"/>
      <w:bookmarkEnd w:id="19"/>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楷体" w:hAnsi="楷体" w:eastAsia="楷体" w:cs="楷体"/>
          <w:b/>
          <w:bCs/>
          <w:kern w:val="2"/>
          <w:sz w:val="32"/>
          <w:szCs w:val="2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sz w:val="32"/>
          <w:szCs w:val="32"/>
        </w:rPr>
      </w:pPr>
      <w:r>
        <w:rPr>
          <w:rFonts w:hint="eastAsia" w:ascii="楷体" w:hAnsi="楷体" w:eastAsia="楷体" w:cs="楷体"/>
          <w:b/>
          <w:bCs/>
          <w:kern w:val="2"/>
          <w:sz w:val="32"/>
          <w:szCs w:val="22"/>
          <w:lang w:val="en-US" w:eastAsia="zh-CN" w:bidi="ar-SA"/>
        </w:rPr>
        <w:t>推动残疾人“两项补贴”提标扩面。</w:t>
      </w:r>
      <w:r>
        <w:rPr>
          <w:rStyle w:val="16"/>
          <w:rFonts w:hint="eastAsia" w:ascii="Times New Roman" w:hAnsi="Times New Roman" w:eastAsia="仿宋_GB2312" w:cstheme="minorBidi"/>
          <w:b w:val="0"/>
          <w:bCs w:val="0"/>
          <w:color w:val="auto"/>
          <w:kern w:val="2"/>
          <w:sz w:val="32"/>
          <w:szCs w:val="24"/>
          <w:highlight w:val="none"/>
          <w:u w:val="none"/>
          <w:lang w:val="en-US" w:eastAsia="zh-CN" w:bidi="ar-SA"/>
        </w:rPr>
        <w:t>建立困难残疾人生活补贴和重度残疾人护理补贴标准动态调整机制，逐步推进困难残疾人生活补贴覆盖至低保边缘家庭和其他困难残疾人，护理补贴覆盖至三四级的智力和精神残疾人。全面开展残疾人“两项补贴”资格认定申请跨省通办，为残疾人提供更为更加贴心暖心的服务。加强残疾人“两项补贴”制度与其他社会保障政策相衔接。</w:t>
      </w:r>
      <w:bookmarkStart w:id="20" w:name="_Toc5222"/>
      <w:bookmarkStart w:id="21" w:name="_Toc23147"/>
      <w:bookmarkStart w:id="22" w:name="_Toc3915"/>
      <w:bookmarkStart w:id="23" w:name="_Toc27012"/>
      <w:bookmarkStart w:id="24" w:name="_Toc28878"/>
    </w:p>
    <w:p>
      <w:pPr>
        <w:pStyle w:val="3"/>
        <w:pageBreakBefore w:val="0"/>
        <w:widowControl w:val="0"/>
        <w:numPr>
          <w:ilvl w:val="0"/>
          <w:numId w:val="2"/>
        </w:numPr>
        <w:kinsoku/>
        <w:wordWrap/>
        <w:overflowPunct/>
        <w:topLinePunct w:val="0"/>
        <w:autoSpaceDE/>
        <w:autoSpaceDN/>
        <w:bidi w:val="0"/>
        <w:adjustRightInd w:val="0"/>
        <w:snapToGrid w:val="0"/>
        <w:spacing w:before="0" w:after="0" w:line="560" w:lineRule="exact"/>
        <w:jc w:val="center"/>
        <w:textAlignment w:val="auto"/>
        <w:rPr>
          <w:rFonts w:hint="eastAsia" w:cs="Times New Roman"/>
          <w:b/>
          <w:bCs w:val="0"/>
          <w:sz w:val="32"/>
          <w:szCs w:val="22"/>
          <w:lang w:val="en-US" w:eastAsia="zh-CN"/>
        </w:rPr>
      </w:pPr>
      <w:r>
        <w:rPr>
          <w:rFonts w:hint="eastAsia" w:cs="Times New Roman"/>
          <w:b/>
          <w:bCs w:val="0"/>
          <w:sz w:val="32"/>
          <w:szCs w:val="22"/>
          <w:lang w:val="en-US" w:eastAsia="zh-CN"/>
        </w:rPr>
        <w:t>全面深化民政基层社会治理体系，提升我区治理</w:t>
      </w:r>
      <w:bookmarkEnd w:id="20"/>
      <w:bookmarkEnd w:id="21"/>
      <w:bookmarkEnd w:id="22"/>
      <w:bookmarkEnd w:id="23"/>
      <w:bookmarkEnd w:id="24"/>
    </w:p>
    <w:p>
      <w:pPr>
        <w:pStyle w:val="3"/>
        <w:pageBreakBefore w:val="0"/>
        <w:widowControl w:val="0"/>
        <w:numPr>
          <w:ilvl w:val="0"/>
          <w:numId w:val="0"/>
        </w:numPr>
        <w:kinsoku/>
        <w:wordWrap/>
        <w:overflowPunct/>
        <w:topLinePunct w:val="0"/>
        <w:autoSpaceDE/>
        <w:autoSpaceDN/>
        <w:bidi w:val="0"/>
        <w:adjustRightInd w:val="0"/>
        <w:snapToGrid w:val="0"/>
        <w:spacing w:before="0" w:after="0" w:line="560" w:lineRule="exact"/>
        <w:jc w:val="center"/>
        <w:textAlignment w:val="auto"/>
        <w:rPr>
          <w:rFonts w:hint="eastAsia" w:cs="Times New Roman"/>
          <w:b/>
          <w:bCs w:val="0"/>
          <w:sz w:val="32"/>
          <w:szCs w:val="22"/>
          <w:lang w:val="en-US" w:eastAsia="zh-CN"/>
        </w:rPr>
      </w:pPr>
      <w:r>
        <w:rPr>
          <w:rFonts w:hint="eastAsia" w:cs="Times New Roman"/>
          <w:b/>
          <w:bCs w:val="0"/>
          <w:sz w:val="32"/>
          <w:szCs w:val="22"/>
          <w:lang w:val="en-US" w:eastAsia="zh-CN"/>
        </w:rPr>
        <w:t>效能释放新活力</w:t>
      </w:r>
    </w:p>
    <w:p>
      <w:pPr>
        <w:keepNext w:val="0"/>
        <w:keepLines w:val="0"/>
        <w:pageBreakBefore w:val="0"/>
        <w:widowControl/>
        <w:kinsoku/>
        <w:wordWrap/>
        <w:overflowPunct/>
        <w:topLinePunct w:val="0"/>
        <w:autoSpaceDE/>
        <w:autoSpaceDN/>
        <w:bidi w:val="0"/>
        <w:adjustRightInd w:val="0"/>
        <w:snapToGrid w:val="0"/>
        <w:spacing w:line="560" w:lineRule="exact"/>
        <w:ind w:firstLine="644" w:firstLineChars="200"/>
        <w:jc w:val="both"/>
        <w:textAlignment w:val="baseline"/>
        <w:rPr>
          <w:rFonts w:hint="eastAsia" w:ascii="仿宋" w:hAnsi="仿宋" w:eastAsia="仿宋" w:cs="仿宋"/>
          <w:spacing w:val="1"/>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4" w:firstLineChars="200"/>
        <w:jc w:val="both"/>
        <w:textAlignment w:val="baseline"/>
        <w:rPr>
          <w:rStyle w:val="16"/>
          <w:rFonts w:hint="eastAsia" w:ascii="仿宋_GB2312" w:hAnsi="仿宋_GB2312" w:eastAsia="仿宋_GB2312" w:cs="仿宋_GB2312"/>
          <w:color w:val="auto"/>
          <w:spacing w:val="-11"/>
          <w:kern w:val="2"/>
          <w:sz w:val="32"/>
          <w:szCs w:val="24"/>
          <w:highlight w:val="none"/>
          <w:lang w:val="en-US" w:eastAsia="zh-CN" w:bidi="ar-SA"/>
        </w:rPr>
      </w:pPr>
      <w:r>
        <w:rPr>
          <w:rFonts w:hint="eastAsia" w:ascii="仿宋_GB2312" w:hAnsi="仿宋_GB2312" w:eastAsia="仿宋_GB2312" w:cs="仿宋_GB2312"/>
          <w:spacing w:val="1"/>
          <w:sz w:val="32"/>
          <w:szCs w:val="32"/>
        </w:rPr>
        <w:t>夯实基层社会治理基础，强化城乡社区治理和服务体系建设，发挥社会组织在社会治理中的作用，畅通社会工作者和志愿者参与社会治理途径，发展慈善事业，</w:t>
      </w:r>
      <w:r>
        <w:rPr>
          <w:rStyle w:val="16"/>
          <w:rFonts w:hint="eastAsia" w:ascii="仿宋_GB2312" w:hAnsi="仿宋_GB2312" w:eastAsia="仿宋_GB2312" w:cs="仿宋_GB2312"/>
          <w:b w:val="0"/>
          <w:bCs w:val="0"/>
          <w:color w:val="auto"/>
          <w:kern w:val="2"/>
          <w:sz w:val="32"/>
          <w:szCs w:val="24"/>
          <w:highlight w:val="none"/>
          <w:lang w:val="en-US" w:eastAsia="zh-CN" w:bidi="ar-SA"/>
        </w:rPr>
        <w:t>围绕国家陶瓷文化传承创新试验区建设贡献民政力量。</w:t>
      </w:r>
      <w:r>
        <w:rPr>
          <w:rStyle w:val="16"/>
          <w:rFonts w:hint="eastAsia" w:ascii="仿宋_GB2312" w:hAnsi="仿宋_GB2312" w:eastAsia="仿宋_GB2312" w:cs="仿宋_GB2312"/>
          <w:color w:val="auto"/>
          <w:kern w:val="2"/>
          <w:sz w:val="32"/>
          <w:szCs w:val="24"/>
          <w:highlight w:val="none"/>
          <w:lang w:val="en-US" w:eastAsia="zh-CN" w:bidi="ar-SA"/>
        </w:rPr>
        <w:t>利用好我区陶瓷文化团体众多的优势，积极引导社会组织发挥凝聚陶瓷人才弘扬陶瓷文化等作用。站在服务全区发展大局的高度，稳妥批复相关区划调整事项。加快地名信息化建设，规范地名标志</w:t>
      </w:r>
      <w:r>
        <w:rPr>
          <w:rStyle w:val="16"/>
          <w:rFonts w:hint="eastAsia" w:ascii="仿宋_GB2312" w:hAnsi="仿宋_GB2312" w:eastAsia="仿宋_GB2312" w:cs="仿宋_GB2312"/>
          <w:color w:val="auto"/>
          <w:spacing w:val="-11"/>
          <w:kern w:val="2"/>
          <w:sz w:val="32"/>
          <w:szCs w:val="24"/>
          <w:highlight w:val="none"/>
          <w:lang w:val="en-US" w:eastAsia="zh-CN" w:bidi="ar-SA"/>
        </w:rPr>
        <w:t>设置，加强地名文化保护和传承发展，讲好珠山区地名文化故事。</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楷体" w:hAnsi="楷体" w:eastAsia="楷体" w:cs="楷体"/>
          <w:b/>
          <w:bCs/>
          <w:kern w:val="2"/>
          <w:sz w:val="32"/>
          <w:szCs w:val="22"/>
          <w:lang w:val="en-US" w:eastAsia="zh-CN" w:bidi="ar-SA"/>
        </w:rPr>
      </w:pPr>
      <w:r>
        <w:rPr>
          <w:rFonts w:hint="eastAsia" w:ascii="黑体" w:hAnsi="黑体" w:eastAsia="黑体" w:cs="黑体"/>
          <w:b w:val="0"/>
          <w:bCs w:val="0"/>
          <w:sz w:val="32"/>
          <w:szCs w:val="32"/>
          <w:lang w:val="en-US" w:eastAsia="zh-CN"/>
        </w:rPr>
        <w:t>第一节  推进基层政权建设和城乡社区治理</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楷体" w:hAnsi="楷体" w:eastAsia="楷体" w:cs="楷体"/>
          <w:b/>
          <w:bCs/>
          <w:kern w:val="2"/>
          <w:sz w:val="32"/>
          <w:szCs w:val="2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仿宋_GB2312" w:hAnsi="仿宋_GB2312" w:eastAsia="仿宋_GB2312" w:cs="仿宋_GB2312"/>
          <w:color w:val="auto"/>
          <w:kern w:val="2"/>
          <w:sz w:val="32"/>
          <w:szCs w:val="24"/>
          <w:highlight w:val="none"/>
          <w:lang w:val="en-US" w:eastAsia="zh-CN" w:bidi="ar-SA"/>
        </w:rPr>
      </w:pPr>
      <w:r>
        <w:rPr>
          <w:rFonts w:hint="eastAsia" w:ascii="楷体" w:hAnsi="楷体" w:eastAsia="楷体" w:cs="楷体"/>
          <w:b/>
          <w:bCs/>
          <w:kern w:val="2"/>
          <w:sz w:val="32"/>
          <w:szCs w:val="22"/>
          <w:lang w:val="en-US" w:eastAsia="zh-CN" w:bidi="ar-SA"/>
        </w:rPr>
        <w:t>深化城乡基层群众自治。</w:t>
      </w:r>
      <w:r>
        <w:rPr>
          <w:rStyle w:val="16"/>
          <w:rFonts w:hint="eastAsia" w:ascii="仿宋_GB2312" w:hAnsi="仿宋_GB2312" w:eastAsia="仿宋_GB2312" w:cs="仿宋_GB2312"/>
          <w:color w:val="auto"/>
          <w:sz w:val="32"/>
          <w:highlight w:val="none"/>
        </w:rPr>
        <w:t>发挥基层群众性自治组织作用，积极依法推行村（社区）党组织书记“一肩挑”和村（社区）“两委”成员交叉任职。</w:t>
      </w:r>
      <w:r>
        <w:rPr>
          <w:rStyle w:val="16"/>
          <w:rFonts w:hint="eastAsia" w:ascii="仿宋_GB2312" w:hAnsi="仿宋_GB2312" w:eastAsia="仿宋_GB2312" w:cs="仿宋_GB2312"/>
          <w:color w:val="auto"/>
          <w:kern w:val="2"/>
          <w:sz w:val="32"/>
          <w:szCs w:val="24"/>
          <w:highlight w:val="none"/>
          <w:lang w:val="en-US" w:eastAsia="zh-CN" w:bidi="ar-SA"/>
        </w:rPr>
        <w:t>完善群众参与基层社会治理的制度化渠道，</w:t>
      </w:r>
      <w:r>
        <w:rPr>
          <w:rFonts w:hint="eastAsia" w:ascii="仿宋_GB2312" w:hAnsi="仿宋_GB2312" w:eastAsia="仿宋_GB2312" w:cs="仿宋_GB2312"/>
          <w:sz w:val="32"/>
          <w:szCs w:val="32"/>
        </w:rPr>
        <w:t>推动城乡社区全部制定居民自治章程、村民自治章程和居民公约、村规民约，</w:t>
      </w:r>
      <w:r>
        <w:rPr>
          <w:rStyle w:val="16"/>
          <w:rFonts w:hint="eastAsia" w:ascii="仿宋_GB2312" w:hAnsi="仿宋_GB2312" w:eastAsia="仿宋_GB2312" w:cs="仿宋_GB2312"/>
          <w:b w:val="0"/>
          <w:bCs w:val="0"/>
          <w:color w:val="auto"/>
          <w:kern w:val="2"/>
          <w:sz w:val="32"/>
          <w:szCs w:val="24"/>
          <w:highlight w:val="none"/>
          <w:lang w:val="en-US" w:eastAsia="zh-CN" w:bidi="ar-SA"/>
        </w:rPr>
        <w:t>村民自治章程实现全覆盖，</w:t>
      </w:r>
      <w:r>
        <w:rPr>
          <w:rFonts w:hint="eastAsia" w:ascii="仿宋_GB2312" w:hAnsi="仿宋_GB2312" w:eastAsia="仿宋_GB2312" w:cs="仿宋_GB2312"/>
          <w:sz w:val="32"/>
          <w:szCs w:val="32"/>
        </w:rPr>
        <w:t>并在社区治理中发挥重要作用。</w:t>
      </w:r>
      <w:r>
        <w:rPr>
          <w:rFonts w:hint="eastAsia" w:ascii="仿宋_GB2312" w:hAnsi="仿宋_GB2312" w:eastAsia="仿宋_GB2312" w:cs="仿宋_GB2312"/>
          <w:b w:val="0"/>
          <w:bCs w:val="0"/>
          <w:color w:val="auto"/>
          <w:sz w:val="32"/>
          <w:szCs w:val="32"/>
          <w:lang w:val="en-US" w:eastAsia="zh-CN"/>
        </w:rPr>
        <w:t>加强基层群众自治性组织规范化建设，建立城乡基层群众自治领域扫黑除恶常态化机制。</w:t>
      </w:r>
      <w:r>
        <w:rPr>
          <w:rFonts w:hint="eastAsia" w:ascii="仿宋_GB2312" w:hAnsi="仿宋_GB2312" w:eastAsia="仿宋_GB2312" w:cs="仿宋_GB2312"/>
          <w:b w:val="0"/>
          <w:bCs w:val="0"/>
          <w:sz w:val="32"/>
          <w:szCs w:val="32"/>
          <w:lang w:val="en-US" w:eastAsia="zh-CN"/>
        </w:rPr>
        <w:t>大力推进城乡社区协商，深化协商实践，积极培育一批协商示范社区，引导居民群众有序参与。</w:t>
      </w:r>
      <w:r>
        <w:rPr>
          <w:rFonts w:hint="eastAsia" w:ascii="仿宋_GB2312" w:hAnsi="仿宋_GB2312" w:eastAsia="仿宋_GB2312" w:cs="仿宋_GB2312"/>
          <w:sz w:val="32"/>
          <w:szCs w:val="32"/>
        </w:rPr>
        <w:t>推动社区居民委员会设立环境和物业管理委员会，</w:t>
      </w:r>
      <w:r>
        <w:rPr>
          <w:rStyle w:val="16"/>
          <w:rFonts w:hint="eastAsia" w:ascii="仿宋_GB2312" w:hAnsi="仿宋_GB2312" w:eastAsia="仿宋_GB2312" w:cs="仿宋_GB2312"/>
          <w:color w:val="auto"/>
          <w:kern w:val="2"/>
          <w:sz w:val="32"/>
          <w:szCs w:val="24"/>
          <w:highlight w:val="none"/>
          <w:lang w:val="en-US" w:eastAsia="zh-CN" w:bidi="ar-SA"/>
        </w:rPr>
        <w:t>村委会成员中女性比例在现有基础上稳步提高。建强村（居）务监督委员会，完善村（居）务公开制度。</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22"/>
          <w:lang w:val="en-US" w:eastAsia="zh-CN" w:bidi="ar-SA"/>
        </w:rPr>
        <w:t>推进城乡社区治理。</w:t>
      </w:r>
      <w:r>
        <w:rPr>
          <w:rStyle w:val="16"/>
          <w:rFonts w:hint="eastAsia" w:ascii="仿宋_GB2312" w:hAnsi="仿宋_GB2312" w:eastAsia="仿宋_GB2312" w:cs="仿宋_GB2312"/>
          <w:b w:val="0"/>
          <w:bCs w:val="0"/>
          <w:color w:val="auto"/>
          <w:kern w:val="2"/>
          <w:sz w:val="32"/>
          <w:szCs w:val="24"/>
          <w:highlight w:val="none"/>
          <w:lang w:val="en-US" w:eastAsia="zh-CN" w:bidi="ar-SA"/>
        </w:rPr>
        <w:t>加强城乡社区治理和服务体系建设，推进城乡社区基本公共服务均等化。</w:t>
      </w:r>
      <w:r>
        <w:rPr>
          <w:rFonts w:hint="eastAsia" w:ascii="仿宋_GB2312" w:hAnsi="仿宋_GB2312" w:eastAsia="仿宋_GB2312" w:cs="仿宋_GB2312"/>
          <w:b w:val="0"/>
          <w:bCs w:val="0"/>
          <w:color w:val="000000" w:themeColor="text1"/>
          <w:sz w:val="32"/>
          <w:szCs w:val="32"/>
          <w14:textFill>
            <w14:solidFill>
              <w14:schemeClr w14:val="tx1"/>
            </w14:solidFill>
          </w14:textFill>
        </w:rPr>
        <w:t>全面推进政府购买社区服务机制建设，普遍建立政府购买社区服务清单，培育扶持一批具有较强专业性和信誉度的社区服务机构。</w:t>
      </w:r>
      <w:r>
        <w:rPr>
          <w:rStyle w:val="16"/>
          <w:rFonts w:hint="eastAsia" w:ascii="仿宋_GB2312" w:hAnsi="仿宋_GB2312" w:eastAsia="仿宋_GB2312" w:cs="仿宋_GB2312"/>
          <w:color w:val="auto"/>
          <w:kern w:val="2"/>
          <w:sz w:val="32"/>
          <w:szCs w:val="24"/>
          <w:highlight w:val="none"/>
          <w:lang w:val="en-US" w:eastAsia="zh-CN" w:bidi="ar-SA"/>
        </w:rPr>
        <w:t>积极推动民政资源要素向城乡社区下沉，抓好民政元素融入社区工作。分期分批推进城乡社区综合服务中心（站）建设，</w:t>
      </w:r>
      <w:r>
        <w:rPr>
          <w:rStyle w:val="16"/>
          <w:rFonts w:hint="eastAsia" w:ascii="仿宋_GB2312" w:hAnsi="仿宋_GB2312" w:eastAsia="仿宋_GB2312" w:cs="仿宋_GB2312"/>
          <w:b w:val="0"/>
          <w:bCs w:val="0"/>
          <w:color w:val="auto"/>
          <w:kern w:val="2"/>
          <w:sz w:val="32"/>
          <w:szCs w:val="24"/>
          <w:highlight w:val="none"/>
          <w:lang w:val="en-US" w:eastAsia="zh-CN" w:bidi="ar-SA"/>
        </w:rPr>
        <w:t>到2025年，每百户居民拥有的城乡社区综合服务设施建筑面积达到30</w:t>
      </w:r>
      <w:r>
        <w:rPr>
          <w:rStyle w:val="16"/>
          <w:rFonts w:hint="eastAsia" w:ascii="宋体" w:hAnsi="宋体" w:eastAsia="宋体" w:cs="宋体"/>
          <w:b w:val="0"/>
          <w:bCs w:val="0"/>
          <w:color w:val="auto"/>
          <w:kern w:val="2"/>
          <w:sz w:val="32"/>
          <w:szCs w:val="24"/>
          <w:highlight w:val="none"/>
          <w:lang w:val="en-US" w:eastAsia="zh-CN" w:bidi="ar-SA"/>
        </w:rPr>
        <w:t>㎡</w:t>
      </w:r>
      <w:r>
        <w:rPr>
          <w:rStyle w:val="16"/>
          <w:rFonts w:hint="eastAsia" w:ascii="仿宋_GB2312" w:hAnsi="仿宋_GB2312" w:eastAsia="仿宋_GB2312" w:cs="仿宋_GB2312"/>
          <w:b w:val="0"/>
          <w:bCs w:val="0"/>
          <w:color w:val="auto"/>
          <w:kern w:val="2"/>
          <w:sz w:val="32"/>
          <w:szCs w:val="24"/>
          <w:highlight w:val="none"/>
          <w:lang w:val="en-US" w:eastAsia="zh-CN" w:bidi="ar-SA"/>
        </w:rPr>
        <w:t>。以强化为民、便民和安民功能为重点，</w:t>
      </w:r>
      <w:r>
        <w:rPr>
          <w:rFonts w:hint="eastAsia" w:ascii="仿宋_GB2312" w:hAnsi="仿宋_GB2312" w:eastAsia="仿宋_GB2312" w:cs="仿宋_GB2312"/>
          <w:b w:val="0"/>
          <w:bCs w:val="0"/>
          <w:sz w:val="32"/>
          <w:szCs w:val="32"/>
          <w:highlight w:val="none"/>
          <w:lang w:bidi="ar"/>
        </w:rPr>
        <w:t>开展“</w:t>
      </w:r>
      <w:r>
        <w:rPr>
          <w:rFonts w:hint="eastAsia" w:ascii="仿宋_GB2312" w:hAnsi="仿宋_GB2312" w:eastAsia="仿宋_GB2312" w:cs="仿宋_GB2312"/>
          <w:b w:val="0"/>
          <w:bCs w:val="0"/>
          <w:sz w:val="32"/>
          <w:szCs w:val="32"/>
          <w:highlight w:val="none"/>
          <w:lang w:val="en-US" w:eastAsia="zh-CN" w:bidi="ar"/>
        </w:rPr>
        <w:t>幸福社区</w:t>
      </w:r>
      <w:r>
        <w:rPr>
          <w:rFonts w:hint="eastAsia" w:ascii="仿宋_GB2312" w:hAnsi="仿宋_GB2312" w:eastAsia="仿宋_GB2312" w:cs="仿宋_GB2312"/>
          <w:b w:val="0"/>
          <w:bCs w:val="0"/>
          <w:sz w:val="32"/>
          <w:szCs w:val="32"/>
          <w:highlight w:val="none"/>
          <w:lang w:bidi="ar"/>
        </w:rPr>
        <w:t>”</w:t>
      </w:r>
      <w:r>
        <w:rPr>
          <w:rFonts w:hint="eastAsia" w:ascii="仿宋_GB2312" w:hAnsi="仿宋_GB2312" w:eastAsia="仿宋_GB2312" w:cs="仿宋_GB2312"/>
          <w:b w:val="0"/>
          <w:bCs w:val="0"/>
          <w:sz w:val="32"/>
          <w:szCs w:val="32"/>
          <w:highlight w:val="none"/>
          <w:lang w:val="en-US" w:eastAsia="zh-CN" w:bidi="ar"/>
        </w:rPr>
        <w:t>星级评定服务质量</w:t>
      </w:r>
      <w:r>
        <w:rPr>
          <w:rFonts w:hint="eastAsia" w:ascii="仿宋_GB2312" w:hAnsi="仿宋_GB2312" w:eastAsia="仿宋_GB2312" w:cs="仿宋_GB2312"/>
          <w:b w:val="0"/>
          <w:bCs w:val="0"/>
          <w:sz w:val="32"/>
          <w:szCs w:val="32"/>
          <w:highlight w:val="none"/>
          <w:lang w:bidi="ar"/>
        </w:rPr>
        <w:t>提升行动。</w:t>
      </w:r>
      <w:r>
        <w:rPr>
          <w:rFonts w:hint="eastAsia" w:ascii="仿宋_GB2312" w:hAnsi="仿宋_GB2312" w:eastAsia="仿宋_GB2312" w:cs="仿宋_GB2312"/>
          <w:b w:val="0"/>
          <w:bCs w:val="0"/>
          <w:sz w:val="32"/>
          <w:szCs w:val="32"/>
          <w:highlight w:val="none"/>
          <w:lang w:val="en-US" w:eastAsia="zh-CN"/>
        </w:rPr>
        <w:t>积极推进</w:t>
      </w:r>
      <w:r>
        <w:rPr>
          <w:rFonts w:hint="eastAsia" w:ascii="仿宋_GB2312" w:hAnsi="仿宋_GB2312" w:eastAsia="仿宋_GB2312" w:cs="仿宋_GB2312"/>
          <w:b w:val="0"/>
          <w:bCs w:val="0"/>
          <w:sz w:val="32"/>
          <w:szCs w:val="32"/>
          <w:highlight w:val="none"/>
          <w:lang w:bidi="ar"/>
        </w:rPr>
        <w:t>“</w:t>
      </w:r>
      <w:r>
        <w:rPr>
          <w:rFonts w:hint="eastAsia" w:ascii="仿宋_GB2312" w:hAnsi="仿宋_GB2312" w:eastAsia="仿宋_GB2312" w:cs="仿宋_GB2312"/>
          <w:b w:val="0"/>
          <w:bCs w:val="0"/>
          <w:sz w:val="32"/>
          <w:szCs w:val="32"/>
          <w:highlight w:val="none"/>
          <w:lang w:val="en-US" w:eastAsia="zh-CN" w:bidi="ar"/>
        </w:rPr>
        <w:t>幸福社区</w:t>
      </w:r>
      <w:r>
        <w:rPr>
          <w:rFonts w:hint="eastAsia" w:ascii="仿宋_GB2312" w:hAnsi="仿宋_GB2312" w:eastAsia="仿宋_GB2312" w:cs="仿宋_GB2312"/>
          <w:b w:val="0"/>
          <w:bCs w:val="0"/>
          <w:sz w:val="32"/>
          <w:szCs w:val="32"/>
          <w:highlight w:val="none"/>
          <w:lang w:bidi="ar"/>
        </w:rPr>
        <w:t>”</w:t>
      </w:r>
      <w:r>
        <w:rPr>
          <w:rFonts w:hint="eastAsia" w:ascii="仿宋_GB2312" w:hAnsi="仿宋_GB2312" w:eastAsia="仿宋_GB2312" w:cs="仿宋_GB2312"/>
          <w:b w:val="0"/>
          <w:bCs w:val="0"/>
          <w:sz w:val="32"/>
          <w:szCs w:val="32"/>
          <w:highlight w:val="none"/>
          <w:lang w:val="en-US" w:eastAsia="zh-CN"/>
        </w:rPr>
        <w:t>创建活动，</w:t>
      </w:r>
      <w:r>
        <w:rPr>
          <w:rFonts w:hint="eastAsia" w:ascii="仿宋_GB2312" w:hAnsi="仿宋_GB2312" w:eastAsia="仿宋_GB2312" w:cs="仿宋_GB2312"/>
          <w:b w:val="0"/>
          <w:bCs w:val="0"/>
          <w:color w:val="auto"/>
          <w:sz w:val="32"/>
          <w:szCs w:val="32"/>
          <w:lang w:val="en-US" w:eastAsia="zh-CN"/>
        </w:rPr>
        <w:t>配合开展民主法治示范村（社区）创建活动</w:t>
      </w:r>
      <w:r>
        <w:rPr>
          <w:rFonts w:hint="eastAsia" w:ascii="仿宋_GB2312" w:hAnsi="仿宋_GB2312" w:eastAsia="仿宋_GB2312" w:cs="仿宋_GB2312"/>
          <w:b w:val="0"/>
          <w:bCs w:val="0"/>
          <w:sz w:val="32"/>
          <w:szCs w:val="32"/>
          <w:lang w:val="en-US" w:eastAsia="zh-CN"/>
        </w:rPr>
        <w:t>。强化政府搭台，整合社区、社会组织、社会工作者、社会志愿者、社会慈善组织等资源力量，形成社区引导，社工发挥专业优势，社会组织具体实施、志愿者积极参与、慈善组织提供项目支持的“五社”互联、互动、互补的共建共治共享治理模式，开拓社区治理的新局面。</w:t>
      </w:r>
      <w:r>
        <w:rPr>
          <w:rFonts w:hint="eastAsia" w:ascii="仿宋_GB2312" w:hAnsi="仿宋_GB2312" w:eastAsia="仿宋_GB2312" w:cs="仿宋_GB2312"/>
          <w:sz w:val="32"/>
          <w:szCs w:val="32"/>
          <w:lang w:val="en-US" w:eastAsia="zh-CN"/>
        </w:rPr>
        <w:t>加强城乡社区工作者队伍建设，进一步落实报酬待遇，强化培训教育，优化队伍结构。</w:t>
      </w:r>
    </w:p>
    <w:p>
      <w:pPr>
        <w:pStyle w:val="2"/>
        <w:pageBreakBefore w:val="0"/>
        <w:kinsoku/>
        <w:wordWrap/>
        <w:overflowPunct/>
        <w:topLinePunct w:val="0"/>
        <w:autoSpaceDE/>
        <w:autoSpaceDN/>
        <w:bidi w:val="0"/>
        <w:spacing w:line="560" w:lineRule="exact"/>
        <w:rPr>
          <w:rFonts w:hint="eastAsia"/>
          <w:lang w:val="en-US" w:eastAsia="zh-CN"/>
        </w:rPr>
      </w:pP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jc w:val="center"/>
        <w:textAlignment w:val="baseline"/>
        <w:rPr>
          <w:rFonts w:hint="eastAsia" w:ascii="楷体" w:hAnsi="楷体" w:eastAsia="楷体" w:cs="楷体"/>
          <w:b/>
          <w:bCs/>
          <w:kern w:val="2"/>
          <w:sz w:val="32"/>
          <w:szCs w:val="22"/>
          <w:lang w:val="en-US" w:eastAsia="zh-CN" w:bidi="ar-SA"/>
        </w:rPr>
      </w:pPr>
      <w:r>
        <w:rPr>
          <w:rFonts w:hint="eastAsia" w:ascii="黑体" w:hAnsi="黑体" w:eastAsia="黑体" w:cs="黑体"/>
          <w:b w:val="0"/>
          <w:bCs w:val="0"/>
          <w:sz w:val="32"/>
          <w:szCs w:val="32"/>
          <w:lang w:val="en-US" w:eastAsia="zh-CN"/>
        </w:rPr>
        <w:t xml:space="preserve"> 加强社会组织服务和管理</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楷体" w:hAnsi="楷体" w:eastAsia="楷体" w:cs="楷体"/>
          <w:b/>
          <w:bCs/>
          <w:kern w:val="2"/>
          <w:sz w:val="32"/>
          <w:szCs w:val="2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22"/>
          <w:lang w:val="en-US" w:eastAsia="zh-CN" w:bidi="ar-SA"/>
        </w:rPr>
        <w:t>强化社会组织党的建设。</w:t>
      </w:r>
      <w:r>
        <w:rPr>
          <w:rFonts w:hint="eastAsia" w:ascii="仿宋_GB2312" w:hAnsi="仿宋_GB2312" w:eastAsia="仿宋_GB2312" w:cs="仿宋_GB2312"/>
          <w:sz w:val="32"/>
          <w:szCs w:val="32"/>
          <w:lang w:val="en-US" w:eastAsia="zh-CN"/>
        </w:rPr>
        <w:t>坚持党的领导与社会组织依法自治相统一，把党的工作融入社会组织运行和发展过程。进一步落实党建工作与登记、年检（年报）、评估“三同步”制度，按照应建尽建原则，持续推进社会组织党的组织和党的工作从有形覆盖向有效覆盖转化。</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kern w:val="2"/>
          <w:sz w:val="32"/>
          <w:szCs w:val="22"/>
          <w:highlight w:val="none"/>
          <w:lang w:val="en-US" w:eastAsia="zh-CN" w:bidi="ar-SA"/>
        </w:rPr>
        <w:t>持续深化登记管理改革。</w:t>
      </w:r>
      <w:r>
        <w:rPr>
          <w:rFonts w:hint="eastAsia" w:ascii="仿宋_GB2312" w:hAnsi="仿宋_GB2312" w:eastAsia="仿宋_GB2312" w:cs="仿宋_GB2312"/>
          <w:sz w:val="32"/>
          <w:szCs w:val="32"/>
          <w:highlight w:val="none"/>
          <w:lang w:val="en-US" w:eastAsia="zh-CN"/>
        </w:rPr>
        <w:t>进一步深化登记管理“放管服”改革，理顺登记管理流程机制，推动实现登记管理规范化标准化。加强社会组织分类管理。深化行业协会商会脱钩改革。健全社会组织评估机制。</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22"/>
          <w:lang w:val="en-US" w:eastAsia="zh-CN" w:bidi="ar-SA"/>
        </w:rPr>
        <w:t>加大基层社会组织培育扶持力度。</w:t>
      </w:r>
      <w:r>
        <w:rPr>
          <w:rFonts w:hint="eastAsia" w:ascii="仿宋" w:hAnsi="仿宋" w:eastAsia="仿宋" w:cs="仿宋"/>
          <w:sz w:val="32"/>
          <w:szCs w:val="32"/>
          <w:lang w:val="en-US" w:eastAsia="zh-CN"/>
        </w:rPr>
        <w:t>推动</w:t>
      </w:r>
      <w:r>
        <w:rPr>
          <w:rFonts w:hint="eastAsia" w:ascii="仿宋" w:hAnsi="仿宋" w:eastAsia="仿宋" w:cs="仿宋"/>
          <w:sz w:val="32"/>
          <w:szCs w:val="32"/>
          <w:highlight w:val="none"/>
          <w:lang w:val="en-US" w:eastAsia="zh-CN"/>
        </w:rPr>
        <w:t>区</w:t>
      </w:r>
      <w:r>
        <w:rPr>
          <w:rFonts w:hint="eastAsia" w:ascii="仿宋_GB2312" w:hAnsi="仿宋_GB2312" w:eastAsia="仿宋_GB2312" w:cs="仿宋_GB2312"/>
          <w:sz w:val="32"/>
          <w:szCs w:val="32"/>
          <w:lang w:val="en-US" w:eastAsia="zh-CN"/>
        </w:rPr>
        <w:t>社会组织孵化培育基地平台建设。大力培育扶持发展社区社会组织，积极引导社会组织参与社会治理、助力乡村振兴。</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22"/>
          <w:lang w:val="en-US" w:eastAsia="zh-CN" w:bidi="ar-SA"/>
        </w:rPr>
        <w:t>提升社会组织监管效能。</w:t>
      </w:r>
      <w:r>
        <w:rPr>
          <w:rFonts w:hint="eastAsia" w:ascii="仿宋_GB2312" w:hAnsi="仿宋_GB2312" w:eastAsia="仿宋_GB2312" w:cs="仿宋_GB2312"/>
          <w:sz w:val="32"/>
          <w:szCs w:val="32"/>
          <w:lang w:val="en-US" w:eastAsia="zh-CN"/>
        </w:rPr>
        <w:t>建立行业协会商会收费长效监管机制。加强直接登记和脱钩社会组织各部门综合监管，推动行业管理部门加强行业指导、行业服务和行业监管。强化业务主管单位、行业管理部门社会组织风险防范主体责任。推动社会组织部门联合执法，严厉打击非法社会组织，依法查处社会组织违法违规行为。加强社会组织信用体系建设，推动守信联合激励和失信联合惩戒。</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第三节  大力发展慈善、社会工作和志愿服务</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楷体" w:hAnsi="楷体" w:eastAsia="楷体" w:cs="楷体"/>
          <w:b/>
          <w:bCs/>
          <w:kern w:val="2"/>
          <w:sz w:val="32"/>
          <w:szCs w:val="2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pacing w:val="-6"/>
          <w:sz w:val="32"/>
          <w:szCs w:val="32"/>
          <w:highlight w:val="green"/>
          <w:lang w:val="en-US" w:eastAsia="zh-CN"/>
        </w:rPr>
      </w:pPr>
      <w:r>
        <w:rPr>
          <w:rFonts w:hint="eastAsia" w:ascii="楷体" w:hAnsi="楷体" w:eastAsia="楷体" w:cs="楷体"/>
          <w:b/>
          <w:bCs/>
          <w:kern w:val="2"/>
          <w:sz w:val="32"/>
          <w:szCs w:val="22"/>
          <w:lang w:val="en-US" w:eastAsia="zh-CN" w:bidi="ar-SA"/>
        </w:rPr>
        <w:t>推动慈善事业全面发展。</w:t>
      </w:r>
      <w:r>
        <w:rPr>
          <w:rFonts w:hint="eastAsia" w:ascii="仿宋_GB2312" w:hAnsi="仿宋_GB2312" w:eastAsia="仿宋_GB2312" w:cs="仿宋_GB2312"/>
          <w:b w:val="0"/>
          <w:bCs w:val="0"/>
          <w:sz w:val="32"/>
          <w:szCs w:val="32"/>
          <w:lang w:val="en-US" w:eastAsia="zh-CN"/>
        </w:rPr>
        <w:t>进一步推动落实《慈善法》和《江西省实施&lt;慈善法&gt;办法》，营造慈善组织培育发展的良好政策法规环境。培育发展社区慈善组织，</w:t>
      </w:r>
      <w:r>
        <w:rPr>
          <w:rFonts w:hint="eastAsia" w:ascii="仿宋_GB2312" w:hAnsi="仿宋_GB2312" w:eastAsia="仿宋_GB2312" w:cs="仿宋_GB2312"/>
          <w:sz w:val="32"/>
          <w:szCs w:val="32"/>
          <w:lang w:val="en-US" w:eastAsia="zh-CN"/>
        </w:rPr>
        <w:t>鼓励和支持慈善组织和慈善力量积极参与乡村振兴、扶贫济困、养老服务、儿童关爱、社会治理等。加强对慈善组织和慈善活动监管，畅通社会公众对慈善活动的监督渠道，依法及时查处慈善领域违法违规行为，构建政府监管、社会监督、行业自律相结合的综合监管体系。建立“公益慈善项目库”，促进慈善需求和慈善资源的有效对接，加强社会救助和慈善救助的有效</w:t>
      </w:r>
      <w:r>
        <w:rPr>
          <w:rFonts w:hint="eastAsia" w:ascii="仿宋_GB2312" w:hAnsi="仿宋_GB2312" w:eastAsia="仿宋_GB2312" w:cs="仿宋_GB2312"/>
          <w:spacing w:val="-6"/>
          <w:sz w:val="32"/>
          <w:szCs w:val="32"/>
          <w:lang w:val="en-US" w:eastAsia="zh-CN"/>
        </w:rPr>
        <w:t>衔接。积极推动开展“中华慈善日”宣传和“赣鄱慈善奖”评选活动，鼓励社会公众和企业积极参与社会公益和慈善事业。</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pacing w:val="-6"/>
          <w:kern w:val="2"/>
          <w:sz w:val="32"/>
          <w:szCs w:val="22"/>
          <w:lang w:val="en-US" w:eastAsia="zh-CN" w:bidi="ar-SA"/>
        </w:rPr>
      </w:pPr>
      <w:r>
        <w:rPr>
          <w:rFonts w:hint="eastAsia" w:ascii="楷体" w:hAnsi="楷体" w:eastAsia="楷体" w:cs="楷体"/>
          <w:b/>
          <w:bCs/>
          <w:kern w:val="2"/>
          <w:sz w:val="32"/>
          <w:szCs w:val="22"/>
          <w:lang w:val="en-US" w:eastAsia="zh-CN" w:bidi="ar-SA"/>
        </w:rPr>
        <w:t>构建社会工作服务体系。</w:t>
      </w:r>
      <w:r>
        <w:rPr>
          <w:rFonts w:hint="eastAsia" w:ascii="仿宋_GB2312" w:hAnsi="仿宋_GB2312" w:eastAsia="仿宋_GB2312" w:cs="仿宋_GB2312"/>
          <w:b w:val="0"/>
          <w:bCs w:val="0"/>
          <w:kern w:val="2"/>
          <w:sz w:val="32"/>
          <w:szCs w:val="22"/>
          <w:lang w:val="en-US" w:eastAsia="zh-CN" w:bidi="ar-SA"/>
        </w:rPr>
        <w:t>强化社会工作在保障和改善民生、加强和创新社会治理中的积极作用，以“组队伍、建阵地、抓项目”为着力点，加快社会工作服务体系建设，推动社会工作提质增效。打造一支队伍。建立“社会工作者+志愿者”服务队伍。动员社区工作人员、企事业单位职工、社会人士参加全国社会工作者职业资格报名考试，组织社会工作师考前培训，抓实能力提升，充实人才队伍。建设一个阵地。依托珠山区社会组织培育发展创新基地，在珠山区范围内完成民政服务站100%覆盖，配备设施设备，同时不断完善民政服务站运营管理制度。引进社会组织入驻各街道，围绕“一老一小”等重点工作开展特色服务。抓实一个项目，通过项目化服务的形式，依托</w:t>
      </w:r>
      <w:r>
        <w:rPr>
          <w:rFonts w:hint="eastAsia" w:ascii="仿宋_GB2312" w:hAnsi="仿宋_GB2312" w:eastAsia="仿宋_GB2312" w:cs="仿宋_GB2312"/>
          <w:b w:val="0"/>
          <w:bCs w:val="0"/>
          <w:spacing w:val="-6"/>
          <w:kern w:val="2"/>
          <w:sz w:val="32"/>
          <w:szCs w:val="22"/>
          <w:lang w:val="en-US" w:eastAsia="zh-CN" w:bidi="ar-SA"/>
        </w:rPr>
        <w:t>“公益创投创新项目大赛”开展特色社会工作服务项目，以项目化服务的形式，促进民政服务站服务常态化和专业化。</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pacing w:val="-6"/>
          <w:kern w:val="2"/>
          <w:sz w:val="32"/>
          <w:szCs w:val="22"/>
          <w:lang w:val="en-US" w:eastAsia="zh-CN" w:bidi="ar-SA"/>
        </w:rPr>
      </w:pPr>
      <w:r>
        <w:rPr>
          <w:rFonts w:hint="eastAsia" w:ascii="楷体" w:hAnsi="楷体" w:eastAsia="楷体" w:cs="楷体"/>
          <w:b/>
          <w:bCs/>
          <w:kern w:val="2"/>
          <w:sz w:val="32"/>
          <w:szCs w:val="22"/>
          <w:lang w:val="en-US" w:eastAsia="zh-CN" w:bidi="ar-SA"/>
        </w:rPr>
        <w:t>激发社工人才创新活力。</w:t>
      </w:r>
      <w:r>
        <w:rPr>
          <w:rFonts w:hint="eastAsia" w:ascii="仿宋_GB2312" w:hAnsi="仿宋_GB2312" w:eastAsia="仿宋_GB2312" w:cs="仿宋_GB2312"/>
          <w:b w:val="0"/>
          <w:bCs w:val="0"/>
          <w:kern w:val="2"/>
          <w:sz w:val="32"/>
          <w:szCs w:val="22"/>
          <w:lang w:val="en-US" w:eastAsia="zh-CN" w:bidi="ar-SA"/>
        </w:rPr>
        <w:t>支持社工人才依托社会工作服务机构等，开展特色服务和品牌建设，开发设计满足社会个性化和多样化需求的社会工作服务产品和服务模式。完善社区、社会组织、社会工作者联动机制，发挥好社区志愿者、</w:t>
      </w:r>
      <w:r>
        <w:rPr>
          <w:rFonts w:hint="eastAsia" w:ascii="仿宋_GB2312" w:hAnsi="仿宋_GB2312" w:eastAsia="仿宋_GB2312" w:cs="仿宋_GB2312"/>
          <w:b w:val="0"/>
          <w:bCs w:val="0"/>
          <w:spacing w:val="-6"/>
          <w:kern w:val="2"/>
          <w:sz w:val="32"/>
          <w:szCs w:val="22"/>
          <w:lang w:val="en-US" w:eastAsia="zh-CN" w:bidi="ar-SA"/>
        </w:rPr>
        <w:t>社会慈善资源协同作用，提升基层社区治理和社会服务水平。</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kern w:val="2"/>
          <w:sz w:val="32"/>
          <w:szCs w:val="22"/>
          <w:lang w:val="en-US" w:eastAsia="zh-CN" w:bidi="ar-SA"/>
        </w:rPr>
      </w:pPr>
      <w:r>
        <w:rPr>
          <w:rFonts w:hint="eastAsia" w:ascii="楷体" w:hAnsi="楷体" w:eastAsia="楷体" w:cs="楷体"/>
          <w:b/>
          <w:bCs/>
          <w:kern w:val="2"/>
          <w:sz w:val="32"/>
          <w:szCs w:val="22"/>
          <w:lang w:val="en-US" w:eastAsia="zh-CN" w:bidi="ar-SA"/>
        </w:rPr>
        <w:t>完善志愿服务体系。</w:t>
      </w:r>
      <w:r>
        <w:rPr>
          <w:rFonts w:hint="eastAsia" w:ascii="仿宋_GB2312" w:hAnsi="仿宋_GB2312" w:eastAsia="仿宋_GB2312" w:cs="仿宋_GB2312"/>
          <w:b w:val="0"/>
          <w:bCs w:val="0"/>
          <w:kern w:val="2"/>
          <w:sz w:val="32"/>
          <w:szCs w:val="22"/>
          <w:lang w:val="en-US" w:eastAsia="zh-CN" w:bidi="ar-SA"/>
        </w:rPr>
        <w:t>引导全区志愿服务组织利用中国志愿服务网平台开展志愿服务活动，完善志愿服务信息记录管理，规范志愿服务开展。组织开展学习贯彻《志愿服务记录与证明出具办法（试行）》，做好志愿服务记录和证明出具监督管理。持续推进全市志愿服务信息数据归集和管理。到2025年，全区注册志愿者达到5万人。</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pacing w:val="0"/>
          <w:sz w:val="32"/>
          <w:szCs w:val="32"/>
        </w:rPr>
      </w:pPr>
      <w:r>
        <w:rPr>
          <w:rFonts w:hint="eastAsia" w:ascii="楷体" w:hAnsi="楷体" w:eastAsia="楷体" w:cs="楷体"/>
          <w:b/>
          <w:bCs/>
          <w:kern w:val="2"/>
          <w:sz w:val="32"/>
          <w:szCs w:val="22"/>
          <w:lang w:val="en-US" w:eastAsia="zh-CN" w:bidi="ar-SA"/>
        </w:rPr>
        <w:t>强化志愿服务社会参与。</w:t>
      </w:r>
      <w:r>
        <w:rPr>
          <w:rFonts w:hint="eastAsia" w:ascii="仿宋_GB2312" w:hAnsi="仿宋_GB2312" w:eastAsia="仿宋_GB2312" w:cs="仿宋_GB2312"/>
          <w:sz w:val="32"/>
          <w:szCs w:val="32"/>
        </w:rPr>
        <w:t>推动乡镇(街道)、城乡社区依托社区综合服务设施、社会工作站建设志愿服务站点，为群众参与和接受志愿服务提供便利条件。推动养老机构、儿童福利机构、未成年人救助保护机构、婚姻登记机关、城乡社区等设置相对稳定的志愿服务岗位，在社会救助、移风易俗、养老助残、儿童福利和保护等领域组织开展专项志愿服务活</w:t>
      </w:r>
      <w:r>
        <w:rPr>
          <w:rFonts w:hint="eastAsia" w:ascii="仿宋_GB2312" w:hAnsi="仿宋_GB2312" w:eastAsia="仿宋_GB2312" w:cs="仿宋_GB2312"/>
          <w:spacing w:val="-11"/>
          <w:sz w:val="32"/>
          <w:szCs w:val="32"/>
        </w:rPr>
        <w:t>动，推动民政领域志愿服务精准化、常态化、专业化，争取</w:t>
      </w:r>
      <w:r>
        <w:rPr>
          <w:rFonts w:hint="eastAsia" w:ascii="仿宋_GB2312" w:hAnsi="仿宋_GB2312" w:eastAsia="仿宋_GB2312" w:cs="仿宋_GB2312"/>
          <w:spacing w:val="0"/>
          <w:sz w:val="32"/>
          <w:szCs w:val="32"/>
        </w:rPr>
        <w:t>在民政领域涌现出一批叫得响、立得住的志愿服务品牌项目和组织。</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第四节  稳妥推进行政区划和行政区域管理</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楷体" w:hAnsi="楷体" w:eastAsia="楷体" w:cs="楷体"/>
          <w:b/>
          <w:bCs/>
          <w:kern w:val="2"/>
          <w:sz w:val="32"/>
          <w:szCs w:val="22"/>
          <w:lang w:val="en-US" w:eastAsia="zh-CN" w:bidi="ar-SA"/>
        </w:rPr>
      </w:pP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olor w:val="auto"/>
          <w:kern w:val="2"/>
          <w:sz w:val="32"/>
          <w:szCs w:val="24"/>
          <w:highlight w:val="none"/>
          <w:lang w:val="en-US" w:eastAsia="zh-CN" w:bidi="ar-SA"/>
        </w:rPr>
      </w:pPr>
      <w:r>
        <w:rPr>
          <w:rFonts w:hint="eastAsia" w:ascii="楷体" w:hAnsi="楷体" w:eastAsia="楷体" w:cs="楷体"/>
          <w:b/>
          <w:bCs/>
          <w:kern w:val="2"/>
          <w:sz w:val="32"/>
          <w:szCs w:val="22"/>
          <w:lang w:val="en-US" w:eastAsia="zh-CN" w:bidi="ar-SA"/>
        </w:rPr>
        <w:t>优化行政区划设置。</w:t>
      </w:r>
      <w:r>
        <w:rPr>
          <w:rStyle w:val="16"/>
          <w:rFonts w:hint="eastAsia" w:ascii="Times New Roman" w:hAnsi="Times New Roman" w:eastAsia="仿宋_GB2312"/>
          <w:color w:val="auto"/>
          <w:kern w:val="2"/>
          <w:sz w:val="32"/>
          <w:szCs w:val="24"/>
          <w:highlight w:val="none"/>
          <w:lang w:val="en-US" w:eastAsia="zh-CN" w:bidi="ar-SA"/>
        </w:rPr>
        <w:t>深入开展优化行政区划设置理论研究，完善行政区划变更专家论证、风险评估、征求社会公众意见等制度，进一步规范乡级行政区划变更申报审批程序。强化政府驻地迁移、行政区划变更组织实施完成情况管理，有序组织行政区划调整效果评估。科学规范开展行政区划调整审核报批，统筹推进符合条件的地区村改社区。</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olor w:val="auto"/>
          <w:kern w:val="2"/>
          <w:sz w:val="32"/>
          <w:szCs w:val="24"/>
          <w:highlight w:val="none"/>
          <w:lang w:val="en-US" w:eastAsia="zh-CN" w:bidi="ar-SA"/>
        </w:rPr>
      </w:pPr>
      <w:r>
        <w:rPr>
          <w:rFonts w:hint="eastAsia" w:ascii="楷体" w:hAnsi="楷体" w:eastAsia="楷体" w:cs="楷体"/>
          <w:b/>
          <w:bCs/>
          <w:kern w:val="2"/>
          <w:sz w:val="32"/>
          <w:szCs w:val="22"/>
          <w:lang w:val="en-US" w:eastAsia="zh-CN" w:bidi="ar-SA"/>
        </w:rPr>
        <w:t>加强行政区域界线管理。</w:t>
      </w:r>
      <w:r>
        <w:rPr>
          <w:rStyle w:val="16"/>
          <w:rFonts w:hint="eastAsia" w:ascii="Times New Roman" w:hAnsi="Times New Roman" w:eastAsia="仿宋_GB2312"/>
          <w:color w:val="auto"/>
          <w:kern w:val="2"/>
          <w:sz w:val="32"/>
          <w:szCs w:val="24"/>
          <w:highlight w:val="none"/>
          <w:lang w:val="en-US" w:eastAsia="zh-CN" w:bidi="ar-SA"/>
        </w:rPr>
        <w:t>积极开展界线争议隐患排查和乡界联检工作。加强界线界桩管理，开展行政区划调整后行政区域界线勘定，深化平安边界建设</w:t>
      </w:r>
      <w:bookmarkStart w:id="25" w:name="_Toc16642"/>
      <w:bookmarkStart w:id="26" w:name="_Toc5412"/>
      <w:bookmarkStart w:id="27" w:name="_Toc2090"/>
      <w:bookmarkStart w:id="28" w:name="_Toc9180"/>
      <w:r>
        <w:rPr>
          <w:rStyle w:val="16"/>
          <w:rFonts w:hint="eastAsia" w:ascii="Times New Roman" w:hAnsi="Times New Roman" w:eastAsia="仿宋_GB2312"/>
          <w:color w:val="auto"/>
          <w:kern w:val="2"/>
          <w:sz w:val="32"/>
          <w:szCs w:val="24"/>
          <w:highlight w:val="none"/>
          <w:lang w:val="en-US" w:eastAsia="zh-CN" w:bidi="ar-SA"/>
        </w:rPr>
        <w:t>。</w:t>
      </w:r>
    </w:p>
    <w:p>
      <w:pPr>
        <w:pStyle w:val="2"/>
        <w:pageBreakBefore w:val="0"/>
        <w:kinsoku/>
        <w:wordWrap/>
        <w:overflowPunct/>
        <w:topLinePunct w:val="0"/>
        <w:autoSpaceDE/>
        <w:autoSpaceDN/>
        <w:bidi w:val="0"/>
        <w:spacing w:line="560" w:lineRule="exact"/>
        <w:rPr>
          <w:rStyle w:val="16"/>
          <w:rFonts w:hint="eastAsia" w:ascii="Times New Roman" w:hAnsi="Times New Roman" w:eastAsia="仿宋_GB2312"/>
          <w:color w:val="auto"/>
          <w:kern w:val="2"/>
          <w:sz w:val="32"/>
          <w:szCs w:val="24"/>
          <w:highlight w:val="none"/>
          <w:lang w:val="en-US" w:eastAsia="zh-CN" w:bidi="ar-S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8628" w:type="dxa"/>
            <w:tcBorders>
              <w:top w:val="single" w:color="auto" w:sz="4" w:space="0"/>
              <w:left w:val="single" w:color="auto" w:sz="4" w:space="0"/>
              <w:bottom w:val="single" w:color="auto" w:sz="4" w:space="0"/>
              <w:right w:val="single" w:color="auto" w:sz="4" w:space="0"/>
            </w:tcBorders>
            <w:shd w:val="clear" w:color="auto" w:fill="948A54"/>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专栏</w:t>
            </w:r>
            <w:r>
              <w:rPr>
                <w:rFonts w:hint="eastAsia" w:ascii="方正黑体_GBK" w:hAnsi="方正黑体_GBK" w:eastAsia="方正黑体_GBK" w:cs="方正黑体_GBK"/>
                <w:b/>
                <w:bCs/>
                <w:sz w:val="28"/>
                <w:szCs w:val="28"/>
                <w:lang w:val="en-US" w:eastAsia="zh-CN"/>
              </w:rPr>
              <w:t>2</w:t>
            </w:r>
            <w:r>
              <w:rPr>
                <w:rFonts w:hint="eastAsia" w:ascii="方正黑体_GBK" w:hAnsi="方正黑体_GBK" w:eastAsia="方正黑体_GBK" w:cs="方正黑体_GBK"/>
                <w:b/>
                <w:bCs/>
                <w:sz w:val="28"/>
                <w:szCs w:val="28"/>
              </w:rPr>
              <w:t>：社会治理体系和治理能力提升工程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8" w:hRule="atLeast"/>
          <w:jc w:val="center"/>
        </w:trPr>
        <w:tc>
          <w:tcPr>
            <w:tcW w:w="8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baseline"/>
              <w:rPr>
                <w:rFonts w:hint="eastAsia" w:ascii="方正仿宋_GBK" w:hAnsi="方正仿宋_GBK" w:eastAsia="方正仿宋_GBK" w:cs="方正仿宋_GBK"/>
                <w:b/>
                <w:bCs/>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zh-CN"/>
                <w14:textFill>
                  <w14:solidFill>
                    <w14:schemeClr w14:val="tx1"/>
                  </w14:solidFill>
                </w14:textFill>
              </w:rPr>
              <w:t>1.城乡社区服务提质增效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baseline"/>
              <w:rPr>
                <w:rFonts w:hint="default" w:ascii="方正仿宋_GBK" w:hAnsi="方正仿宋_GBK" w:eastAsia="方正仿宋_GBK" w:cs="方正仿宋_GBK"/>
                <w:color w:val="C00000"/>
                <w:sz w:val="24"/>
                <w:szCs w:val="24"/>
                <w:lang w:val="en-US"/>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大力提升社区服务设施建设，补齐基本公共服务设施短板，增强非基本公共服务设施弱项，提升公共服务质量水平，加强社区服务场所改造提升建设。到2025年，每百户居民拥有的城乡社区综合服务设施建筑面积达到30㎡。实现社区综合服务设施全覆盖，农村社区综合服务设施覆盖率达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baseline"/>
              <w:rPr>
                <w:rFonts w:hint="eastAsia" w:ascii="方正仿宋_GBK" w:hAnsi="方正仿宋_GBK" w:eastAsia="方正仿宋_GBK" w:cs="方正仿宋_GBK"/>
                <w:b/>
                <w:bCs/>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lang w:val="zh-CN"/>
                <w14:textFill>
                  <w14:solidFill>
                    <w14:schemeClr w14:val="tx1"/>
                  </w14:solidFill>
                </w14:textFill>
              </w:rPr>
              <w:t>.</w:t>
            </w:r>
            <w:r>
              <w:rPr>
                <w:rFonts w:hint="eastAsia" w:ascii="方正仿宋_GBK" w:hAnsi="方正仿宋_GBK" w:eastAsia="方正仿宋_GBK" w:cs="方正仿宋_GBK"/>
                <w:b/>
                <w:bCs/>
                <w:color w:val="000000" w:themeColor="text1"/>
                <w:sz w:val="24"/>
                <w:szCs w:val="24"/>
                <w14:textFill>
                  <w14:solidFill>
                    <w14:schemeClr w14:val="tx1"/>
                  </w14:solidFill>
                </w14:textFill>
              </w:rPr>
              <w:t>社会组织孵化基地建设</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baseline"/>
              <w:rPr>
                <w:rFonts w:hint="eastAsia" w:ascii="方正仿宋_GBK" w:hAnsi="方正仿宋_GBK" w:eastAsia="方正仿宋_GBK" w:cs="方正仿宋_GBK"/>
                <w:color w:val="C00000"/>
                <w:sz w:val="24"/>
                <w:szCs w:val="24"/>
                <w:lang w:val="zh-CN"/>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加大社区社会组织培育力度，支持引导社会组织参与社会治理提供公共服务，加强培育孵化基地建设，</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全区打造1个以上示范性社会组织综合服务平台（孵化基地）开展社会组织评估，</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实施社会组织人才培养工程。</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提供专业技能培训、管理经验输出、活动场地和经费、人才队伍建设等方面的支持，重点培育行业性、公益性、枢纽型以及提供养老、助残、儿童福利和保护等基本社会服务的社会组织。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jc w:val="center"/>
        </w:trPr>
        <w:tc>
          <w:tcPr>
            <w:tcW w:w="86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baseline"/>
              <w:rPr>
                <w:rFonts w:hint="eastAsia" w:ascii="方正仿宋_GBK" w:hAnsi="方正仿宋_GBK" w:eastAsia="方正仿宋_GBK" w:cs="方正仿宋_GBK"/>
                <w:b/>
                <w:bCs/>
                <w:sz w:val="24"/>
                <w:szCs w:val="24"/>
                <w:lang w:val="zh-CN"/>
              </w:rPr>
            </w:pPr>
            <w:r>
              <w:rPr>
                <w:rFonts w:hint="eastAsia" w:ascii="方正仿宋_GBK" w:hAnsi="方正仿宋_GBK" w:eastAsia="方正仿宋_GBK" w:cs="方正仿宋_GBK"/>
                <w:b/>
                <w:bCs/>
                <w:sz w:val="24"/>
                <w:szCs w:val="24"/>
              </w:rPr>
              <w:t>3</w:t>
            </w:r>
            <w:r>
              <w:rPr>
                <w:rFonts w:hint="eastAsia" w:ascii="方正仿宋_GBK" w:hAnsi="方正仿宋_GBK" w:eastAsia="方正仿宋_GBK" w:cs="方正仿宋_GBK"/>
                <w:b/>
                <w:bCs/>
                <w:sz w:val="24"/>
                <w:szCs w:val="24"/>
                <w:lang w:val="zh-CN"/>
              </w:rPr>
              <w:t>.行政区划变更效果评估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baseline"/>
              <w:rPr>
                <w:rFonts w:hint="default" w:ascii="方正仿宋_GBK" w:hAnsi="方正仿宋_GBK" w:eastAsia="方正仿宋_GBK" w:cs="方正仿宋_GBK"/>
                <w:b/>
                <w:bCs/>
                <w:sz w:val="24"/>
                <w:szCs w:val="24"/>
                <w:lang w:val="en-US"/>
              </w:rPr>
            </w:pPr>
            <w:r>
              <w:rPr>
                <w:rFonts w:hint="eastAsia" w:ascii="方正仿宋_GBK" w:hAnsi="方正仿宋_GBK" w:eastAsia="方正仿宋_GBK" w:cs="方正仿宋_GBK"/>
                <w:sz w:val="24"/>
                <w:szCs w:val="24"/>
                <w:lang w:val="zh-CN"/>
              </w:rPr>
              <w:t>健全完善行政区划变更效果评估工作机制，</w:t>
            </w:r>
            <w:r>
              <w:rPr>
                <w:rFonts w:hint="eastAsia" w:ascii="方正仿宋_GBK" w:hAnsi="方正仿宋_GBK" w:eastAsia="方正仿宋_GBK" w:cs="方正仿宋_GBK"/>
                <w:sz w:val="24"/>
                <w:szCs w:val="24"/>
                <w:lang w:val="en-US" w:eastAsia="zh-CN"/>
              </w:rPr>
              <w:t>根据区划调整类型，合理设定评估时段和期数，对本辖区内由国务院审批的行政区划调整展开评估。完善行政区划变更风险评估、专家论证、征求社会公众意见等制度，科学规范开展行政区划变更申报审批。开展</w:t>
            </w:r>
            <w:r>
              <w:rPr>
                <w:rFonts w:hint="eastAsia" w:ascii="方正仿宋_GBK" w:hAnsi="方正仿宋_GBK" w:eastAsia="方正仿宋_GBK" w:cs="方正仿宋_GBK"/>
                <w:sz w:val="24"/>
                <w:szCs w:val="24"/>
                <w:highlight w:val="none"/>
                <w:lang w:val="en-US" w:eastAsia="zh-CN"/>
              </w:rPr>
              <w:t>区</w:t>
            </w:r>
            <w:r>
              <w:rPr>
                <w:rFonts w:hint="eastAsia" w:ascii="方正仿宋_GBK" w:hAnsi="方正仿宋_GBK" w:eastAsia="方正仿宋_GBK" w:cs="方正仿宋_GBK"/>
                <w:sz w:val="24"/>
                <w:szCs w:val="24"/>
                <w:lang w:val="en-US" w:eastAsia="zh-CN"/>
              </w:rPr>
              <w:t>级行政区划变更效果评估，督促行政区划变更落地。</w:t>
            </w:r>
          </w:p>
        </w:tc>
      </w:tr>
    </w:tbl>
    <w:p>
      <w:pPr>
        <w:pageBreakBefore w:val="0"/>
        <w:kinsoku/>
        <w:wordWrap/>
        <w:overflowPunct/>
        <w:topLinePunct w:val="0"/>
        <w:autoSpaceDE/>
        <w:autoSpaceDN/>
        <w:bidi w:val="0"/>
        <w:spacing w:line="560" w:lineRule="exact"/>
        <w:rPr>
          <w:rFonts w:hint="eastAsia"/>
          <w:sz w:val="32"/>
          <w:szCs w:val="32"/>
          <w:lang w:val="en-US" w:eastAsia="zh-CN"/>
        </w:rPr>
      </w:pPr>
    </w:p>
    <w:p>
      <w:pPr>
        <w:pStyle w:val="3"/>
        <w:pageBreakBefore w:val="0"/>
        <w:widowControl w:val="0"/>
        <w:numPr>
          <w:ilvl w:val="0"/>
          <w:numId w:val="2"/>
        </w:numPr>
        <w:kinsoku/>
        <w:wordWrap/>
        <w:overflowPunct/>
        <w:topLinePunct w:val="0"/>
        <w:autoSpaceDE/>
        <w:autoSpaceDN/>
        <w:bidi w:val="0"/>
        <w:adjustRightInd w:val="0"/>
        <w:snapToGrid w:val="0"/>
        <w:spacing w:before="0" w:after="0" w:line="560" w:lineRule="exact"/>
        <w:ind w:left="0" w:leftChars="0" w:firstLine="0" w:firstLineChars="0"/>
        <w:jc w:val="both"/>
        <w:textAlignment w:val="auto"/>
        <w:rPr>
          <w:rFonts w:hint="eastAsia" w:cs="Times New Roman"/>
          <w:b/>
          <w:bCs w:val="0"/>
          <w:sz w:val="32"/>
          <w:szCs w:val="22"/>
          <w:lang w:val="en-US" w:eastAsia="zh-CN"/>
        </w:rPr>
      </w:pPr>
      <w:r>
        <w:rPr>
          <w:rFonts w:hint="eastAsia" w:cs="Times New Roman"/>
          <w:b/>
          <w:bCs w:val="0"/>
          <w:sz w:val="32"/>
          <w:szCs w:val="22"/>
          <w:lang w:val="en-US" w:eastAsia="zh-CN"/>
        </w:rPr>
        <w:t>全面完善民政基本社会服务体系，增进</w:t>
      </w:r>
      <w:bookmarkEnd w:id="25"/>
      <w:bookmarkEnd w:id="26"/>
      <w:bookmarkEnd w:id="27"/>
      <w:bookmarkEnd w:id="28"/>
      <w:bookmarkStart w:id="29" w:name="_Toc29132"/>
      <w:bookmarkStart w:id="30" w:name="_Toc19944"/>
      <w:bookmarkStart w:id="31" w:name="_Toc4409"/>
      <w:bookmarkStart w:id="32" w:name="_Toc29903"/>
      <w:r>
        <w:rPr>
          <w:rFonts w:hint="eastAsia" w:cs="Times New Roman"/>
          <w:b/>
          <w:bCs w:val="0"/>
          <w:sz w:val="32"/>
          <w:szCs w:val="22"/>
          <w:lang w:val="en-US" w:eastAsia="zh-CN"/>
        </w:rPr>
        <w:t>民生福祉</w:t>
      </w:r>
    </w:p>
    <w:p>
      <w:pPr>
        <w:pStyle w:val="3"/>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0"/>
        <w:jc w:val="center"/>
        <w:textAlignment w:val="auto"/>
        <w:rPr>
          <w:rFonts w:hint="eastAsia" w:cs="Times New Roman"/>
          <w:b/>
          <w:bCs w:val="0"/>
          <w:sz w:val="32"/>
          <w:szCs w:val="22"/>
          <w:lang w:val="en-US" w:eastAsia="zh-CN"/>
        </w:rPr>
      </w:pPr>
      <w:r>
        <w:rPr>
          <w:rFonts w:hint="eastAsia" w:cs="Times New Roman"/>
          <w:b/>
          <w:bCs w:val="0"/>
          <w:sz w:val="32"/>
          <w:szCs w:val="22"/>
          <w:lang w:val="en-US" w:eastAsia="zh-CN"/>
        </w:rPr>
        <w:t>展现新作为</w:t>
      </w:r>
      <w:bookmarkEnd w:id="29"/>
      <w:bookmarkEnd w:id="30"/>
      <w:bookmarkEnd w:id="31"/>
      <w:bookmarkEnd w:id="32"/>
    </w:p>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仿宋" w:hAnsi="仿宋" w:eastAsia="仿宋" w:cs="仿宋"/>
          <w:b w:val="0"/>
          <w:bCs/>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注重家庭家教家风建设，强化婚姻收养服务能力，加强未成年人保护和留守、困境儿童关爱服务，推进地名、殡葬等公共服务，合理拓展服务内容，不断提升服务质量，推动基本社会服务精准化、高质量发展。</w:t>
      </w:r>
      <w:bookmarkStart w:id="33" w:name="_Toc32453"/>
      <w:bookmarkStart w:id="34" w:name="_Toc22563"/>
      <w:bookmarkStart w:id="35" w:name="_Toc8690"/>
      <w:bookmarkStart w:id="36" w:name="_Toc22175"/>
      <w:bookmarkStart w:id="37" w:name="_Toc2379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 w:hAnsi="仿宋" w:eastAsia="仿宋" w:cs="仿宋"/>
          <w:b w:val="0"/>
          <w:bCs/>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第一节  加强婚姻收养管理和服务能力建设</w:t>
      </w:r>
      <w:bookmarkEnd w:id="33"/>
      <w:bookmarkEnd w:id="34"/>
      <w:bookmarkEnd w:id="35"/>
      <w:bookmarkEnd w:id="36"/>
      <w:bookmarkEnd w:id="37"/>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楷体" w:hAnsi="楷体" w:eastAsia="楷体" w:cs="楷体"/>
          <w:b/>
          <w:bCs/>
          <w:kern w:val="2"/>
          <w:sz w:val="32"/>
          <w:szCs w:val="22"/>
          <w:lang w:val="en-US" w:eastAsia="zh-CN" w:bidi="ar-SA"/>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22"/>
          <w:lang w:bidi="ar"/>
        </w:rPr>
      </w:pPr>
      <w:r>
        <w:rPr>
          <w:rFonts w:hint="eastAsia" w:ascii="楷体" w:hAnsi="楷体" w:eastAsia="楷体" w:cs="楷体"/>
          <w:b/>
          <w:bCs/>
          <w:kern w:val="2"/>
          <w:sz w:val="32"/>
          <w:szCs w:val="22"/>
          <w:lang w:val="en-US" w:eastAsia="zh-CN" w:bidi="ar-SA"/>
        </w:rPr>
        <w:t>加强婚姻管理规范化建设。</w:t>
      </w:r>
      <w:r>
        <w:rPr>
          <w:rFonts w:hint="eastAsia" w:ascii="仿宋_GB2312" w:hAnsi="仿宋_GB2312" w:eastAsia="仿宋_GB2312" w:cs="仿宋_GB2312"/>
          <w:b w:val="0"/>
          <w:bCs w:val="0"/>
          <w:sz w:val="32"/>
          <w:szCs w:val="22"/>
          <w:lang w:bidi="ar"/>
        </w:rPr>
        <w:t>贯彻落实《民法典》等法律法规，严格依法依规办理婚姻登记，开展清理婚姻登记领域有偿服务专项活动。推进全</w:t>
      </w:r>
      <w:r>
        <w:rPr>
          <w:rFonts w:hint="eastAsia" w:ascii="仿宋_GB2312" w:hAnsi="仿宋_GB2312" w:eastAsia="仿宋_GB2312" w:cs="仿宋_GB2312"/>
          <w:b w:val="0"/>
          <w:bCs w:val="0"/>
          <w:sz w:val="32"/>
          <w:szCs w:val="22"/>
          <w:highlight w:val="none"/>
          <w:lang w:val="en-US" w:eastAsia="zh-CN" w:bidi="ar"/>
        </w:rPr>
        <w:t>区</w:t>
      </w:r>
      <w:r>
        <w:rPr>
          <w:rFonts w:hint="eastAsia" w:ascii="仿宋_GB2312" w:hAnsi="仿宋_GB2312" w:eastAsia="仿宋_GB2312" w:cs="仿宋_GB2312"/>
          <w:b w:val="0"/>
          <w:bCs w:val="0"/>
          <w:sz w:val="32"/>
          <w:szCs w:val="22"/>
          <w:lang w:bidi="ar"/>
        </w:rPr>
        <w:t>婚姻登记档案数字化工作，全面清查归集婚姻登记历史档案，补充完善婚姻登记历史数据，做好留存的婚姻登记档案的数字化工作。强化婚姻家庭文化建设。加强婚姻登记领域信用体系建设，加强婚介行业事中事后监管。</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stheme="minorBidi"/>
          <w:b w:val="0"/>
          <w:bCs w:val="0"/>
          <w:color w:val="auto"/>
          <w:kern w:val="2"/>
          <w:sz w:val="32"/>
          <w:szCs w:val="24"/>
          <w:highlight w:val="none"/>
          <w:u w:val="none"/>
          <w:lang w:val="en-US" w:eastAsia="zh-CN" w:bidi="ar-SA"/>
        </w:rPr>
      </w:pPr>
      <w:r>
        <w:rPr>
          <w:rFonts w:hint="eastAsia" w:ascii="楷体" w:hAnsi="楷体" w:eastAsia="楷体" w:cs="楷体"/>
          <w:b/>
          <w:bCs/>
          <w:kern w:val="2"/>
          <w:sz w:val="32"/>
          <w:szCs w:val="22"/>
          <w:highlight w:val="none"/>
          <w:lang w:val="en-US" w:eastAsia="zh-CN" w:bidi="ar-SA"/>
        </w:rPr>
        <w:t>优化婚姻登记管理服务。</w:t>
      </w:r>
      <w:r>
        <w:rPr>
          <w:rStyle w:val="16"/>
          <w:rFonts w:hint="eastAsia" w:ascii="Times New Roman" w:hAnsi="Times New Roman" w:eastAsia="仿宋_GB2312" w:cstheme="minorBidi"/>
          <w:b w:val="0"/>
          <w:bCs w:val="0"/>
          <w:color w:val="auto"/>
          <w:kern w:val="2"/>
          <w:sz w:val="32"/>
          <w:szCs w:val="24"/>
          <w:highlight w:val="none"/>
          <w:u w:val="none"/>
          <w:lang w:val="en-US" w:eastAsia="zh-CN" w:bidi="ar-SA"/>
        </w:rPr>
        <w:t>根据国家部署，完善婚姻管理服务标准，建立健全婚介服务机构监管的制度。建立健全弄虚作假骗取婚姻登记的纠错机制。打造优质服务窗口，探索将颁证仪式引入结婚登记流程。</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stheme="minorBidi"/>
          <w:b w:val="0"/>
          <w:bCs w:val="0"/>
          <w:color w:val="auto"/>
          <w:kern w:val="2"/>
          <w:sz w:val="32"/>
          <w:szCs w:val="24"/>
          <w:highlight w:val="none"/>
          <w:u w:val="none"/>
          <w:lang w:val="en-US" w:eastAsia="zh-CN" w:bidi="ar-SA"/>
        </w:rPr>
      </w:pPr>
      <w:r>
        <w:rPr>
          <w:rFonts w:hint="eastAsia" w:ascii="楷体" w:hAnsi="楷体" w:eastAsia="楷体" w:cs="楷体"/>
          <w:b/>
          <w:bCs/>
          <w:kern w:val="2"/>
          <w:sz w:val="32"/>
          <w:szCs w:val="22"/>
          <w:lang w:val="en-US" w:eastAsia="zh-CN" w:bidi="ar-SA"/>
        </w:rPr>
        <w:t>强化婚姻家庭辅导教育。</w:t>
      </w:r>
      <w:r>
        <w:rPr>
          <w:rStyle w:val="16"/>
          <w:rFonts w:hint="eastAsia" w:ascii="Times New Roman" w:hAnsi="Times New Roman" w:eastAsia="仿宋_GB2312" w:cstheme="minorBidi"/>
          <w:b w:val="0"/>
          <w:bCs w:val="0"/>
          <w:color w:val="auto"/>
          <w:kern w:val="2"/>
          <w:sz w:val="32"/>
          <w:szCs w:val="24"/>
          <w:highlight w:val="none"/>
          <w:u w:val="none"/>
          <w:lang w:val="en-US" w:eastAsia="zh-CN" w:bidi="ar-SA"/>
        </w:rPr>
        <w:t>加强婚前指导和保健、婚姻家庭关系调适和离婚辅导，减少婚姻家庭纠纷。通过公益创投、政策扶持、经费补贴、政府购买服务等方式，引导社会组织、基层群众自治性组织和专业人才，多途径开展婚姻家庭辅导教育工作。鼓励有条件的婚姻登记机关设置社会工作岗位，开展社会工作和志愿服务。</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stheme="minorBidi"/>
          <w:b w:val="0"/>
          <w:bCs w:val="0"/>
          <w:color w:val="auto"/>
          <w:kern w:val="2"/>
          <w:sz w:val="32"/>
          <w:szCs w:val="24"/>
          <w:highlight w:val="none"/>
          <w:u w:val="none"/>
          <w:lang w:val="en-US" w:eastAsia="zh-CN" w:bidi="ar-SA"/>
        </w:rPr>
      </w:pPr>
      <w:r>
        <w:rPr>
          <w:rFonts w:hint="eastAsia" w:ascii="楷体" w:hAnsi="楷体" w:eastAsia="楷体" w:cs="楷体"/>
          <w:b/>
          <w:bCs/>
          <w:kern w:val="2"/>
          <w:sz w:val="32"/>
          <w:szCs w:val="22"/>
          <w:lang w:val="en-US" w:eastAsia="zh-CN" w:bidi="ar-SA"/>
        </w:rPr>
        <w:t>推进婚俗改革。</w:t>
      </w:r>
      <w:r>
        <w:rPr>
          <w:rStyle w:val="16"/>
          <w:rFonts w:hint="eastAsia" w:ascii="Times New Roman" w:hAnsi="Times New Roman" w:eastAsia="仿宋_GB2312" w:cstheme="minorBidi"/>
          <w:b w:val="0"/>
          <w:bCs w:val="0"/>
          <w:color w:val="auto"/>
          <w:kern w:val="2"/>
          <w:sz w:val="32"/>
          <w:szCs w:val="24"/>
          <w:highlight w:val="none"/>
          <w:u w:val="none"/>
          <w:lang w:val="en-US" w:eastAsia="zh-CN" w:bidi="ar-SA"/>
        </w:rPr>
        <w:t>建立整治高价彩礼、铺张浪费、低俗婚闹、随礼攀比等不正之风的长效机制，营造良好社会风气。增加优秀婚俗文化产品和服务供给，鼓励和推广传统婚礼、集体婚礼、纪念婚礼，加强婚姻登记场所文化建设，倡导健康文明、简约适度的婚俗文化。推动有条件的地方设置婚姻文化展示厅、婚俗文化博物馆或婚姻家庭文化教育基地。开展好家风好家教好家训进家庭、进社区、进村庄、进校园、进企业活动。</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b w:val="0"/>
          <w:bCs w:val="0"/>
          <w:sz w:val="32"/>
          <w:szCs w:val="32"/>
        </w:rPr>
      </w:pPr>
      <w:r>
        <w:rPr>
          <w:rFonts w:hint="eastAsia" w:ascii="楷体" w:hAnsi="楷体" w:eastAsia="楷体" w:cs="楷体"/>
          <w:b/>
          <w:bCs/>
          <w:kern w:val="2"/>
          <w:sz w:val="32"/>
          <w:szCs w:val="22"/>
          <w:lang w:val="en-US" w:eastAsia="zh-CN" w:bidi="ar-SA"/>
        </w:rPr>
        <w:t>完善收养登记管理。</w:t>
      </w:r>
      <w:r>
        <w:rPr>
          <w:rFonts w:hint="eastAsia" w:ascii="仿宋_GB2312" w:hAnsi="仿宋_GB2312" w:eastAsia="仿宋_GB2312" w:cs="仿宋_GB2312"/>
          <w:b w:val="0"/>
          <w:bCs w:val="0"/>
          <w:sz w:val="32"/>
          <w:szCs w:val="32"/>
        </w:rPr>
        <w:t>健全完善儿童收养管理制度体系。宣传贯彻收养评估标准，</w:t>
      </w:r>
      <w:r>
        <w:rPr>
          <w:rFonts w:hint="eastAsia" w:ascii="仿宋_GB2312" w:hAnsi="仿宋_GB2312" w:eastAsia="仿宋_GB2312" w:cs="仿宋_GB2312"/>
          <w:b w:val="0"/>
          <w:bCs w:val="0"/>
          <w:sz w:val="32"/>
          <w:szCs w:val="32"/>
          <w:lang w:val="zh-CN"/>
        </w:rPr>
        <w:t>全面实施收养评估。</w:t>
      </w:r>
      <w:r>
        <w:rPr>
          <w:rFonts w:hint="eastAsia" w:ascii="仿宋_GB2312" w:hAnsi="仿宋_GB2312" w:eastAsia="仿宋_GB2312" w:cs="仿宋_GB2312"/>
          <w:b w:val="0"/>
          <w:bCs w:val="0"/>
          <w:sz w:val="32"/>
          <w:szCs w:val="32"/>
        </w:rPr>
        <w:t>规范收养登记档案管理。</w:t>
      </w:r>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仿宋" w:hAnsi="仿宋" w:eastAsia="仿宋" w:cs="仿宋"/>
          <w:b w:val="0"/>
          <w:bCs w:val="0"/>
          <w:sz w:val="32"/>
          <w:szCs w:val="32"/>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第二节  健全未成年人保护体系</w:t>
      </w:r>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楷体" w:hAnsi="楷体" w:eastAsia="楷体" w:cs="楷体"/>
          <w:b/>
          <w:bCs/>
          <w:kern w:val="2"/>
          <w:sz w:val="32"/>
          <w:szCs w:val="22"/>
          <w:lang w:val="en-US" w:eastAsia="zh-CN" w:bidi="ar-SA"/>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楷体" w:hAnsi="楷体" w:eastAsia="楷体" w:cs="楷体"/>
          <w:b/>
          <w:bCs/>
          <w:kern w:val="2"/>
          <w:sz w:val="32"/>
          <w:szCs w:val="22"/>
          <w:lang w:val="en-US" w:eastAsia="zh-CN" w:bidi="ar-SA"/>
        </w:rPr>
        <w:t>完善未成年保护法规制度。</w:t>
      </w:r>
      <w:r>
        <w:rPr>
          <w:rFonts w:hint="eastAsia" w:ascii="仿宋_GB2312" w:hAnsi="仿宋_GB2312" w:eastAsia="仿宋_GB2312" w:cs="仿宋_GB2312"/>
          <w:sz w:val="32"/>
          <w:szCs w:val="32"/>
        </w:rPr>
        <w:t>落实“家庭监护为主体、社会监护为补充、国家监护为兜底”的监护制度，形成家庭、政府、社会“三位一体”的未成年人保护合力。加强国家兜底监护体制机制建设，建立健全民政部门长期监护和临时监护措施。完善未成年人生活保障、助医助学等政策。健全“发现报告、应急处置、评估帮扶、监护干预”的未成年人保护联动响应机制。</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楷体" w:hAnsi="楷体" w:eastAsia="楷体" w:cs="楷体"/>
          <w:b/>
          <w:bCs/>
          <w:kern w:val="2"/>
          <w:sz w:val="32"/>
          <w:szCs w:val="22"/>
          <w:lang w:val="en-US" w:eastAsia="zh-CN" w:bidi="ar-SA"/>
        </w:rPr>
        <w:t>健全未成年人保护工作协调机制。</w:t>
      </w:r>
      <w:r>
        <w:rPr>
          <w:rFonts w:hint="eastAsia" w:ascii="仿宋_GB2312" w:hAnsi="仿宋_GB2312" w:eastAsia="仿宋_GB2312" w:cs="仿宋_GB2312"/>
          <w:sz w:val="32"/>
          <w:szCs w:val="32"/>
          <w:lang w:bidi="ar"/>
        </w:rPr>
        <w:t>建立健全未成年人保护工作协调机制，</w:t>
      </w:r>
      <w:r>
        <w:rPr>
          <w:rFonts w:hint="eastAsia" w:ascii="仿宋_GB2312" w:hAnsi="仿宋_GB2312" w:eastAsia="仿宋_GB2312" w:cs="仿宋_GB2312"/>
          <w:sz w:val="32"/>
          <w:szCs w:val="32"/>
        </w:rPr>
        <w:t>协调督促有关部门落实未成年人保护职责，及时督办、处置侵害未成年人合法权益事件，提升未成年人保护热点案件处置群众满意率。积极动员基层群众性自治组织、社会组织、社会工作者和志愿者开展有利于未成年人健康成长的社会活动和服务，引导社会各界关心关注和积极参与未成年人保护工作。推动形成党委政府领导、民政部门充分发挥牵头作用、相关部门各司其责、社会力量广泛参与的未成年人保护工作格局。</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pacing w:val="-11"/>
          <w:sz w:val="32"/>
          <w:szCs w:val="32"/>
        </w:rPr>
      </w:pPr>
      <w:r>
        <w:rPr>
          <w:rFonts w:hint="eastAsia" w:ascii="楷体" w:hAnsi="楷体" w:eastAsia="楷体" w:cs="楷体"/>
          <w:b/>
          <w:bCs/>
          <w:kern w:val="2"/>
          <w:sz w:val="32"/>
          <w:szCs w:val="22"/>
          <w:lang w:val="en-US" w:eastAsia="zh-CN" w:bidi="ar-SA"/>
        </w:rPr>
        <w:t>加强未成年人监护能力建设。</w:t>
      </w:r>
      <w:r>
        <w:rPr>
          <w:rFonts w:hint="eastAsia" w:ascii="仿宋_GB2312" w:hAnsi="仿宋_GB2312" w:eastAsia="仿宋_GB2312" w:cs="仿宋_GB2312"/>
          <w:sz w:val="32"/>
          <w:szCs w:val="32"/>
        </w:rPr>
        <w:t>按照“家庭尽责、政府主导、社会参与”的原则，强化家庭主体责任，加强家庭教育指导、监督、帮扶，提升家庭监护能力。完善应急处置机制，依托未成年人救助保护机构搭建民政和相关部门联动响应的一体化平台。建立监护评估机制，加强危机干预和家庭监护能力评估体系建设。指导基层群众性自治组织及时报告和处置监护人侵害未成年人合法权益事件。会</w:t>
      </w:r>
      <w:r>
        <w:rPr>
          <w:rFonts w:hint="eastAsia" w:ascii="仿宋_GB2312" w:hAnsi="仿宋_GB2312" w:eastAsia="仿宋_GB2312" w:cs="仿宋_GB2312"/>
          <w:spacing w:val="-11"/>
          <w:sz w:val="32"/>
          <w:szCs w:val="32"/>
        </w:rPr>
        <w:t>同相关部门加大对不依法履行监护权未成年人监护人处置力度。</w:t>
      </w:r>
      <w:bookmarkStart w:id="38" w:name="_Toc7909"/>
      <w:bookmarkStart w:id="39" w:name="_Toc20210"/>
      <w:bookmarkStart w:id="40" w:name="_Toc3913"/>
      <w:bookmarkStart w:id="41" w:name="_Toc4162"/>
      <w:bookmarkStart w:id="42" w:name="_Toc30158"/>
    </w:p>
    <w:p>
      <w:pPr>
        <w:pStyle w:val="2"/>
        <w:keepNext w:val="0"/>
        <w:keepLines w:val="0"/>
        <w:pageBreakBefore w:val="0"/>
        <w:widowControl/>
        <w:kinsoku/>
        <w:wordWrap/>
        <w:overflowPunct/>
        <w:topLinePunct w:val="0"/>
        <w:autoSpaceDE/>
        <w:autoSpaceDN/>
        <w:bidi w:val="0"/>
        <w:adjustRightInd w:val="0"/>
        <w:snapToGrid w:val="0"/>
        <w:spacing w:line="560" w:lineRule="exact"/>
        <w:ind w:firstLine="596" w:firstLineChars="200"/>
        <w:jc w:val="both"/>
        <w:textAlignment w:val="baseline"/>
        <w:rPr>
          <w:rFonts w:hint="eastAsia" w:ascii="仿宋_GB2312" w:hAnsi="仿宋_GB2312" w:eastAsia="仿宋_GB2312" w:cs="仿宋_GB2312"/>
          <w:spacing w:val="-11"/>
          <w:sz w:val="32"/>
          <w:szCs w:val="32"/>
        </w:rPr>
      </w:pPr>
      <w:bookmarkStart w:id="92" w:name="_GoBack"/>
      <w:bookmarkEnd w:id="92"/>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8628" w:type="dxa"/>
            <w:tcBorders>
              <w:top w:val="single" w:color="auto" w:sz="4" w:space="0"/>
              <w:left w:val="single" w:color="auto" w:sz="4" w:space="0"/>
              <w:bottom w:val="single" w:color="auto" w:sz="4" w:space="0"/>
              <w:right w:val="single" w:color="auto" w:sz="4" w:space="0"/>
            </w:tcBorders>
            <w:shd w:val="clear" w:color="auto" w:fill="948A54"/>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专栏</w:t>
            </w:r>
            <w:r>
              <w:rPr>
                <w:rFonts w:hint="eastAsia" w:ascii="方正黑体_GBK" w:hAnsi="方正黑体_GBK" w:eastAsia="方正黑体_GBK" w:cs="方正黑体_GBK"/>
                <w:b/>
                <w:bCs/>
                <w:sz w:val="28"/>
                <w:szCs w:val="28"/>
                <w:lang w:val="en-US" w:eastAsia="zh-CN"/>
              </w:rPr>
              <w:t>3</w:t>
            </w:r>
            <w:r>
              <w:rPr>
                <w:rFonts w:hint="eastAsia" w:ascii="方正黑体_GBK" w:hAnsi="方正黑体_GBK" w:eastAsia="方正黑体_GBK" w:cs="方正黑体_GBK"/>
                <w:b/>
                <w:bCs/>
                <w:sz w:val="28"/>
                <w:szCs w:val="28"/>
              </w:rPr>
              <w:t>：未成年人救助保护能力提升工程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2" w:hRule="atLeast"/>
        </w:trPr>
        <w:tc>
          <w:tcPr>
            <w:tcW w:w="86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宋体" w:hAnsi="宋体" w:cs="宋体"/>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highlight w:val="none"/>
                <w:lang w:val="zh-CN"/>
              </w:rPr>
              <w:t>有效落实国家临时监护职责，加强未成年人救助保护</w:t>
            </w:r>
            <w:r>
              <w:rPr>
                <w:rFonts w:hint="eastAsia" w:ascii="方正仿宋_GBK" w:hAnsi="方正仿宋_GBK" w:eastAsia="方正仿宋_GBK" w:cs="方正仿宋_GBK"/>
                <w:sz w:val="24"/>
                <w:szCs w:val="24"/>
                <w:highlight w:val="none"/>
              </w:rPr>
              <w:t>机构</w:t>
            </w:r>
            <w:r>
              <w:rPr>
                <w:rFonts w:hint="eastAsia" w:ascii="方正仿宋_GBK" w:hAnsi="方正仿宋_GBK" w:eastAsia="方正仿宋_GBK" w:cs="方正仿宋_GBK"/>
                <w:sz w:val="24"/>
                <w:szCs w:val="24"/>
                <w:highlight w:val="none"/>
                <w:lang w:val="zh-CN"/>
              </w:rPr>
              <w:t>建设，到</w:t>
            </w:r>
            <w:r>
              <w:rPr>
                <w:rFonts w:hint="eastAsia" w:ascii="方正仿宋_GBK" w:hAnsi="方正仿宋_GBK" w:eastAsia="方正仿宋_GBK" w:cs="方正仿宋_GBK"/>
                <w:sz w:val="24"/>
                <w:szCs w:val="24"/>
                <w:highlight w:val="none"/>
              </w:rPr>
              <w:t>2025年底</w:t>
            </w:r>
            <w:r>
              <w:rPr>
                <w:rFonts w:hint="eastAsia" w:ascii="方正仿宋_GBK" w:hAnsi="方正仿宋_GBK" w:eastAsia="方正仿宋_GBK" w:cs="方正仿宋_GBK"/>
                <w:sz w:val="24"/>
                <w:szCs w:val="24"/>
                <w:highlight w:val="none"/>
                <w:lang w:val="zh-CN"/>
              </w:rPr>
              <w:t>，每个</w:t>
            </w:r>
            <w:r>
              <w:rPr>
                <w:rFonts w:hint="eastAsia" w:ascii="方正仿宋_GBK" w:hAnsi="方正仿宋_GBK" w:eastAsia="方正仿宋_GBK" w:cs="方正仿宋_GBK"/>
                <w:sz w:val="24"/>
                <w:szCs w:val="24"/>
                <w:highlight w:val="none"/>
                <w:lang w:val="en-US" w:eastAsia="zh-CN"/>
              </w:rPr>
              <w:t>镇</w:t>
            </w:r>
            <w:r>
              <w:rPr>
                <w:rFonts w:hint="eastAsia" w:ascii="方正仿宋_GBK" w:hAnsi="方正仿宋_GBK" w:eastAsia="方正仿宋_GBK" w:cs="方正仿宋_GBK"/>
                <w:sz w:val="24"/>
                <w:szCs w:val="24"/>
                <w:highlight w:val="none"/>
                <w:lang w:val="zh-CN"/>
              </w:rPr>
              <w:t>(</w:t>
            </w:r>
            <w:r>
              <w:rPr>
                <w:rFonts w:hint="eastAsia" w:ascii="方正仿宋_GBK" w:hAnsi="方正仿宋_GBK" w:eastAsia="方正仿宋_GBK" w:cs="方正仿宋_GBK"/>
                <w:sz w:val="24"/>
                <w:szCs w:val="24"/>
                <w:highlight w:val="none"/>
                <w:lang w:val="en-US" w:eastAsia="zh-CN"/>
              </w:rPr>
              <w:t>街道</w:t>
            </w:r>
            <w:r>
              <w:rPr>
                <w:rFonts w:hint="eastAsia" w:ascii="方正仿宋_GBK" w:hAnsi="方正仿宋_GBK" w:eastAsia="方正仿宋_GBK" w:cs="方正仿宋_GBK"/>
                <w:sz w:val="24"/>
                <w:szCs w:val="24"/>
                <w:highlight w:val="none"/>
                <w:lang w:val="zh-CN"/>
              </w:rPr>
              <w:t>)建有未成年人保护中心，街道未成年人保护工作站覆盖率达</w:t>
            </w:r>
            <w:r>
              <w:rPr>
                <w:rFonts w:hint="eastAsia" w:ascii="方正仿宋_GBK" w:hAnsi="方正仿宋_GBK" w:eastAsia="方正仿宋_GBK" w:cs="方正仿宋_GBK"/>
                <w:sz w:val="24"/>
                <w:szCs w:val="24"/>
                <w:highlight w:val="none"/>
                <w:lang w:val="en-US" w:eastAsia="zh-CN"/>
              </w:rPr>
              <w:t>100</w:t>
            </w:r>
            <w:r>
              <w:rPr>
                <w:rFonts w:hint="eastAsia" w:ascii="方正仿宋_GBK" w:hAnsi="方正仿宋_GBK" w:eastAsia="方正仿宋_GBK" w:cs="方正仿宋_GBK"/>
                <w:sz w:val="24"/>
                <w:szCs w:val="24"/>
                <w:highlight w:val="none"/>
                <w:lang w:val="zh-CN"/>
              </w:rPr>
              <w:t>%</w:t>
            </w:r>
            <w:r>
              <w:rPr>
                <w:rFonts w:hint="eastAsia" w:ascii="方正仿宋_GBK" w:hAnsi="方正仿宋_GBK" w:eastAsia="方正仿宋_GBK" w:cs="方正仿宋_GBK"/>
                <w:color w:val="000000" w:themeColor="text1"/>
                <w:sz w:val="24"/>
                <w:szCs w:val="24"/>
                <w:highlight w:val="none"/>
                <w:lang w:val="zh-CN"/>
                <w14:textFill>
                  <w14:solidFill>
                    <w14:schemeClr w14:val="tx1"/>
                  </w14:solidFill>
                </w14:textFill>
              </w:rPr>
              <w:t>。推动村（居）委会设立专人专岗，做好未成年人保护工作。加大村（居）儿童主任培训力度，</w:t>
            </w:r>
            <w:r>
              <w:rPr>
                <w:rFonts w:hint="eastAsia" w:ascii="方正仿宋_GBK" w:hAnsi="方正仿宋_GBK" w:eastAsia="方正仿宋_GBK" w:cs="方正仿宋_GBK"/>
                <w:sz w:val="24"/>
                <w:szCs w:val="24"/>
                <w:highlight w:val="none"/>
                <w:lang w:val="zh-CN"/>
              </w:rPr>
              <w:t>参训率达到100%。</w:t>
            </w:r>
          </w:p>
        </w:tc>
      </w:tr>
    </w:tbl>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黑体" w:hAnsi="黑体" w:eastAsia="黑体" w:cs="黑体"/>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第三节  加强困境儿童保障和留守儿童、留守妇女关爱</w:t>
      </w:r>
      <w:bookmarkEnd w:id="38"/>
      <w:bookmarkEnd w:id="39"/>
      <w:bookmarkEnd w:id="40"/>
      <w:bookmarkEnd w:id="41"/>
      <w:bookmarkEnd w:id="42"/>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黑体" w:hAnsi="黑体" w:eastAsia="黑体" w:cs="黑体"/>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22"/>
          <w:lang w:bidi="ar"/>
        </w:rPr>
        <w:t>加强困境儿童分类保障。</w:t>
      </w:r>
      <w:r>
        <w:rPr>
          <w:rFonts w:hint="eastAsia" w:ascii="仿宋_GB2312" w:hAnsi="仿宋_GB2312" w:eastAsia="仿宋_GB2312" w:cs="仿宋_GB2312"/>
          <w:sz w:val="32"/>
          <w:szCs w:val="32"/>
        </w:rPr>
        <w:t>精</w:t>
      </w:r>
      <w:r>
        <w:rPr>
          <w:rFonts w:hint="eastAsia" w:ascii="仿宋_GB2312" w:hAnsi="仿宋_GB2312" w:eastAsia="仿宋_GB2312" w:cs="仿宋_GB2312"/>
          <w:spacing w:val="-6"/>
          <w:sz w:val="32"/>
          <w:szCs w:val="32"/>
        </w:rPr>
        <w:t>准确定困境儿童保障标准，分类实施保障政策。建立完备的困境儿童信息台账，实现一人一档案，实行动态管理。完善因突发事件影响造成监护缺失儿童救助保护制度措施。加强对困难家庭的重病、重残儿童生活保障和救助工作。动员引导企业、公益慈善等社会力量参与困境儿童保障工作，营造全社会关心关爱困境儿童的</w:t>
      </w:r>
      <w:r>
        <w:rPr>
          <w:rFonts w:hint="eastAsia" w:ascii="仿宋_GB2312" w:hAnsi="仿宋_GB2312" w:eastAsia="仿宋_GB2312" w:cs="仿宋_GB2312"/>
          <w:sz w:val="32"/>
          <w:szCs w:val="32"/>
        </w:rPr>
        <w:t>良好氛围。</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22"/>
          <w:lang w:bidi="ar"/>
        </w:rPr>
        <w:t>深入开展农村留守儿童关爱保护工作。</w:t>
      </w:r>
      <w:r>
        <w:rPr>
          <w:rFonts w:hint="eastAsia" w:ascii="仿宋_GB2312" w:hAnsi="仿宋_GB2312" w:eastAsia="仿宋_GB2312" w:cs="仿宋_GB2312"/>
          <w:sz w:val="32"/>
          <w:szCs w:val="32"/>
        </w:rPr>
        <w:t>加强农村留守儿童动态信息管理和档案建设，为农村留守儿童精准化管理、个性化服务提供数据支撑。健全农村留守儿童监护指导制度，督促指导农村留守儿童监护人依法履行监护职责。推动因外出务工等原因在一定期限内不能完全履行监护职责的监护人依法确定被委托照护人，指导其签订书面照护协议。指导外出务工父母或其他监护人加强与留守子女亲情关爱和日常联络沟通，确保每周联系和交流不少于1次。指导基层群众性自治组织有效履行强制报告、预防干预等职责。积极引导社会力量参与，打造一批具有社会影响力的农村留守儿童关爱服务慈善项目。</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黑体" w:hAnsi="黑体" w:eastAsia="黑体" w:cs="黑体"/>
          <w:b w:val="0"/>
          <w:bCs w:val="0"/>
          <w:sz w:val="32"/>
          <w:szCs w:val="32"/>
          <w:lang w:val="en-US" w:eastAsia="zh-CN"/>
        </w:rPr>
      </w:pPr>
      <w:r>
        <w:rPr>
          <w:rFonts w:hint="eastAsia" w:ascii="楷体" w:hAnsi="楷体" w:eastAsia="楷体" w:cs="楷体"/>
          <w:b/>
          <w:bCs/>
          <w:sz w:val="32"/>
          <w:szCs w:val="22"/>
          <w:lang w:val="zh-CN" w:bidi="ar"/>
        </w:rPr>
        <w:t>开展农村留守妇女关爱行动。</w:t>
      </w:r>
      <w:r>
        <w:rPr>
          <w:rFonts w:hint="eastAsia" w:ascii="仿宋_GB2312" w:hAnsi="仿宋_GB2312" w:eastAsia="仿宋_GB2312" w:cs="仿宋_GB2312"/>
          <w:sz w:val="32"/>
          <w:szCs w:val="32"/>
        </w:rPr>
        <w:t>加强农村留守妇女精神关爱和家庭教育支持，提升农村留守妇女家庭监护主体责任意识。有效发挥农村留守妇女主体作用，引导农村留守妇女关爱农村留守儿童、留守老年人。</w:t>
      </w:r>
      <w:r>
        <w:rPr>
          <w:rFonts w:hint="eastAsia" w:ascii="仿宋_GB2312" w:hAnsi="仿宋_GB2312" w:eastAsia="仿宋_GB2312" w:cs="仿宋_GB2312"/>
          <w:sz w:val="32"/>
          <w:szCs w:val="32"/>
          <w:lang w:val="zh-CN"/>
        </w:rPr>
        <w:t>会同相关部门</w:t>
      </w:r>
      <w:r>
        <w:rPr>
          <w:rFonts w:hint="eastAsia" w:ascii="仿宋_GB2312" w:hAnsi="仿宋_GB2312" w:eastAsia="仿宋_GB2312" w:cs="仿宋_GB2312"/>
          <w:sz w:val="32"/>
          <w:szCs w:val="32"/>
        </w:rPr>
        <w:t>加强指导，提升农村留守妇女就业创业能力，积极为农村留守妇女创业发展搭建平台、提供服务，实现农村留守妇女就近就地就业。提高农村留守妇女法律知识和维权意识，配合有关部门畅通法律援助受理渠道，加大对侵害农村留守妇女合法权益违法犯罪行为的打击和惩治力度。</w:t>
      </w:r>
      <w:bookmarkStart w:id="43" w:name="_Toc8150"/>
      <w:bookmarkStart w:id="44" w:name="_Toc23092"/>
      <w:bookmarkStart w:id="45" w:name="_Toc7367"/>
      <w:bookmarkStart w:id="46" w:name="_Toc27823"/>
      <w:bookmarkStart w:id="47" w:name="_Toc11034"/>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第四节  完善殡葬公共服务体系</w:t>
      </w:r>
      <w:bookmarkEnd w:id="43"/>
      <w:bookmarkEnd w:id="44"/>
      <w:bookmarkEnd w:id="45"/>
      <w:bookmarkEnd w:id="46"/>
      <w:bookmarkEnd w:id="47"/>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黑体" w:hAnsi="黑体" w:eastAsia="黑体" w:cs="黑体"/>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magenta"/>
          <w:u w:val="none"/>
        </w:rPr>
      </w:pPr>
      <w:r>
        <w:rPr>
          <w:rFonts w:hint="eastAsia" w:ascii="楷体" w:hAnsi="楷体" w:eastAsia="楷体" w:cs="楷体"/>
          <w:b/>
          <w:bCs/>
          <w:kern w:val="2"/>
          <w:sz w:val="32"/>
          <w:szCs w:val="22"/>
          <w:lang w:val="en-US" w:eastAsia="zh-CN" w:bidi="ar"/>
        </w:rPr>
        <w:t>健全基本殡葬服务保障制度。</w:t>
      </w:r>
      <w:r>
        <w:rPr>
          <w:rStyle w:val="15"/>
          <w:rFonts w:hint="eastAsia" w:ascii="仿宋_GB2312" w:hAnsi="仿宋_GB2312" w:eastAsia="仿宋_GB2312" w:cs="仿宋_GB2312"/>
          <w:sz w:val="32"/>
          <w:szCs w:val="32"/>
          <w:u w:val="none"/>
        </w:rPr>
        <w:t>深化惠民绿色文明殡葬改革。</w:t>
      </w:r>
      <w:r>
        <w:rPr>
          <w:rFonts w:hint="eastAsia" w:ascii="仿宋_GB2312" w:hAnsi="仿宋_GB2312" w:eastAsia="仿宋_GB2312" w:cs="仿宋_GB2312"/>
          <w:sz w:val="32"/>
          <w:szCs w:val="22"/>
          <w:u w:val="none"/>
          <w:lang w:bidi="ar"/>
        </w:rPr>
        <w:t>切实履行政府对基本殡葬服务的兜底保障职责，提高基本殡葬服务供给能力，持续推行遗体接运、冷藏、火化、骨灰寄存、骨灰盒等五项免费政策。</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Times New Roman" w:hAnsi="Times New Roman" w:eastAsia="仿宋_GB2312" w:cstheme="minorBidi"/>
          <w:color w:val="auto"/>
          <w:kern w:val="2"/>
          <w:sz w:val="32"/>
          <w:szCs w:val="24"/>
          <w:highlight w:val="none"/>
          <w:u w:val="none"/>
          <w:lang w:val="en-US" w:eastAsia="zh-CN" w:bidi="ar-SA"/>
        </w:rPr>
      </w:pPr>
      <w:r>
        <w:rPr>
          <w:rFonts w:hint="eastAsia" w:ascii="楷体" w:hAnsi="楷体" w:eastAsia="楷体" w:cs="楷体"/>
          <w:b/>
          <w:bCs/>
          <w:kern w:val="2"/>
          <w:sz w:val="32"/>
          <w:szCs w:val="22"/>
          <w:lang w:val="en-US" w:eastAsia="zh-CN" w:bidi="ar"/>
        </w:rPr>
        <w:t>加快提升殡葬公共服务设施。</w:t>
      </w:r>
      <w:r>
        <w:rPr>
          <w:rStyle w:val="16"/>
          <w:rFonts w:hint="eastAsia" w:ascii="Times New Roman" w:hAnsi="Times New Roman" w:eastAsia="仿宋_GB2312" w:cstheme="minorBidi"/>
          <w:color w:val="auto"/>
          <w:kern w:val="2"/>
          <w:sz w:val="32"/>
          <w:szCs w:val="24"/>
          <w:highlight w:val="none"/>
          <w:u w:val="none"/>
          <w:lang w:val="en-US" w:eastAsia="zh-CN" w:bidi="ar-SA"/>
        </w:rPr>
        <w:t>推动建设标准偏低、配套能力不足的城乡公益性骨灰堂（公墓）提升改造，合理设置殡仪服务站。</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Style w:val="16"/>
          <w:rFonts w:hint="eastAsia" w:ascii="仿宋_GB2312" w:hAnsi="仿宋_GB2312" w:eastAsia="仿宋_GB2312" w:cs="仿宋_GB2312"/>
          <w:color w:val="auto"/>
          <w:spacing w:val="-11"/>
          <w:kern w:val="2"/>
          <w:sz w:val="32"/>
          <w:szCs w:val="24"/>
          <w:highlight w:val="none"/>
          <w:lang w:val="en-US" w:eastAsia="zh-CN" w:bidi="ar-SA"/>
        </w:rPr>
      </w:pPr>
      <w:r>
        <w:rPr>
          <w:rFonts w:hint="eastAsia" w:ascii="楷体" w:hAnsi="楷体" w:eastAsia="楷体" w:cs="楷体"/>
          <w:b/>
          <w:bCs/>
          <w:kern w:val="2"/>
          <w:sz w:val="32"/>
          <w:szCs w:val="22"/>
          <w:lang w:val="en-US" w:eastAsia="zh-CN" w:bidi="ar"/>
        </w:rPr>
        <w:t>切实提高殡葬领域治理水平。</w:t>
      </w:r>
      <w:r>
        <w:rPr>
          <w:rStyle w:val="16"/>
          <w:rFonts w:hint="eastAsia" w:ascii="仿宋_GB2312" w:hAnsi="仿宋_GB2312" w:eastAsia="仿宋_GB2312" w:cs="仿宋_GB2312"/>
          <w:color w:val="auto"/>
          <w:kern w:val="2"/>
          <w:sz w:val="32"/>
          <w:szCs w:val="24"/>
          <w:highlight w:val="none"/>
          <w:lang w:val="en-US" w:eastAsia="zh-CN" w:bidi="ar-SA"/>
        </w:rPr>
        <w:t>坚持民生导向，巩固殡葬改革三年行动计划任务成果，完善提升公益性殡葬服务供给，</w:t>
      </w:r>
      <w:r>
        <w:rPr>
          <w:rStyle w:val="16"/>
          <w:rFonts w:hint="eastAsia" w:ascii="仿宋_GB2312" w:hAnsi="仿宋_GB2312" w:eastAsia="仿宋_GB2312" w:cs="仿宋_GB2312"/>
          <w:color w:val="auto"/>
          <w:kern w:val="2"/>
          <w:sz w:val="32"/>
          <w:szCs w:val="24"/>
          <w:highlight w:val="none"/>
          <w:u w:val="none"/>
          <w:lang w:val="en-US" w:eastAsia="zh-CN" w:bidi="ar-SA"/>
        </w:rPr>
        <w:t>加强公益性骨灰堂（公墓）、经营性公墓等殡葬服务机构管理，规范服务收费和行政审批制度，落实属地管理和部门监管责任，确保殡葬事业公益属性。</w:t>
      </w:r>
      <w:r>
        <w:rPr>
          <w:rStyle w:val="16"/>
          <w:rFonts w:hint="eastAsia" w:ascii="仿宋_GB2312" w:hAnsi="仿宋_GB2312" w:eastAsia="仿宋_GB2312" w:cs="仿宋_GB2312"/>
          <w:color w:val="auto"/>
          <w:kern w:val="2"/>
          <w:sz w:val="32"/>
          <w:szCs w:val="24"/>
          <w:highlight w:val="none"/>
          <w:lang w:val="en-US" w:eastAsia="zh-CN" w:bidi="ar-SA"/>
        </w:rPr>
        <w:t>推动“互联网+殡葬服务”，</w:t>
      </w:r>
      <w:r>
        <w:rPr>
          <w:rStyle w:val="16"/>
          <w:rFonts w:hint="eastAsia" w:ascii="仿宋_GB2312" w:hAnsi="仿宋_GB2312" w:eastAsia="仿宋_GB2312" w:cs="仿宋_GB2312"/>
          <w:color w:val="auto"/>
          <w:kern w:val="2"/>
          <w:sz w:val="32"/>
          <w:szCs w:val="24"/>
          <w:highlight w:val="none"/>
          <w:u w:val="none"/>
          <w:lang w:val="en-US" w:eastAsia="zh-CN" w:bidi="ar-SA"/>
        </w:rPr>
        <w:t>充分发挥党员干部模范带头作用，健全</w:t>
      </w:r>
      <w:r>
        <w:rPr>
          <w:rStyle w:val="16"/>
          <w:rFonts w:hint="eastAsia" w:ascii="仿宋_GB2312" w:hAnsi="仿宋_GB2312" w:eastAsia="仿宋_GB2312" w:cs="仿宋_GB2312"/>
          <w:color w:val="auto"/>
          <w:spacing w:val="-11"/>
          <w:kern w:val="2"/>
          <w:sz w:val="32"/>
          <w:szCs w:val="24"/>
          <w:highlight w:val="none"/>
          <w:u w:val="none"/>
          <w:lang w:val="en-US" w:eastAsia="zh-CN" w:bidi="ar-SA"/>
        </w:rPr>
        <w:t>红白理事会及村规民约，</w:t>
      </w:r>
      <w:r>
        <w:rPr>
          <w:rStyle w:val="16"/>
          <w:rFonts w:hint="eastAsia" w:ascii="仿宋_GB2312" w:hAnsi="仿宋_GB2312" w:eastAsia="仿宋_GB2312" w:cs="仿宋_GB2312"/>
          <w:color w:val="auto"/>
          <w:spacing w:val="-11"/>
          <w:kern w:val="2"/>
          <w:sz w:val="32"/>
          <w:szCs w:val="24"/>
          <w:highlight w:val="none"/>
          <w:lang w:val="en-US" w:eastAsia="zh-CN" w:bidi="ar-SA"/>
        </w:rPr>
        <w:t>加快推进殡葬移风易俗改革，</w:t>
      </w:r>
      <w:r>
        <w:rPr>
          <w:rStyle w:val="16"/>
          <w:rFonts w:hint="eastAsia" w:ascii="仿宋_GB2312" w:hAnsi="仿宋_GB2312" w:eastAsia="仿宋_GB2312" w:cs="仿宋_GB2312"/>
          <w:color w:val="auto"/>
          <w:spacing w:val="-11"/>
          <w:kern w:val="2"/>
          <w:sz w:val="32"/>
          <w:szCs w:val="24"/>
          <w:highlight w:val="none"/>
          <w:u w:val="none"/>
          <w:lang w:val="en-US" w:eastAsia="zh-CN" w:bidi="ar-SA"/>
        </w:rPr>
        <w:t>杜绝新增散埋乱葬，</w:t>
      </w:r>
      <w:r>
        <w:rPr>
          <w:rStyle w:val="16"/>
          <w:rFonts w:hint="eastAsia" w:ascii="仿宋_GB2312" w:hAnsi="仿宋_GB2312" w:eastAsia="仿宋_GB2312" w:cs="仿宋_GB2312"/>
          <w:color w:val="auto"/>
          <w:spacing w:val="-11"/>
          <w:kern w:val="2"/>
          <w:sz w:val="32"/>
          <w:szCs w:val="24"/>
          <w:highlight w:val="none"/>
          <w:lang w:val="en-US" w:eastAsia="zh-CN" w:bidi="ar-SA"/>
        </w:rPr>
        <w:t>切实提高殡葬领域治理水平。</w:t>
      </w:r>
      <w:bookmarkStart w:id="48" w:name="_Toc17909"/>
      <w:bookmarkStart w:id="49" w:name="_Toc27306"/>
      <w:bookmarkStart w:id="50" w:name="_Toc18447"/>
      <w:bookmarkStart w:id="51" w:name="_Toc10161"/>
      <w:bookmarkStart w:id="52" w:name="_Toc8382"/>
      <w:bookmarkStart w:id="53" w:name="_Toc14485"/>
      <w:bookmarkStart w:id="54" w:name="_Toc19471"/>
      <w:bookmarkStart w:id="55" w:name="_Toc4869"/>
    </w:p>
    <w:p>
      <w:pPr>
        <w:pStyle w:val="2"/>
        <w:keepNext w:val="0"/>
        <w:keepLines w:val="0"/>
        <w:pageBreakBefore w:val="0"/>
        <w:widowControl/>
        <w:kinsoku/>
        <w:wordWrap/>
        <w:overflowPunct/>
        <w:topLinePunct w:val="0"/>
        <w:autoSpaceDE/>
        <w:autoSpaceDN/>
        <w:bidi w:val="0"/>
        <w:adjustRightInd w:val="0"/>
        <w:snapToGrid w:val="0"/>
        <w:spacing w:line="560" w:lineRule="exact"/>
        <w:ind w:firstLine="596" w:firstLineChars="200"/>
        <w:jc w:val="both"/>
        <w:textAlignment w:val="baseline"/>
        <w:rPr>
          <w:rStyle w:val="16"/>
          <w:rFonts w:hint="eastAsia" w:ascii="仿宋_GB2312" w:hAnsi="仿宋_GB2312" w:eastAsia="仿宋_GB2312" w:cs="仿宋_GB2312"/>
          <w:color w:val="auto"/>
          <w:spacing w:val="-11"/>
          <w:kern w:val="2"/>
          <w:sz w:val="32"/>
          <w:szCs w:val="24"/>
          <w:highlight w:val="none"/>
          <w:lang w:val="en-US" w:eastAsia="zh-CN" w:bidi="ar-SA"/>
        </w:rPr>
      </w:pPr>
    </w:p>
    <w:tbl>
      <w:tblPr>
        <w:tblStyle w:val="11"/>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8651" w:type="dxa"/>
            <w:tcBorders>
              <w:top w:val="single" w:color="auto" w:sz="4" w:space="0"/>
              <w:left w:val="single" w:color="auto" w:sz="4" w:space="0"/>
              <w:bottom w:val="single" w:color="auto" w:sz="4" w:space="0"/>
              <w:right w:val="single" w:color="auto" w:sz="4" w:space="0"/>
            </w:tcBorders>
            <w:shd w:val="clear" w:color="auto" w:fill="948A54"/>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专栏</w:t>
            </w:r>
            <w:r>
              <w:rPr>
                <w:rFonts w:hint="eastAsia" w:ascii="方正黑体_GBK" w:hAnsi="方正黑体_GBK" w:eastAsia="方正黑体_GBK" w:cs="方正黑体_GBK"/>
                <w:b/>
                <w:bCs/>
                <w:sz w:val="28"/>
                <w:szCs w:val="28"/>
                <w:lang w:val="en-US" w:eastAsia="zh-CN"/>
              </w:rPr>
              <w:t>4</w:t>
            </w:r>
            <w:r>
              <w:rPr>
                <w:rFonts w:hint="eastAsia" w:ascii="方正黑体_GBK" w:hAnsi="方正黑体_GBK" w:eastAsia="方正黑体_GBK" w:cs="方正黑体_GBK"/>
                <w:b/>
                <w:bCs/>
                <w:sz w:val="28"/>
                <w:szCs w:val="28"/>
              </w:rPr>
              <w:t>：殡葬服务设施建设工程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86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1.殡葬基础设施提升改造工程。</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baseline"/>
              <w:rPr>
                <w:rFonts w:hint="default" w:ascii="仿宋" w:hAnsi="仿宋" w:eastAsia="仿宋" w:cs="仿宋"/>
                <w:b/>
                <w:bCs/>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进一步推进农村公益性公墓（骨灰堂）二期等殡葬基础设施建设。推进建设标准偏低、配套能力不足的城乡公益性骨灰堂（公墓）提升改造，完善功能设施，提高服务能力。</w:t>
            </w:r>
          </w:p>
        </w:tc>
      </w:tr>
    </w:tbl>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_GBK" w:cs="Times New Roman"/>
          <w:b/>
          <w:bCs w:val="0"/>
          <w:kern w:val="44"/>
          <w:sz w:val="32"/>
          <w:szCs w:val="22"/>
          <w:lang w:val="en-US" w:eastAsia="zh-CN" w:bidi="ar-SA"/>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_GBK" w:cs="Times New Roman"/>
          <w:b/>
          <w:bCs w:val="0"/>
          <w:kern w:val="44"/>
          <w:sz w:val="32"/>
          <w:szCs w:val="22"/>
          <w:lang w:val="en-US" w:eastAsia="zh-CN" w:bidi="ar-SA"/>
        </w:rPr>
      </w:pPr>
      <w:r>
        <w:rPr>
          <w:rFonts w:hint="eastAsia" w:ascii="Times New Roman" w:hAnsi="Times New Roman" w:eastAsia="方正小标宋_GBK" w:cs="Times New Roman"/>
          <w:b/>
          <w:bCs w:val="0"/>
          <w:kern w:val="44"/>
          <w:sz w:val="32"/>
          <w:szCs w:val="22"/>
          <w:lang w:val="en-US" w:eastAsia="zh-CN" w:bidi="ar-SA"/>
        </w:rPr>
        <w:t xml:space="preserve">第五章 </w:t>
      </w:r>
      <w:bookmarkEnd w:id="48"/>
      <w:bookmarkEnd w:id="49"/>
      <w:bookmarkEnd w:id="50"/>
      <w:r>
        <w:rPr>
          <w:rFonts w:hint="eastAsia" w:ascii="Times New Roman" w:hAnsi="Times New Roman" w:eastAsia="方正小标宋_GBK" w:cs="Times New Roman"/>
          <w:b/>
          <w:bCs w:val="0"/>
          <w:kern w:val="44"/>
          <w:sz w:val="32"/>
          <w:szCs w:val="22"/>
          <w:lang w:val="en-US" w:eastAsia="zh-CN" w:bidi="ar-SA"/>
        </w:rPr>
        <w:t>全面推进养老服务体系建设，在落实积极应对人口老龄化国家战略中体现新质效</w:t>
      </w:r>
      <w:bookmarkEnd w:id="51"/>
      <w:bookmarkEnd w:id="52"/>
      <w:bookmarkEnd w:id="53"/>
      <w:bookmarkEnd w:id="54"/>
      <w:bookmarkEnd w:id="55"/>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 w:hAnsi="仿宋" w:eastAsia="仿宋" w:cs="仿宋"/>
          <w:b w:val="0"/>
          <w:bCs/>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sz w:val="32"/>
          <w:szCs w:val="22"/>
        </w:rPr>
      </w:pPr>
      <w:r>
        <w:rPr>
          <w:rFonts w:hint="eastAsia" w:ascii="仿宋_GB2312" w:hAnsi="仿宋_GB2312" w:eastAsia="仿宋_GB2312" w:cs="仿宋_GB2312"/>
          <w:b w:val="0"/>
          <w:bCs/>
          <w:sz w:val="32"/>
          <w:szCs w:val="32"/>
          <w:lang w:val="en-US" w:eastAsia="zh-CN"/>
        </w:rPr>
        <w:t>贯彻落实积极应对人口老龄化国家战略，完善多层次养老保障体系，探索建立长期护理保险制度，加快建设居家社区机构相协调、医养康养相结合的养老服务体系和健康支撑体系，着力保基本、补短板、锻长板、抓规范、防风险，奋力打造</w:t>
      </w:r>
      <w:r>
        <w:rPr>
          <w:rFonts w:hint="eastAsia" w:ascii="仿宋_GB2312" w:hAnsi="仿宋_GB2312" w:eastAsia="仿宋_GB2312" w:cs="仿宋_GB2312"/>
          <w:b w:val="0"/>
          <w:bCs/>
          <w:sz w:val="32"/>
          <w:szCs w:val="32"/>
          <w:highlight w:val="none"/>
          <w:lang w:val="en-US" w:eastAsia="zh-CN"/>
        </w:rPr>
        <w:t>珠山</w:t>
      </w:r>
      <w:r>
        <w:rPr>
          <w:rFonts w:hint="eastAsia" w:ascii="仿宋_GB2312" w:hAnsi="仿宋_GB2312" w:eastAsia="仿宋_GB2312" w:cs="仿宋_GB2312"/>
          <w:b w:val="0"/>
          <w:bCs/>
          <w:sz w:val="32"/>
          <w:szCs w:val="32"/>
          <w:lang w:val="en-US" w:eastAsia="zh-CN"/>
        </w:rPr>
        <w:t>的幸福颐养“重要窗口”，</w:t>
      </w:r>
      <w:r>
        <w:rPr>
          <w:rFonts w:hint="eastAsia" w:ascii="仿宋_GB2312" w:hAnsi="仿宋_GB2312" w:eastAsia="仿宋_GB2312" w:cs="仿宋_GB2312"/>
          <w:b w:val="0"/>
          <w:bCs/>
          <w:sz w:val="32"/>
          <w:szCs w:val="22"/>
        </w:rPr>
        <w:t>持续改善养老服务质量，保障老年人基本养老服务，有效满足多样化、多层次养老服务需求。</w:t>
      </w:r>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黑体" w:hAnsi="黑体" w:eastAsia="黑体" w:cs="黑体"/>
          <w:b w:val="0"/>
          <w:bCs w:val="0"/>
          <w:sz w:val="32"/>
          <w:szCs w:val="32"/>
          <w:lang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第一节</w:t>
      </w:r>
      <w:r>
        <w:rPr>
          <w:rFonts w:hint="eastAsia" w:ascii="黑体" w:hAnsi="黑体" w:eastAsia="黑体" w:cs="黑体"/>
          <w:b w:val="0"/>
          <w:bCs w:val="0"/>
          <w:sz w:val="32"/>
          <w:szCs w:val="32"/>
          <w:lang w:val="en-US" w:eastAsia="zh-CN"/>
        </w:rPr>
        <w:t xml:space="preserve"> 建立</w:t>
      </w:r>
      <w:r>
        <w:rPr>
          <w:rFonts w:hint="eastAsia" w:ascii="黑体" w:hAnsi="黑体" w:eastAsia="黑体" w:cs="黑体"/>
          <w:b w:val="0"/>
          <w:bCs w:val="0"/>
          <w:sz w:val="32"/>
          <w:szCs w:val="32"/>
          <w:lang w:eastAsia="zh-CN"/>
        </w:rPr>
        <w:t>健全基本养老服务</w:t>
      </w:r>
      <w:r>
        <w:rPr>
          <w:rFonts w:hint="eastAsia" w:ascii="黑体" w:hAnsi="黑体" w:eastAsia="黑体" w:cs="黑体"/>
          <w:b w:val="0"/>
          <w:bCs w:val="0"/>
          <w:sz w:val="32"/>
          <w:szCs w:val="32"/>
          <w:lang w:val="en-US" w:eastAsia="zh-CN"/>
        </w:rPr>
        <w:t>制度</w:t>
      </w:r>
    </w:p>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楷体" w:hAnsi="楷体" w:eastAsia="楷体" w:cs="楷体"/>
          <w:b/>
          <w:bCs/>
          <w:kern w:val="2"/>
          <w:sz w:val="32"/>
          <w:szCs w:val="22"/>
          <w:lang w:val="en-US" w:eastAsia="zh-CN" w:bidi="ar"/>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Times New Roman" w:hAnsi="Times New Roman" w:eastAsia="仿宋_GB2312" w:cs="Times New Roman"/>
          <w:color w:val="auto"/>
          <w:sz w:val="32"/>
          <w:szCs w:val="32"/>
          <w:lang w:val="en-US" w:eastAsia="zh-CN"/>
        </w:rPr>
      </w:pPr>
      <w:r>
        <w:rPr>
          <w:rFonts w:hint="eastAsia" w:ascii="楷体" w:hAnsi="楷体" w:eastAsia="楷体" w:cs="楷体"/>
          <w:b/>
          <w:bCs/>
          <w:kern w:val="2"/>
          <w:sz w:val="32"/>
          <w:szCs w:val="22"/>
          <w:lang w:val="en-US" w:eastAsia="zh-CN" w:bidi="ar"/>
        </w:rPr>
        <w:t>建立基本养老服务清单制度。</w:t>
      </w:r>
      <w:r>
        <w:rPr>
          <w:rFonts w:ascii="Times New Roman" w:hAnsi="Times New Roman" w:eastAsia="仿宋_GB2312" w:cs="Times New Roman"/>
          <w:color w:val="auto"/>
          <w:sz w:val="32"/>
          <w:szCs w:val="32"/>
        </w:rPr>
        <w:t>完善基本养老服务清单，推动基本养老服务清单内容纳入</w:t>
      </w:r>
      <w:r>
        <w:rPr>
          <w:rFonts w:hint="eastAsia" w:ascii="Times New Roman" w:hAnsi="Times New Roman" w:eastAsia="仿宋_GB2312" w:cs="Times New Roman"/>
          <w:color w:val="auto"/>
          <w:sz w:val="32"/>
          <w:szCs w:val="32"/>
          <w:highlight w:val="none"/>
          <w:lang w:eastAsia="zh-CN"/>
        </w:rPr>
        <w:t>区</w:t>
      </w:r>
      <w:r>
        <w:rPr>
          <w:rFonts w:ascii="Times New Roman" w:hAnsi="Times New Roman" w:eastAsia="仿宋_GB2312" w:cs="Times New Roman"/>
          <w:color w:val="auto"/>
          <w:sz w:val="32"/>
          <w:szCs w:val="32"/>
          <w:highlight w:val="none"/>
        </w:rPr>
        <w:t>级</w:t>
      </w:r>
      <w:r>
        <w:rPr>
          <w:rFonts w:ascii="Times New Roman" w:hAnsi="Times New Roman" w:eastAsia="仿宋_GB2312" w:cs="Times New Roman"/>
          <w:color w:val="auto"/>
          <w:sz w:val="32"/>
          <w:szCs w:val="32"/>
        </w:rPr>
        <w:t>基本公共服务和基本社会服务范畴。</w:t>
      </w:r>
      <w:r>
        <w:rPr>
          <w:rFonts w:hint="eastAsia" w:ascii="Times New Roman" w:hAnsi="Times New Roman" w:eastAsia="仿宋_GB2312" w:cs="Times New Roman"/>
          <w:color w:val="auto"/>
          <w:sz w:val="32"/>
          <w:szCs w:val="32"/>
          <w:lang w:val="en-US" w:eastAsia="zh-CN"/>
        </w:rPr>
        <w:t>优先将经济困难的失能、重残、高龄、空巢、留守、计划生育特殊家庭等老年人纳入基层养老服务清单制度重点保障对象。</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Times New Roman" w:hAnsi="Times New Roman" w:eastAsia="仿宋_GB2312" w:cs="Times New Roman"/>
          <w:color w:val="auto"/>
          <w:sz w:val="32"/>
          <w:szCs w:val="32"/>
          <w:lang w:val="en-US" w:eastAsia="zh-CN"/>
        </w:rPr>
      </w:pPr>
      <w:r>
        <w:rPr>
          <w:rFonts w:hint="eastAsia" w:ascii="楷体" w:hAnsi="楷体" w:eastAsia="楷体" w:cs="楷体"/>
          <w:b/>
          <w:bCs/>
          <w:kern w:val="2"/>
          <w:sz w:val="32"/>
          <w:szCs w:val="22"/>
          <w:lang w:val="en-US" w:eastAsia="zh-CN" w:bidi="ar"/>
        </w:rPr>
        <w:t>完善基本养老服务补贴制度。</w:t>
      </w:r>
      <w:r>
        <w:rPr>
          <w:rFonts w:hint="eastAsia" w:ascii="Times New Roman" w:hAnsi="Times New Roman" w:eastAsia="仿宋_GB2312" w:cs="Times New Roman"/>
          <w:color w:val="auto"/>
          <w:sz w:val="32"/>
          <w:szCs w:val="32"/>
          <w:lang w:val="en-US" w:eastAsia="zh-CN"/>
        </w:rPr>
        <w:t>全面落实高龄补（津）贴和经济困难的高龄、失能等老年人补贴制度，并根据经济社会发展水平尽力而为、量力而行逐步提高补贴标准。推进高龄津贴、护理补贴、服务补贴等老年人福利补贴优化整合，推动与残疾人两项补贴、社会救助等政策进一步衔接，完善补贴方式方法，提升精准度和有效性。</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22"/>
          <w:lang w:val="en-US" w:eastAsia="zh-CN" w:bidi="ar"/>
        </w:rPr>
        <w:t>推动建立多层次长期照护保障制度。</w:t>
      </w:r>
      <w:r>
        <w:rPr>
          <w:rFonts w:hint="eastAsia" w:ascii="仿宋_GB2312" w:hAnsi="仿宋_GB2312" w:eastAsia="仿宋_GB2312" w:cs="仿宋_GB2312"/>
          <w:sz w:val="32"/>
          <w:szCs w:val="32"/>
          <w:lang w:val="en-US" w:eastAsia="zh-CN"/>
        </w:rPr>
        <w:t>加强长期护理保险制度与长期照护服务体系有机衔接，建立健全从居家、社区到专业机构相衔接的多层次的长期照护服务体系，加大对经济困难高龄、失能老年人和特困老年人长期照护服务力度。坚持机制创新，引入社会力量参与经办服务，提升管理水平和服务效能，探索可持续的发展机制</w:t>
      </w:r>
      <w:bookmarkStart w:id="56" w:name="_Toc16298"/>
      <w:bookmarkStart w:id="57" w:name="_Toc6536"/>
      <w:r>
        <w:rPr>
          <w:rFonts w:hint="eastAsia" w:ascii="仿宋_GB2312" w:hAnsi="仿宋_GB2312" w:eastAsia="仿宋_GB2312" w:cs="仿宋_GB2312"/>
          <w:sz w:val="32"/>
          <w:szCs w:val="32"/>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 w:hAnsi="仿宋" w:eastAsia="仿宋" w:cs="仿宋"/>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第二节 </w:t>
      </w:r>
      <w:bookmarkEnd w:id="56"/>
      <w:bookmarkEnd w:id="57"/>
      <w:r>
        <w:rPr>
          <w:rFonts w:hint="eastAsia" w:ascii="黑体" w:hAnsi="黑体" w:eastAsia="黑体" w:cs="黑体"/>
          <w:b w:val="0"/>
          <w:bCs w:val="0"/>
          <w:sz w:val="32"/>
          <w:szCs w:val="32"/>
          <w:lang w:val="en-US" w:eastAsia="zh-CN"/>
        </w:rPr>
        <w:t>健全完善居家社区养老服务网络</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楷体" w:hAnsi="楷体" w:eastAsia="楷体" w:cs="楷体"/>
          <w:b/>
          <w:bCs/>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在城市辖区发展“街道-社区-小区”三级服务网络。</w:t>
      </w:r>
      <w:r>
        <w:rPr>
          <w:rFonts w:hint="eastAsia" w:ascii="仿宋_GB2312" w:hAnsi="仿宋_GB2312" w:eastAsia="仿宋_GB2312" w:cs="仿宋_GB2312"/>
          <w:sz w:val="32"/>
          <w:szCs w:val="32"/>
          <w:lang w:val="en-US" w:eastAsia="zh-CN"/>
        </w:rPr>
        <w:t>推进以嵌入式养老院为重点、以城市日间照料中心为补充的社区养老服务骨干网建设，在</w:t>
      </w:r>
      <w:r>
        <w:rPr>
          <w:rFonts w:hint="eastAsia" w:ascii="仿宋_GB2312" w:hAnsi="仿宋_GB2312" w:eastAsia="仿宋_GB2312" w:cs="仿宋_GB2312"/>
          <w:color w:val="auto"/>
          <w:sz w:val="32"/>
          <w:szCs w:val="32"/>
          <w:highlight w:val="none"/>
          <w:lang w:val="en-US" w:eastAsia="zh-CN"/>
        </w:rPr>
        <w:t>街道</w:t>
      </w:r>
      <w:r>
        <w:rPr>
          <w:rFonts w:hint="eastAsia" w:ascii="仿宋_GB2312" w:hAnsi="仿宋_GB2312" w:eastAsia="仿宋_GB2312" w:cs="仿宋_GB2312"/>
          <w:sz w:val="32"/>
          <w:szCs w:val="32"/>
          <w:highlight w:val="none"/>
          <w:lang w:val="en-US" w:eastAsia="zh-CN"/>
        </w:rPr>
        <w:t>建立综合性养老服务机构（中心），</w:t>
      </w:r>
      <w:r>
        <w:rPr>
          <w:rFonts w:hint="eastAsia" w:ascii="仿宋_GB2312" w:hAnsi="仿宋_GB2312" w:eastAsia="仿宋_GB2312" w:cs="仿宋_GB2312"/>
          <w:sz w:val="32"/>
          <w:szCs w:val="32"/>
          <w:lang w:val="en-US" w:eastAsia="zh-CN"/>
        </w:rPr>
        <w:t>承担全托、日托、上门服务等综合服务功能和相应区域的统筹指导功能，并支持承接相应区域的居家探视巡访、失能老年人帮扶、能力评估、家庭照护等服务；在社区建设日间照料中心（小型嵌入式养老院），为社区老年人提供照护托养、日间照料、助餐、康复护理、居家上门、陪诊转介等一站式养老服务。发挥社区养老服务机构短期照料、日间托养、居家照护、喘息服务等功能，大力发展专业化、规范化和高质量的护理服务，解决高龄、失能老年人就近就便的照料护理服务需求。围绕打造15分钟“养老服务圈”，大力发展助餐、助急、助医、助行、助浴、助洁、家政等服务。探索社区“物业服务+养老服务”模式，支持物业服务企业开展老年餐桌、定期巡访等多种形式的养老服务。</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Times New Roman" w:hAnsi="Times New Roman" w:eastAsia="仿宋_GB2312" w:cs="Times New Roman"/>
          <w:b w:val="0"/>
          <w:bCs w:val="0"/>
          <w:color w:val="000000"/>
          <w:spacing w:val="-6"/>
          <w:sz w:val="32"/>
          <w:shd w:val="clear" w:color="auto" w:fill="auto"/>
          <w:lang w:val="en-US" w:eastAsia="zh-CN"/>
        </w:rPr>
      </w:pPr>
      <w:r>
        <w:rPr>
          <w:rFonts w:hint="eastAsia" w:ascii="楷体" w:hAnsi="楷体" w:eastAsia="楷体" w:cs="楷体"/>
          <w:b/>
          <w:bCs/>
          <w:kern w:val="2"/>
          <w:sz w:val="32"/>
          <w:szCs w:val="22"/>
          <w:lang w:val="en-US" w:eastAsia="zh-CN" w:bidi="ar"/>
        </w:rPr>
        <w:t>促进农村互助养老服务提质升级。</w:t>
      </w:r>
      <w:r>
        <w:rPr>
          <w:rFonts w:hint="eastAsia" w:ascii="仿宋_GB2312" w:hAnsi="仿宋_GB2312" w:eastAsia="仿宋_GB2312" w:cs="仿宋_GB2312"/>
          <w:b w:val="0"/>
          <w:bCs w:val="0"/>
          <w:color w:val="000000"/>
          <w:sz w:val="32"/>
          <w:lang w:val="en-US" w:eastAsia="zh-CN"/>
        </w:rPr>
        <w:t>继续推进农村互助养老服务设施建设，充分利用闲置的校舍、办公用房等资源，按照助餐、助安、助医、助娱，有场所、有设备、有经费、有队伍、有制度的“四助五有”基本建设标准，在建制村、较大自然村因地制宜配建互助养老服务设施并与党群服务中心、新时代文明实践中心等有效整合，为农村留守老年人开展互助养老提供有效载体。深化“党建+农村互助养老服务”，实施党群连心、老人舒心、子女放心的“党建+农村互助养老服务”三心工程。探索建立农村互助养老服务可持续运营机制，按照“政府扶得起、村里办</w:t>
      </w:r>
      <w:r>
        <w:rPr>
          <w:rFonts w:hint="eastAsia" w:ascii="仿宋_GB2312" w:hAnsi="仿宋_GB2312" w:eastAsia="仿宋_GB2312" w:cs="仿宋_GB2312"/>
          <w:b w:val="0"/>
          <w:bCs w:val="0"/>
          <w:i w:val="0"/>
          <w:snapToGrid/>
          <w:color w:val="000000"/>
          <w:sz w:val="32"/>
          <w:shd w:val="clear" w:color="auto" w:fill="FFFFFF"/>
          <w:lang w:eastAsia="zh-CN"/>
        </w:rPr>
        <w:t>得起、老人用得上、服务可持续”原则，</w:t>
      </w:r>
      <w:r>
        <w:rPr>
          <w:rFonts w:hint="eastAsia" w:ascii="仿宋_GB2312" w:hAnsi="仿宋_GB2312" w:eastAsia="仿宋_GB2312" w:cs="仿宋_GB2312"/>
          <w:b w:val="0"/>
          <w:bCs w:val="0"/>
          <w:color w:val="000000"/>
          <w:sz w:val="32"/>
          <w:lang w:val="en-US" w:eastAsia="zh-CN"/>
        </w:rPr>
        <w:t>制定稳定的设施建设补助和运营补贴政策。进一步健全完善农村留守老年人日常探视、定期巡访、</w:t>
      </w:r>
      <w:r>
        <w:rPr>
          <w:rFonts w:hint="eastAsia" w:ascii="仿宋_GB2312" w:hAnsi="仿宋_GB2312" w:eastAsia="仿宋_GB2312" w:cs="仿宋_GB2312"/>
          <w:b w:val="0"/>
          <w:bCs w:val="0"/>
          <w:color w:val="000000"/>
          <w:spacing w:val="-6"/>
          <w:sz w:val="32"/>
          <w:lang w:val="en-US" w:eastAsia="zh-CN"/>
        </w:rPr>
        <w:t>结对帮扶三项制度，采取政府购买服务等方式，依托慈善力</w:t>
      </w:r>
      <w:r>
        <w:rPr>
          <w:rFonts w:hint="eastAsia" w:ascii="仿宋_GB2312" w:hAnsi="仿宋_GB2312" w:eastAsia="仿宋_GB2312" w:cs="仿宋_GB2312"/>
          <w:b w:val="0"/>
          <w:bCs w:val="0"/>
          <w:color w:val="000000"/>
          <w:spacing w:val="0"/>
          <w:sz w:val="32"/>
          <w:shd w:val="clear" w:color="auto" w:fill="auto"/>
          <w:lang w:val="en-US" w:eastAsia="zh-CN"/>
        </w:rPr>
        <w:t>量、志愿服务队伍，为行动不便的在家老年人开展探视巡访服务。</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Times New Roman" w:hAnsi="Times New Roman" w:eastAsia="仿宋_GB2312" w:cs="Times New Roman"/>
          <w:color w:val="auto"/>
          <w:spacing w:val="-11"/>
          <w:sz w:val="32"/>
          <w:szCs w:val="32"/>
          <w:lang w:val="en-US" w:eastAsia="zh-CN"/>
        </w:rPr>
      </w:pPr>
      <w:r>
        <w:rPr>
          <w:rFonts w:hint="eastAsia" w:ascii="楷体" w:hAnsi="楷体" w:eastAsia="楷体" w:cs="楷体"/>
          <w:b/>
          <w:bCs/>
          <w:kern w:val="2"/>
          <w:sz w:val="32"/>
          <w:szCs w:val="22"/>
          <w:shd w:val="clear" w:color="auto" w:fill="auto"/>
          <w:lang w:val="en-US" w:eastAsia="zh-CN" w:bidi="ar"/>
        </w:rPr>
        <w:t>延伸</w:t>
      </w:r>
      <w:r>
        <w:rPr>
          <w:rFonts w:hint="eastAsia" w:ascii="楷体" w:hAnsi="楷体" w:eastAsia="楷体" w:cs="楷体"/>
          <w:b/>
          <w:bCs/>
          <w:kern w:val="2"/>
          <w:sz w:val="32"/>
          <w:szCs w:val="22"/>
          <w:lang w:val="en-US" w:eastAsia="zh-CN" w:bidi="ar"/>
        </w:rPr>
        <w:t>居家养老服务支持。</w:t>
      </w:r>
      <w:r>
        <w:rPr>
          <w:rFonts w:hint="eastAsia" w:ascii="Times New Roman" w:hAnsi="Times New Roman" w:eastAsia="仿宋_GB2312" w:cs="Times New Roman"/>
          <w:b w:val="0"/>
          <w:bCs w:val="0"/>
          <w:color w:val="000000"/>
          <w:sz w:val="32"/>
          <w:lang w:val="en-US" w:eastAsia="zh-CN"/>
        </w:rPr>
        <w:t>不断夯实家庭养老基础性作用。依托社区养老服务机构开展“家庭照护床位”试点，完善建设、运营、管理、服务政策标准，健</w:t>
      </w:r>
      <w:r>
        <w:rPr>
          <w:rFonts w:hint="eastAsia" w:ascii="Times New Roman" w:hAnsi="Times New Roman" w:eastAsia="仿宋_GB2312" w:cs="Times New Roman"/>
          <w:color w:val="auto"/>
          <w:sz w:val="32"/>
          <w:szCs w:val="32"/>
          <w:lang w:val="en-US" w:eastAsia="zh-CN"/>
        </w:rPr>
        <w:t>全上门照护服务标准、合同范本，让居家老年人享受连续、稳定、专业的养老服务。支持发展面向长期照护对象家庭成员的“喘息服务”。探索通过政府购买服务等方式开展失能老年人</w:t>
      </w:r>
      <w:r>
        <w:rPr>
          <w:rFonts w:hint="eastAsia" w:ascii="Times New Roman" w:hAnsi="Times New Roman" w:eastAsia="仿宋_GB2312" w:cs="Times New Roman"/>
          <w:color w:val="auto"/>
          <w:spacing w:val="-11"/>
          <w:sz w:val="32"/>
          <w:szCs w:val="32"/>
          <w:lang w:val="en-US" w:eastAsia="zh-CN"/>
        </w:rPr>
        <w:t>家庭照护技能培训，普及居家护理知识、增强家庭照护能力。</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val="0"/>
          <w:bCs w:val="0"/>
          <w:color w:val="000000"/>
          <w:sz w:val="32"/>
          <w:lang w:val="en-US" w:eastAsia="zh-CN"/>
        </w:rPr>
      </w:pPr>
      <w:r>
        <w:rPr>
          <w:rFonts w:hint="default" w:ascii="楷体" w:hAnsi="楷体" w:eastAsia="楷体" w:cs="楷体"/>
          <w:b/>
          <w:bCs/>
          <w:kern w:val="2"/>
          <w:sz w:val="32"/>
          <w:szCs w:val="22"/>
          <w:lang w:val="en-US" w:eastAsia="zh-CN" w:bidi="ar"/>
        </w:rPr>
        <w:t>健全城市居家探访制度。</w:t>
      </w:r>
      <w:r>
        <w:rPr>
          <w:rFonts w:hint="default" w:ascii="Times New Roman" w:hAnsi="Times New Roman" w:eastAsia="仿宋_GB2312" w:cs="Times New Roman"/>
          <w:b w:val="0"/>
          <w:bCs w:val="0"/>
          <w:i w:val="0"/>
          <w:snapToGrid/>
          <w:color w:val="000000"/>
          <w:sz w:val="32"/>
          <w:shd w:val="clear" w:color="auto" w:fill="FFFFFF"/>
        </w:rPr>
        <w:t>将</w:t>
      </w:r>
      <w:r>
        <w:rPr>
          <w:rFonts w:hint="default" w:ascii="Times New Roman" w:hAnsi="Times New Roman" w:eastAsia="仿宋_GB2312" w:cs="Times New Roman"/>
          <w:b w:val="0"/>
          <w:bCs w:val="0"/>
          <w:i w:val="0"/>
          <w:snapToGrid/>
          <w:color w:val="000000"/>
          <w:sz w:val="32"/>
          <w:shd w:val="clear" w:color="auto" w:fill="FFFFFF"/>
          <w:lang w:eastAsia="zh-CN"/>
        </w:rPr>
        <w:t>特殊困难老年人探视巡访工作纳入基层社会治理和</w:t>
      </w:r>
      <w:r>
        <w:rPr>
          <w:rFonts w:hint="default" w:ascii="Times New Roman" w:hAnsi="Times New Roman" w:eastAsia="仿宋_GB2312" w:cs="Times New Roman"/>
          <w:b w:val="0"/>
          <w:bCs w:val="0"/>
          <w:i w:val="0"/>
          <w:snapToGrid/>
          <w:color w:val="auto"/>
          <w:sz w:val="32"/>
          <w:shd w:val="clear" w:color="auto" w:fill="FFFFFF"/>
        </w:rPr>
        <w:t>城乡社区</w:t>
      </w:r>
      <w:r>
        <w:rPr>
          <w:rFonts w:hint="default" w:ascii="Times New Roman" w:hAnsi="Times New Roman" w:eastAsia="仿宋_GB2312" w:cs="Times New Roman"/>
          <w:b w:val="0"/>
          <w:bCs w:val="0"/>
          <w:i w:val="0"/>
          <w:snapToGrid/>
          <w:color w:val="000000"/>
          <w:sz w:val="32"/>
          <w:shd w:val="clear" w:color="auto" w:fill="FFFFFF"/>
          <w:lang w:eastAsia="zh-CN"/>
        </w:rPr>
        <w:t>网格化管理</w:t>
      </w:r>
      <w:r>
        <w:rPr>
          <w:rFonts w:hint="default" w:ascii="Times New Roman" w:hAnsi="Times New Roman" w:eastAsia="仿宋_GB2312" w:cs="Times New Roman"/>
          <w:b w:val="0"/>
          <w:bCs w:val="0"/>
          <w:i w:val="0"/>
          <w:snapToGrid/>
          <w:color w:val="000000"/>
          <w:sz w:val="32"/>
          <w:shd w:val="clear" w:color="auto" w:fill="FFFFFF"/>
        </w:rPr>
        <w:t>重要内容</w:t>
      </w:r>
      <w:r>
        <w:rPr>
          <w:rFonts w:hint="default" w:ascii="Times New Roman" w:hAnsi="Times New Roman" w:eastAsia="仿宋_GB2312" w:cs="Times New Roman"/>
          <w:b w:val="0"/>
          <w:bCs w:val="0"/>
          <w:i w:val="0"/>
          <w:snapToGrid/>
          <w:color w:val="000000"/>
          <w:sz w:val="32"/>
          <w:shd w:val="clear" w:color="auto" w:fill="FFFFFF"/>
          <w:lang w:eastAsia="zh-CN"/>
        </w:rPr>
        <w:t>，</w:t>
      </w:r>
      <w:r>
        <w:rPr>
          <w:rFonts w:hint="default" w:ascii="Times New Roman" w:hAnsi="Times New Roman" w:eastAsia="仿宋_GB2312" w:cs="Times New Roman"/>
          <w:b w:val="0"/>
          <w:bCs w:val="0"/>
          <w:color w:val="000000"/>
          <w:sz w:val="32"/>
          <w:lang w:val="en-US" w:eastAsia="zh-CN"/>
        </w:rPr>
        <w:t>建立健全城市老年人居家探访制度</w:t>
      </w:r>
      <w:r>
        <w:rPr>
          <w:rFonts w:hint="default" w:ascii="Times New Roman" w:hAnsi="Times New Roman" w:eastAsia="仿宋_GB2312" w:cs="Times New Roman"/>
          <w:b w:val="0"/>
          <w:bCs w:val="0"/>
          <w:color w:val="000000"/>
          <w:sz w:val="32"/>
          <w:lang w:eastAsia="zh-CN"/>
        </w:rPr>
        <w:t>。</w:t>
      </w:r>
      <w:r>
        <w:rPr>
          <w:rFonts w:hint="default" w:ascii="Times New Roman" w:hAnsi="Times New Roman" w:eastAsia="仿宋_GB2312" w:cs="Times New Roman"/>
          <w:b w:val="0"/>
          <w:bCs w:val="0"/>
          <w:color w:val="000000"/>
          <w:sz w:val="32"/>
          <w:lang w:val="en-US" w:eastAsia="zh-CN"/>
        </w:rPr>
        <w:t>鼓励各地通过购买服务等方式，支持和引导基层组织、社会组织、专业社工及志愿服务队伍等，重点面向</w:t>
      </w:r>
      <w:r>
        <w:rPr>
          <w:rFonts w:hint="default" w:ascii="Times New Roman" w:hAnsi="Times New Roman" w:eastAsia="仿宋_GB2312" w:cs="Times New Roman"/>
          <w:b w:val="0"/>
          <w:bCs w:val="0"/>
          <w:color w:val="000000"/>
          <w:sz w:val="32"/>
          <w:lang w:eastAsia="zh-CN"/>
        </w:rPr>
        <w:t>空巢、留守、失能、重残、计划生育特殊家庭等特殊困难老年人</w:t>
      </w:r>
      <w:r>
        <w:rPr>
          <w:rFonts w:hint="default" w:ascii="Times New Roman" w:hAnsi="Times New Roman" w:eastAsia="仿宋_GB2312" w:cs="Times New Roman"/>
          <w:b w:val="0"/>
          <w:bCs w:val="0"/>
          <w:color w:val="000000"/>
          <w:sz w:val="32"/>
          <w:lang w:val="en-US" w:eastAsia="zh-CN"/>
        </w:rPr>
        <w:t>开展以探视巡访为主的关爱服务。</w:t>
      </w:r>
    </w:p>
    <w:p>
      <w:pPr>
        <w:pStyle w:val="2"/>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baseline"/>
        <w:rPr>
          <w:rFonts w:hint="eastAsia" w:ascii="Times New Roman" w:hAnsi="Times New Roman" w:eastAsia="仿宋_GB2312" w:cs="Times New Roman"/>
          <w:b w:val="0"/>
          <w:bCs w:val="0"/>
          <w:color w:val="000000"/>
          <w:sz w:val="32"/>
          <w:lang w:val="en-US" w:eastAsia="zh-CN"/>
        </w:rPr>
      </w:pPr>
      <w:r>
        <w:rPr>
          <w:rFonts w:hint="eastAsia" w:ascii="楷体" w:hAnsi="楷体" w:eastAsia="楷体" w:cs="楷体"/>
          <w:b/>
          <w:bCs/>
          <w:kern w:val="2"/>
          <w:sz w:val="32"/>
          <w:szCs w:val="22"/>
          <w:lang w:val="en-US" w:eastAsia="zh-CN" w:bidi="ar"/>
        </w:rPr>
        <w:t>推进老年人家庭适老化改造。</w:t>
      </w:r>
      <w:r>
        <w:rPr>
          <w:rFonts w:hint="eastAsia" w:ascii="仿宋_GB2312" w:hAnsi="仿宋_GB2312" w:eastAsia="仿宋_GB2312" w:cs="仿宋_GB2312"/>
          <w:b w:val="0"/>
          <w:bCs w:val="0"/>
          <w:color w:val="000000"/>
          <w:sz w:val="32"/>
          <w:lang w:val="en-US" w:eastAsia="zh-CN"/>
        </w:rPr>
        <w:t>从2021年起，围绕施工改造、设施配备、老年用品配置等内容，采取政府补贴方式，</w:t>
      </w:r>
      <w:r>
        <w:rPr>
          <w:rFonts w:hint="eastAsia" w:ascii="仿宋_GB2312" w:hAnsi="仿宋_GB2312" w:eastAsia="仿宋_GB2312" w:cs="仿宋_GB2312"/>
          <w:b w:val="0"/>
          <w:bCs w:val="0"/>
          <w:color w:val="000000"/>
          <w:sz w:val="32"/>
          <w:highlight w:val="none"/>
          <w:lang w:val="en-US" w:eastAsia="zh-CN"/>
        </w:rPr>
        <w:t>每年对特殊困难的高龄、失能、残疾等老年人家庭进行居家适老化改造。</w:t>
      </w:r>
      <w:r>
        <w:rPr>
          <w:rFonts w:hint="eastAsia" w:ascii="仿宋_GB2312" w:hAnsi="仿宋_GB2312" w:eastAsia="仿宋_GB2312" w:cs="仿宋_GB2312"/>
          <w:b w:val="0"/>
          <w:bCs w:val="0"/>
          <w:color w:val="000000"/>
          <w:sz w:val="32"/>
          <w:lang w:val="en-US" w:eastAsia="zh-CN"/>
        </w:rPr>
        <w:t>支持有需要的老年人家庭开展居家适老化改造，逐步推动由“兜底型”向“适度普惠型”转变。推广老年人居家适老化改造项目和老年用品配置清单，引导开展适合老年人生理特点及安全需要的设施改造和老年用品配置，方便家庭成员照料服务。</w:t>
      </w: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lang w:val="en-US" w:eastAsia="zh-CN"/>
        </w:rPr>
        <w:t>第三节  推动养老服务供给量质</w:t>
      </w:r>
      <w:r>
        <w:rPr>
          <w:rFonts w:hint="eastAsia" w:ascii="黑体" w:hAnsi="黑体" w:eastAsia="黑体" w:cs="黑体"/>
          <w:b w:val="0"/>
          <w:bCs w:val="0"/>
          <w:color w:val="auto"/>
          <w:sz w:val="32"/>
          <w:szCs w:val="32"/>
          <w:highlight w:val="none"/>
          <w:lang w:val="en-US" w:eastAsia="zh-CN"/>
        </w:rPr>
        <w:t>提升</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eastAsia" w:ascii="仿宋_GB2312" w:hAnsi="仿宋_GB2312" w:eastAsia="仿宋_GB2312" w:cs="仿宋_GB2312"/>
          <w:b w:val="0"/>
          <w:bCs w:val="0"/>
          <w:kern w:val="2"/>
          <w:sz w:val="36"/>
          <w:szCs w:val="24"/>
          <w:lang w:val="en-US" w:eastAsia="zh-CN" w:bidi="ar"/>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kern w:val="2"/>
          <w:sz w:val="32"/>
          <w:szCs w:val="22"/>
          <w:lang w:val="en-US" w:eastAsia="zh-CN" w:bidi="ar"/>
        </w:rPr>
        <w:t>扶持发展社会办养老服务机构。</w:t>
      </w:r>
      <w:r>
        <w:rPr>
          <w:rFonts w:hint="eastAsia" w:ascii="仿宋_GB2312" w:hAnsi="仿宋_GB2312" w:eastAsia="仿宋_GB2312" w:cs="仿宋_GB2312"/>
          <w:sz w:val="32"/>
          <w:szCs w:val="32"/>
          <w:lang w:val="en-US" w:eastAsia="zh-CN"/>
        </w:rPr>
        <w:t>深化“放管服”改革，</w:t>
      </w:r>
      <w:r>
        <w:rPr>
          <w:rFonts w:hint="eastAsia" w:ascii="仿宋_GB2312" w:hAnsi="仿宋_GB2312" w:eastAsia="仿宋_GB2312" w:cs="仿宋_GB2312"/>
          <w:b w:val="0"/>
          <w:bCs w:val="0"/>
          <w:color w:val="000000"/>
          <w:sz w:val="32"/>
          <w:szCs w:val="32"/>
          <w:lang w:val="en-US" w:eastAsia="zh-CN"/>
        </w:rPr>
        <w:t>完善养老机构</w:t>
      </w:r>
      <w:r>
        <w:rPr>
          <w:rFonts w:hint="eastAsia" w:ascii="仿宋_GB2312" w:hAnsi="仿宋_GB2312" w:eastAsia="仿宋_GB2312" w:cs="仿宋_GB2312"/>
          <w:b w:val="0"/>
          <w:bCs w:val="0"/>
          <w:color w:val="000000"/>
          <w:sz w:val="32"/>
          <w:szCs w:val="32"/>
          <w:lang w:eastAsia="zh-CN"/>
        </w:rPr>
        <w:t>备案管理制度，</w:t>
      </w:r>
      <w:r>
        <w:rPr>
          <w:rFonts w:hint="eastAsia" w:ascii="仿宋_GB2312" w:hAnsi="仿宋_GB2312" w:eastAsia="仿宋_GB2312" w:cs="仿宋_GB2312"/>
          <w:sz w:val="32"/>
          <w:szCs w:val="32"/>
          <w:lang w:eastAsia="zh-CN"/>
        </w:rPr>
        <w:t>规范备案管理工作</w:t>
      </w:r>
      <w:r>
        <w:rPr>
          <w:rFonts w:hint="eastAsia" w:ascii="仿宋_GB2312" w:hAnsi="仿宋_GB2312" w:eastAsia="仿宋_GB2312" w:cs="仿宋_GB2312"/>
          <w:b w:val="0"/>
          <w:bCs w:val="0"/>
          <w:color w:val="000000"/>
          <w:sz w:val="32"/>
          <w:szCs w:val="32"/>
          <w:lang w:eastAsia="zh-CN"/>
        </w:rPr>
        <w:t>。进一步优化相关政务服务、精简审批手续、提高审批效率，对养老机构筹建审批过程中涉及的各有关部门，要主动公开审批程序和审批时限，推行一站式标准化服务，切实加强养老机构项目筹建指导。</w:t>
      </w:r>
      <w:r>
        <w:rPr>
          <w:rFonts w:hint="eastAsia" w:ascii="仿宋_GB2312" w:hAnsi="仿宋_GB2312" w:eastAsia="仿宋_GB2312" w:cs="仿宋_GB2312"/>
          <w:b w:val="0"/>
          <w:bCs w:val="0"/>
          <w:color w:val="000000"/>
          <w:sz w:val="32"/>
          <w:szCs w:val="32"/>
        </w:rPr>
        <w:t>加强养老服务信息公</w:t>
      </w:r>
      <w:r>
        <w:rPr>
          <w:rFonts w:hint="eastAsia" w:ascii="仿宋_GB2312" w:hAnsi="仿宋_GB2312" w:eastAsia="仿宋_GB2312" w:cs="仿宋_GB2312"/>
          <w:b w:val="0"/>
          <w:bCs w:val="0"/>
          <w:color w:val="000000"/>
          <w:sz w:val="32"/>
          <w:szCs w:val="32"/>
          <w:lang w:eastAsia="zh-CN"/>
        </w:rPr>
        <w:t>开和政策指引，及时更新公布政策措施、供需信息或投资指南。</w:t>
      </w:r>
      <w:r>
        <w:rPr>
          <w:rFonts w:hint="eastAsia" w:ascii="仿宋_GB2312" w:hAnsi="仿宋_GB2312" w:eastAsia="仿宋_GB2312" w:cs="仿宋_GB2312"/>
          <w:b w:val="0"/>
          <w:bCs w:val="0"/>
          <w:color w:val="000000"/>
          <w:sz w:val="32"/>
          <w:szCs w:val="32"/>
          <w:lang w:val="en-US" w:eastAsia="zh-CN"/>
        </w:rPr>
        <w:t>发挥中央预算内投资引领作用，通过开展城企合作等方式，</w:t>
      </w:r>
      <w:r>
        <w:rPr>
          <w:rFonts w:hint="eastAsia" w:ascii="仿宋_GB2312" w:hAnsi="仿宋_GB2312" w:eastAsia="仿宋_GB2312" w:cs="仿宋_GB2312"/>
          <w:b w:val="0"/>
          <w:bCs w:val="0"/>
          <w:color w:val="000000"/>
          <w:sz w:val="32"/>
          <w:szCs w:val="32"/>
          <w:lang w:eastAsia="zh-CN"/>
        </w:rPr>
        <w:t>建设一批普惠性养老服务机构，</w:t>
      </w:r>
      <w:r>
        <w:rPr>
          <w:rFonts w:hint="eastAsia" w:ascii="仿宋_GB2312" w:hAnsi="仿宋_GB2312" w:eastAsia="仿宋_GB2312" w:cs="仿宋_GB2312"/>
          <w:b w:val="0"/>
          <w:bCs w:val="0"/>
          <w:color w:val="000000"/>
          <w:sz w:val="32"/>
          <w:szCs w:val="32"/>
          <w:lang w:val="en-US" w:eastAsia="zh-CN"/>
        </w:rPr>
        <w:t>构建“机构有效益、老人可接受、市场有发展、质量有保障”的普惠养老模式。</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Times New Roman" w:hAnsi="Times New Roman" w:eastAsia="仿宋_GB2312" w:cs="Times New Roman"/>
          <w:b w:val="0"/>
          <w:bCs w:val="0"/>
          <w:color w:val="000000"/>
          <w:sz w:val="32"/>
          <w:szCs w:val="32"/>
          <w:lang w:val="en-US" w:eastAsia="zh-CN"/>
        </w:rPr>
      </w:pPr>
      <w:r>
        <w:rPr>
          <w:rFonts w:hint="eastAsia" w:ascii="楷体" w:hAnsi="楷体" w:eastAsia="楷体" w:cs="楷体"/>
          <w:b/>
          <w:bCs/>
          <w:kern w:val="2"/>
          <w:sz w:val="32"/>
          <w:szCs w:val="22"/>
          <w:lang w:val="en-US" w:eastAsia="zh-CN" w:bidi="ar"/>
        </w:rPr>
        <w:t>突出护理能力建设。</w:t>
      </w:r>
      <w:r>
        <w:rPr>
          <w:rFonts w:hint="eastAsia" w:ascii="Times New Roman" w:hAnsi="Times New Roman" w:eastAsia="仿宋_GB2312" w:cs="Times New Roman"/>
          <w:b w:val="0"/>
          <w:bCs w:val="0"/>
          <w:color w:val="000000"/>
          <w:sz w:val="32"/>
          <w:szCs w:val="32"/>
          <w:lang w:val="en-US" w:eastAsia="zh-CN"/>
        </w:rPr>
        <w:t>聚焦高龄及失能失智老年人长期照护服务的刚性需求，把提升养老机构护理能力摆在更加突出的位置，重点扶持发展满足基本养老服务需求、突出护理功能的养老机构。针对失智老年人的特殊需求，鼓励社会力量兴办面向失智老年人的照护机构或开辟专区。</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仿宋_GB2312" w:hAnsi="仿宋_GB2312" w:eastAsia="仿宋_GB2312" w:cs="仿宋_GB2312"/>
          <w:b w:val="0"/>
          <w:bCs w:val="0"/>
          <w:sz w:val="32"/>
          <w:lang w:val="en-US" w:eastAsia="zh-CN"/>
        </w:rPr>
      </w:pPr>
      <w:r>
        <w:rPr>
          <w:rFonts w:hint="eastAsia" w:ascii="楷体" w:hAnsi="楷体" w:eastAsia="楷体" w:cs="楷体"/>
          <w:b/>
          <w:bCs/>
          <w:kern w:val="2"/>
          <w:sz w:val="32"/>
          <w:szCs w:val="22"/>
          <w:lang w:val="en-US" w:eastAsia="zh-CN" w:bidi="ar"/>
        </w:rPr>
        <w:t>提升养老机构应急处置能力。</w:t>
      </w:r>
      <w:r>
        <w:rPr>
          <w:rFonts w:hint="eastAsia" w:ascii="仿宋_GB2312" w:hAnsi="仿宋_GB2312" w:eastAsia="仿宋_GB2312" w:cs="仿宋_GB2312"/>
          <w:b w:val="0"/>
          <w:bCs w:val="0"/>
          <w:sz w:val="32"/>
          <w:lang w:val="en-US" w:eastAsia="zh-CN"/>
        </w:rPr>
        <w:t>推动建立养老机构自然灾害、事故灾难、公共卫生和社会安全等突发公共事件预案，做好各类风险日常评估和干预，健全应急管理机制，定期开展应急演练和有关突发事件应急知识的宣传普及活动，组织和建设应急响应先期处置队伍，构建“分层分类、平战结合、高效协作”的应急体系。养老机构在建筑设计时充分考虑医疗感染管理要求，增设隔离功能并配备必要的防控物资和设备，加强工作人员应急知识培训。依托城市公办养老机构或综合性示范机构，成立养老服务应急救援中心，配置必要的应急救援设备和应急物资。</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Times New Roman" w:hAnsi="Times New Roman" w:eastAsia="仿宋_GB2312" w:cs="Times New Roman"/>
          <w:b w:val="0"/>
          <w:bCs w:val="0"/>
          <w:sz w:val="32"/>
          <w:lang w:val="en-US" w:eastAsia="zh-CN"/>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jc w:val="center"/>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第四节  提升医养康养融合发展水平</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楷体" w:hAnsi="楷体" w:eastAsia="楷体" w:cs="楷体"/>
          <w:b/>
          <w:bCs/>
          <w:kern w:val="2"/>
          <w:sz w:val="32"/>
          <w:szCs w:val="22"/>
          <w:lang w:val="en-US" w:eastAsia="zh-CN" w:bidi="ar"/>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仿宋_GB2312" w:hAnsi="仿宋_GB2312" w:eastAsia="仿宋_GB2312" w:cs="仿宋_GB2312"/>
          <w:b w:val="0"/>
          <w:bCs w:val="0"/>
          <w:i w:val="0"/>
          <w:snapToGrid/>
          <w:color w:val="000000"/>
          <w:kern w:val="2"/>
          <w:sz w:val="32"/>
          <w:szCs w:val="24"/>
          <w:shd w:val="clear" w:color="auto" w:fill="FFFFFF"/>
          <w:lang w:val="en-US" w:eastAsia="zh-CN" w:bidi="ar-SA"/>
        </w:rPr>
      </w:pPr>
      <w:r>
        <w:rPr>
          <w:rFonts w:hint="eastAsia" w:ascii="楷体" w:hAnsi="楷体" w:eastAsia="楷体" w:cs="楷体"/>
          <w:b/>
          <w:bCs/>
          <w:kern w:val="2"/>
          <w:sz w:val="32"/>
          <w:szCs w:val="22"/>
          <w:lang w:val="en-US" w:eastAsia="zh-CN" w:bidi="ar"/>
        </w:rPr>
        <w:t>畅通医养结合政策渠道。</w:t>
      </w:r>
      <w:r>
        <w:rPr>
          <w:rFonts w:hint="eastAsia" w:ascii="仿宋_GB2312" w:hAnsi="仿宋_GB2312" w:eastAsia="仿宋_GB2312" w:cs="仿宋_GB2312"/>
          <w:b w:val="0"/>
          <w:bCs w:val="0"/>
          <w:color w:val="000000"/>
          <w:sz w:val="32"/>
          <w:szCs w:val="32"/>
          <w:lang w:val="en-US" w:eastAsia="zh-CN"/>
        </w:rPr>
        <w:t>按照“就近就便、互利互惠”原则，建立健全医疗卫生机构与养老服务机构合作机制，实施医养结合试点合作示范，全面深度促进医养融合发展。</w:t>
      </w:r>
      <w:r>
        <w:rPr>
          <w:rFonts w:hint="eastAsia" w:ascii="仿宋_GB2312" w:hAnsi="仿宋_GB2312" w:eastAsia="仿宋_GB2312" w:cs="仿宋_GB2312"/>
          <w:b w:val="0"/>
          <w:bCs w:val="0"/>
          <w:i w:val="0"/>
          <w:snapToGrid/>
          <w:color w:val="000000"/>
          <w:kern w:val="2"/>
          <w:sz w:val="32"/>
          <w:szCs w:val="24"/>
          <w:shd w:val="clear" w:color="auto" w:fill="FFFFFF"/>
          <w:lang w:val="en-US" w:eastAsia="zh-CN" w:bidi="ar-SA"/>
        </w:rPr>
        <w:t>切实简化医养结合机构设立流程，对养老机构内设诊所、卫生所（室）、医务室、护理站，取消行政审批，实行备案管理，具备法人资格的医疗机构可通过变更登记事项或经营范围开展养老服务。要普遍建立养老机构与医疗机构预约就诊、双向转诊等合作机制，基本构建起养老、医疗、照护、康复、临终关怀等服务相互衔接补充的“医养结合”一体化服务模式，实现养老和医疗资源利用最大化。</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default" w:ascii="Times New Roman" w:hAnsi="Times New Roman" w:eastAsia="仿宋_GB2312" w:cs="Times New Roman"/>
          <w:b w:val="0"/>
          <w:bCs w:val="0"/>
          <w:i w:val="0"/>
          <w:snapToGrid/>
          <w:color w:val="000000"/>
          <w:kern w:val="2"/>
          <w:sz w:val="32"/>
          <w:szCs w:val="24"/>
          <w:shd w:val="clear" w:color="auto" w:fill="FFFFFF"/>
          <w:lang w:val="en-US" w:eastAsia="en-US" w:bidi="ar-SA"/>
        </w:rPr>
      </w:pPr>
      <w:r>
        <w:rPr>
          <w:rFonts w:hint="default" w:ascii="楷体" w:hAnsi="楷体" w:eastAsia="楷体" w:cs="楷体"/>
          <w:b/>
          <w:bCs/>
          <w:kern w:val="2"/>
          <w:sz w:val="32"/>
          <w:szCs w:val="22"/>
          <w:lang w:val="en-US" w:eastAsia="zh-CN" w:bidi="ar"/>
        </w:rPr>
        <w:t>支持举办医养结合机构。</w:t>
      </w:r>
      <w:r>
        <w:rPr>
          <w:rFonts w:hint="default" w:ascii="Times New Roman" w:hAnsi="Times New Roman" w:eastAsia="仿宋_GB2312" w:cs="Times New Roman"/>
          <w:b w:val="0"/>
          <w:bCs w:val="0"/>
          <w:i w:val="0"/>
          <w:snapToGrid/>
          <w:color w:val="000000"/>
          <w:kern w:val="2"/>
          <w:sz w:val="32"/>
          <w:szCs w:val="24"/>
          <w:shd w:val="clear" w:color="auto" w:fill="FFFFFF"/>
          <w:lang w:val="en-US" w:eastAsia="zh-CN" w:bidi="ar-SA"/>
        </w:rPr>
        <w:t>要统筹布局医疗卫生和养老服务资源。</w:t>
      </w:r>
      <w:r>
        <w:rPr>
          <w:rFonts w:hint="default" w:ascii="Times New Roman" w:hAnsi="Times New Roman" w:eastAsia="仿宋_GB2312" w:cs="Times New Roman"/>
          <w:b w:val="0"/>
          <w:bCs w:val="0"/>
          <w:i w:val="0"/>
          <w:snapToGrid/>
          <w:color w:val="000000"/>
          <w:kern w:val="2"/>
          <w:sz w:val="32"/>
          <w:szCs w:val="24"/>
          <w:shd w:val="clear" w:color="auto" w:fill="FFFFFF"/>
          <w:lang w:val="en-US" w:eastAsia="en-US" w:bidi="ar-SA"/>
        </w:rPr>
        <w:t>支持有条件的养老机构按相关规定申请开办康复医院、护理院、</w:t>
      </w:r>
      <w:r>
        <w:rPr>
          <w:rFonts w:hint="default" w:ascii="Times New Roman" w:hAnsi="Times New Roman" w:eastAsia="仿宋_GB2312" w:cs="Times New Roman"/>
          <w:b w:val="0"/>
          <w:bCs w:val="0"/>
          <w:i w:val="0"/>
          <w:snapToGrid/>
          <w:color w:val="000000"/>
          <w:spacing w:val="-6"/>
          <w:kern w:val="2"/>
          <w:sz w:val="32"/>
          <w:szCs w:val="24"/>
          <w:shd w:val="clear" w:color="auto" w:fill="FFFFFF"/>
          <w:lang w:val="en-US" w:eastAsia="en-US" w:bidi="ar-SA"/>
        </w:rPr>
        <w:t>中医医院、安宁疗护等机构</w:t>
      </w:r>
      <w:r>
        <w:rPr>
          <w:rFonts w:hint="default" w:ascii="Times New Roman" w:hAnsi="Times New Roman" w:eastAsia="仿宋_GB2312" w:cs="Times New Roman"/>
          <w:b w:val="0"/>
          <w:bCs w:val="0"/>
          <w:i w:val="0"/>
          <w:snapToGrid/>
          <w:color w:val="000000"/>
          <w:spacing w:val="-6"/>
          <w:kern w:val="2"/>
          <w:sz w:val="32"/>
          <w:szCs w:val="24"/>
          <w:shd w:val="clear" w:color="auto" w:fill="FFFFFF"/>
          <w:lang w:val="en-US" w:eastAsia="zh-CN" w:bidi="ar-SA"/>
        </w:rPr>
        <w:t>，支持医疗机构开展养老服务，在老年康复医院、护理院、临终关怀机构和综合医院等机构中加强老年病科室建设；医疗机构利用现有资源提供养老服务的，其建设、消防等条件可依据医疗机构已具备的资质直接备案。支持通过建立养老医疗联合体等方式，发展具有医养或康养特色的养老机构，整合养老、医疗、</w:t>
      </w:r>
      <w:r>
        <w:rPr>
          <w:rFonts w:hint="default" w:ascii="Times New Roman" w:hAnsi="Times New Roman" w:eastAsia="仿宋_GB2312" w:cs="Times New Roman"/>
          <w:b w:val="0"/>
          <w:bCs w:val="0"/>
          <w:i w:val="0"/>
          <w:snapToGrid/>
          <w:color w:val="000000"/>
          <w:kern w:val="2"/>
          <w:sz w:val="32"/>
          <w:szCs w:val="24"/>
          <w:shd w:val="clear" w:color="auto" w:fill="FFFFFF"/>
          <w:lang w:val="en-US" w:eastAsia="zh-CN" w:bidi="ar-SA"/>
        </w:rPr>
        <w:t>康复和护理资源，为老年人提供一体化的医疗、健康和养老服务</w:t>
      </w:r>
      <w:r>
        <w:rPr>
          <w:rFonts w:hint="default" w:ascii="Times New Roman" w:hAnsi="Times New Roman" w:eastAsia="仿宋_GB2312" w:cs="Times New Roman"/>
          <w:b w:val="0"/>
          <w:bCs w:val="0"/>
          <w:i w:val="0"/>
          <w:snapToGrid/>
          <w:color w:val="000000"/>
          <w:kern w:val="2"/>
          <w:sz w:val="32"/>
          <w:szCs w:val="24"/>
          <w:shd w:val="clear" w:color="auto" w:fill="FFFFFF"/>
          <w:lang w:val="en-US" w:eastAsia="en-US" w:bidi="ar-SA"/>
        </w:rPr>
        <w:t>。</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default" w:ascii="Times New Roman" w:hAnsi="Times New Roman" w:eastAsia="仿宋_GB2312" w:cs="Times New Roman"/>
          <w:b w:val="0"/>
          <w:bCs w:val="0"/>
          <w:i w:val="0"/>
          <w:snapToGrid/>
          <w:color w:val="000000"/>
          <w:kern w:val="2"/>
          <w:sz w:val="32"/>
          <w:szCs w:val="24"/>
          <w:shd w:val="clear" w:color="auto" w:fill="FFFFFF"/>
          <w:lang w:val="en-US" w:eastAsia="zh-CN" w:bidi="ar-SA"/>
        </w:rPr>
      </w:pPr>
      <w:r>
        <w:rPr>
          <w:rFonts w:hint="default" w:ascii="楷体" w:hAnsi="楷体" w:eastAsia="楷体" w:cs="楷体"/>
          <w:b/>
          <w:bCs/>
          <w:kern w:val="2"/>
          <w:sz w:val="32"/>
          <w:szCs w:val="22"/>
          <w:lang w:val="en-US" w:eastAsia="zh-CN" w:bidi="ar"/>
        </w:rPr>
        <w:t>推动基层医疗卫生服务向社区、家庭流动延伸。</w:t>
      </w:r>
      <w:r>
        <w:rPr>
          <w:rFonts w:hint="default" w:ascii="Times New Roman" w:hAnsi="Times New Roman" w:eastAsia="仿宋_GB2312" w:cs="Times New Roman"/>
          <w:b w:val="0"/>
          <w:bCs w:val="0"/>
          <w:i w:val="0"/>
          <w:snapToGrid/>
          <w:color w:val="000000"/>
          <w:kern w:val="2"/>
          <w:sz w:val="32"/>
          <w:szCs w:val="24"/>
          <w:shd w:val="clear" w:color="auto" w:fill="FFFFFF"/>
          <w:lang w:val="en-US" w:eastAsia="zh-CN" w:bidi="ar-SA"/>
        </w:rPr>
        <w:t>提升基层医疗卫生机构提供居家社区养老服务能力，依托乡镇卫生院、社区卫生服务中心等基层医疗卫生机构，开展护理服务、家庭病床进社区，为居家老年人提供上门医疗护理服务；聚焦失能和部分失能老年人的实际需求，提供适宜、综合连续的长期照护服务。以为高龄失能失智老年人居家提供健康安居、普惠照护服务作为突破口，做实家庭医生签约服务，鼓励医疗机构和医务工作志愿者为居家高龄失能失智老年人提供家庭病床、巡诊等上门医疗服务。</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仿宋_GB2312" w:hAnsi="仿宋_GB2312" w:eastAsia="仿宋_GB2312" w:cs="仿宋_GB2312"/>
          <w:b w:val="0"/>
          <w:bCs w:val="0"/>
          <w:i w:val="0"/>
          <w:snapToGrid/>
          <w:color w:val="000000"/>
          <w:spacing w:val="-6"/>
          <w:kern w:val="2"/>
          <w:sz w:val="32"/>
          <w:szCs w:val="24"/>
          <w:shd w:val="clear" w:color="auto" w:fill="FFFFFF"/>
          <w:lang w:val="en-US" w:eastAsia="zh-CN" w:bidi="ar-SA"/>
        </w:rPr>
      </w:pPr>
      <w:r>
        <w:rPr>
          <w:rFonts w:hint="eastAsia" w:ascii="楷体" w:hAnsi="楷体" w:eastAsia="楷体" w:cs="楷体"/>
          <w:b/>
          <w:bCs/>
          <w:kern w:val="2"/>
          <w:sz w:val="32"/>
          <w:szCs w:val="22"/>
          <w:lang w:val="en-US" w:eastAsia="zh-CN" w:bidi="ar"/>
        </w:rPr>
        <w:t>建立完善老年人健康服务体系。</w:t>
      </w:r>
      <w:r>
        <w:rPr>
          <w:rFonts w:hint="eastAsia" w:ascii="仿宋_GB2312" w:hAnsi="仿宋_GB2312" w:eastAsia="仿宋_GB2312" w:cs="仿宋_GB2312"/>
          <w:b w:val="0"/>
          <w:bCs w:val="0"/>
          <w:i w:val="0"/>
          <w:snapToGrid/>
          <w:color w:val="000000"/>
          <w:kern w:val="2"/>
          <w:sz w:val="32"/>
          <w:szCs w:val="24"/>
          <w:shd w:val="clear" w:color="auto" w:fill="FFFFFF"/>
          <w:lang w:val="en-US" w:eastAsia="zh-CN" w:bidi="ar-SA"/>
        </w:rPr>
        <w:t>认真做好老年人健康教育、预防保健、疾病诊治、康复护理、长期照护、安宁疗护等服务，延伸养老服务链条，实现从健康管理、失能失智照护到安宁疗护的老年人生命周期全覆盖。将老年人健康管理作为基本公共卫生服务项目绩效评价的重要内容。到2022年，基本建立老年健康服务相关制度、标准和</w:t>
      </w:r>
      <w:r>
        <w:rPr>
          <w:rFonts w:hint="eastAsia" w:ascii="仿宋_GB2312" w:hAnsi="仿宋_GB2312" w:eastAsia="仿宋_GB2312" w:cs="仿宋_GB2312"/>
          <w:b w:val="0"/>
          <w:bCs w:val="0"/>
          <w:i w:val="0"/>
          <w:snapToGrid/>
          <w:color w:val="000000"/>
          <w:spacing w:val="-6"/>
          <w:kern w:val="2"/>
          <w:sz w:val="32"/>
          <w:szCs w:val="24"/>
          <w:shd w:val="clear" w:color="auto" w:fill="FFFFFF"/>
          <w:lang w:val="en-US" w:eastAsia="zh-CN" w:bidi="ar-SA"/>
        </w:rPr>
        <w:t>规范，基本建立综合连续、城乡覆盖的老年健康服务体系。</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仿宋_GB2312" w:hAnsi="仿宋_GB2312" w:eastAsia="仿宋_GB2312" w:cs="仿宋_GB2312"/>
          <w:b w:val="0"/>
          <w:bCs w:val="0"/>
          <w:i w:val="0"/>
          <w:snapToGrid/>
          <w:color w:val="000000"/>
          <w:kern w:val="2"/>
          <w:sz w:val="32"/>
          <w:szCs w:val="24"/>
          <w:shd w:val="clear" w:color="auto" w:fill="FFFFFF"/>
          <w:lang w:val="en-US" w:eastAsia="zh-CN" w:bidi="ar-SA"/>
        </w:rPr>
      </w:pPr>
    </w:p>
    <w:p>
      <w:pPr>
        <w:keepNext w:val="0"/>
        <w:keepLines w:val="0"/>
        <w:pageBreakBefore w:val="0"/>
        <w:widowControl w:val="0"/>
        <w:numPr>
          <w:ilvl w:val="0"/>
          <w:numId w:val="4"/>
        </w:numPr>
        <w:pBdr>
          <w:bottom w:val="single" w:color="FFFFFF" w:sz="4" w:space="24"/>
        </w:pBdr>
        <w:kinsoku/>
        <w:wordWrap/>
        <w:overflowPunct/>
        <w:topLinePunct w:val="0"/>
        <w:autoSpaceDE/>
        <w:autoSpaceDN/>
        <w:bidi w:val="0"/>
        <w:adjustRightInd w:val="0"/>
        <w:snapToGrid w:val="0"/>
        <w:spacing w:before="0" w:after="0" w:line="560" w:lineRule="exact"/>
        <w:ind w:right="0" w:rightChars="0"/>
        <w:jc w:val="center"/>
        <w:textAlignment w:val="auto"/>
        <w:outlineLvl w:val="9"/>
        <w:rPr>
          <w:rFonts w:hint="eastAsia"/>
          <w:sz w:val="32"/>
          <w:szCs w:val="32"/>
          <w:lang w:val="en-US" w:eastAsia="zh-CN"/>
        </w:rPr>
      </w:pPr>
      <w:r>
        <w:rPr>
          <w:rFonts w:hint="eastAsia" w:ascii="黑体" w:hAnsi="黑体" w:eastAsia="黑体" w:cs="黑体"/>
          <w:bCs/>
          <w:sz w:val="32"/>
          <w:szCs w:val="32"/>
          <w:lang w:val="en-US" w:eastAsia="zh-CN"/>
        </w:rPr>
        <w:t>加强养老服务人才队伍建设</w:t>
      </w:r>
    </w:p>
    <w:p>
      <w:pPr>
        <w:pStyle w:val="2"/>
        <w:pageBreakBefore w:val="0"/>
        <w:kinsoku/>
        <w:wordWrap/>
        <w:overflowPunct/>
        <w:topLinePunct w:val="0"/>
        <w:autoSpaceDE/>
        <w:autoSpaceDN/>
        <w:bidi w:val="0"/>
        <w:spacing w:line="560" w:lineRule="exact"/>
        <w:rPr>
          <w:rFonts w:hint="eastAsia"/>
          <w:lang w:val="en-US" w:eastAsia="zh-CN"/>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b/>
          <w:bCs/>
          <w:kern w:val="2"/>
          <w:sz w:val="32"/>
          <w:szCs w:val="22"/>
          <w:lang w:val="en-US" w:eastAsia="zh-CN" w:bidi="ar"/>
        </w:rPr>
        <w:t>健全人才教育培训体系。</w:t>
      </w:r>
      <w:r>
        <w:rPr>
          <w:rFonts w:hint="eastAsia" w:ascii="仿宋_GB2312" w:hAnsi="仿宋_GB2312" w:eastAsia="仿宋_GB2312" w:cs="仿宋_GB2312"/>
          <w:color w:val="auto"/>
          <w:sz w:val="32"/>
          <w:szCs w:val="32"/>
          <w:lang w:val="en-US" w:eastAsia="zh-CN"/>
        </w:rPr>
        <w:t>强化技能价值激励导向，按规定落实养老服务从业人员培训、职业技能鉴定等补贴政策，逐步推进养老护理员登记管理、持证奖励、养老机构入职奖励、岗位补贴、优秀护理员奖励等制度建设</w:t>
      </w:r>
      <w:r>
        <w:rPr>
          <w:rFonts w:hint="eastAsia" w:ascii="仿宋_GB2312" w:hAnsi="仿宋_GB2312" w:eastAsia="仿宋_GB2312" w:cs="仿宋_GB2312"/>
          <w:color w:val="auto"/>
          <w:sz w:val="32"/>
          <w:szCs w:val="32"/>
          <w:lang w:eastAsia="zh-CN"/>
        </w:rPr>
        <w:t>。举办</w:t>
      </w: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lang w:eastAsia="zh-CN"/>
        </w:rPr>
        <w:t>养老护理员技能大赛，对获奖选手根据有关规定按程序授予“技术能手”等称号，并晋升相应职业技能等级。</w:t>
      </w:r>
      <w:r>
        <w:rPr>
          <w:rFonts w:hint="eastAsia" w:ascii="仿宋_GB2312" w:hAnsi="仿宋_GB2312" w:eastAsia="仿宋_GB2312" w:cs="仿宋_GB2312"/>
          <w:color w:val="auto"/>
          <w:sz w:val="32"/>
          <w:szCs w:val="32"/>
          <w:lang w:val="en-US" w:eastAsia="zh-CN"/>
        </w:rPr>
        <w:t>定期开展“优秀院长”“最美护理员”评选活动并给予表扬奖励。开展养老护理员关爱活动，加强对养老护理员先进事迹与奉献精神的社会宣传。</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00" w:lineRule="exact"/>
        <w:ind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楷体" w:hAnsi="楷体" w:eastAsia="楷体" w:cs="楷体"/>
          <w:b/>
          <w:bCs/>
          <w:kern w:val="2"/>
          <w:sz w:val="32"/>
          <w:szCs w:val="22"/>
          <w:lang w:val="en-US" w:eastAsia="zh-CN" w:bidi="ar"/>
        </w:rPr>
        <w:t>健全“社工+志愿者”队伍。</w:t>
      </w:r>
      <w:r>
        <w:rPr>
          <w:rFonts w:hint="eastAsia" w:ascii="仿宋_GB2312" w:hAnsi="仿宋_GB2312" w:eastAsia="仿宋_GB2312" w:cs="仿宋_GB2312"/>
          <w:color w:val="auto"/>
          <w:sz w:val="32"/>
          <w:szCs w:val="32"/>
        </w:rPr>
        <w:t>大力培养为老年人服务的社会工作者队伍，在养老服务机构中开发设置社会工作者岗位，为老年人提供多样化、专业化养老服务。深入推进养老领域志愿服务工作发展，积极扶持培育各类为老志愿服务组织，支持引导慈善组织、志愿服务组织及时发布为老志愿服务项目，推动</w:t>
      </w:r>
      <w:r>
        <w:rPr>
          <w:rFonts w:hint="eastAsia" w:ascii="仿宋_GB2312" w:hAnsi="仿宋_GB2312" w:eastAsia="仿宋_GB2312" w:cs="仿宋_GB2312"/>
          <w:color w:val="auto"/>
          <w:sz w:val="32"/>
          <w:szCs w:val="32"/>
          <w:lang w:val="en-US" w:eastAsia="zh-CN"/>
        </w:rPr>
        <w:t>银发志愿服务</w:t>
      </w:r>
      <w:r>
        <w:rPr>
          <w:rFonts w:hint="eastAsia" w:ascii="仿宋_GB2312" w:hAnsi="仿宋_GB2312" w:eastAsia="仿宋_GB2312" w:cs="仿宋_GB2312"/>
          <w:color w:val="auto"/>
          <w:sz w:val="32"/>
          <w:szCs w:val="32"/>
        </w:rPr>
        <w:t>应用于为老志愿服务实践，鼓励各地</w:t>
      </w:r>
      <w:r>
        <w:rPr>
          <w:rFonts w:hint="eastAsia" w:ascii="仿宋_GB2312" w:hAnsi="仿宋_GB2312" w:eastAsia="仿宋_GB2312" w:cs="仿宋_GB2312"/>
          <w:color w:val="auto"/>
          <w:sz w:val="32"/>
          <w:szCs w:val="32"/>
          <w:lang w:val="en-US" w:eastAsia="zh-CN"/>
        </w:rPr>
        <w:t>探索</w:t>
      </w:r>
      <w:r>
        <w:rPr>
          <w:rFonts w:hint="eastAsia" w:ascii="仿宋_GB2312" w:hAnsi="仿宋_GB2312" w:eastAsia="仿宋_GB2312" w:cs="仿宋_GB2312"/>
          <w:color w:val="auto"/>
          <w:sz w:val="32"/>
          <w:szCs w:val="32"/>
        </w:rPr>
        <w:t>利用“区块链”等新兴技术建立为老志愿服务的储蓄与回馈等正向激励机制。培育养老服务类社会组织，推动社会组织、社会工作者、社区志愿者、社会慈善资源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社区“</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社联动”。</w:t>
      </w:r>
      <w:bookmarkStart w:id="58" w:name="_Toc31370"/>
      <w:bookmarkStart w:id="59" w:name="_Toc25607"/>
      <w:bookmarkStart w:id="60" w:name="_Toc32185"/>
      <w:bookmarkStart w:id="61" w:name="_Toc12547"/>
    </w:p>
    <w:tbl>
      <w:tblPr>
        <w:tblStyle w:val="11"/>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8802" w:type="dxa"/>
            <w:tcBorders>
              <w:top w:val="single" w:color="auto" w:sz="4" w:space="0"/>
              <w:left w:val="single" w:color="auto" w:sz="4" w:space="0"/>
              <w:bottom w:val="single" w:color="auto" w:sz="4" w:space="0"/>
              <w:right w:val="single" w:color="auto" w:sz="4" w:space="0"/>
            </w:tcBorders>
            <w:shd w:val="clear" w:color="auto" w:fill="948A54"/>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专栏</w:t>
            </w:r>
            <w:r>
              <w:rPr>
                <w:rFonts w:hint="eastAsia" w:ascii="方正黑体_GBK" w:hAnsi="方正黑体_GBK" w:eastAsia="方正黑体_GBK" w:cs="方正黑体_GBK"/>
                <w:b/>
                <w:bCs/>
                <w:sz w:val="28"/>
                <w:szCs w:val="28"/>
                <w:lang w:val="en-US" w:eastAsia="zh-CN"/>
              </w:rPr>
              <w:t>5</w:t>
            </w:r>
            <w:r>
              <w:rPr>
                <w:rFonts w:hint="eastAsia" w:ascii="方正黑体_GBK" w:hAnsi="方正黑体_GBK" w:eastAsia="方正黑体_GBK" w:cs="方正黑体_GBK"/>
                <w:b/>
                <w:bCs/>
                <w:sz w:val="28"/>
                <w:szCs w:val="28"/>
              </w:rPr>
              <w:t>：养老服务保障工程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1.兜底性照护服务保障</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color w:val="auto"/>
                <w:sz w:val="24"/>
                <w:szCs w:val="24"/>
                <w:highlight w:val="none"/>
                <w:lang w:eastAsia="zh-CN"/>
              </w:rPr>
              <w:t>区</w:t>
            </w:r>
            <w:r>
              <w:rPr>
                <w:rFonts w:hint="eastAsia" w:ascii="方正仿宋_GBK" w:hAnsi="方正仿宋_GBK" w:eastAsia="方正仿宋_GBK" w:cs="方正仿宋_GBK"/>
                <w:sz w:val="24"/>
                <w:szCs w:val="24"/>
                <w:highlight w:val="none"/>
              </w:rPr>
              <w:t>建设（改造）提供专业化失能照护服务的集中照护中心，</w:t>
            </w:r>
            <w:r>
              <w:rPr>
                <w:rFonts w:hint="eastAsia" w:ascii="方正仿宋_GBK" w:hAnsi="方正仿宋_GBK" w:eastAsia="方正仿宋_GBK" w:cs="方正仿宋_GBK"/>
                <w:b w:val="0"/>
                <w:bCs w:val="0"/>
                <w:sz w:val="24"/>
                <w:szCs w:val="24"/>
                <w:highlight w:val="none"/>
                <w:lang w:val="en-US" w:eastAsia="zh-CN"/>
              </w:rPr>
              <w:t>新建机构护理型养老床位占比不低于80%，改扩建机构护理型养老床位占比不低于70%。利用三年时间（2020-2022年），对</w:t>
            </w:r>
            <w:r>
              <w:rPr>
                <w:rFonts w:hint="eastAsia" w:ascii="方正仿宋_GBK" w:hAnsi="方正仿宋_GBK" w:eastAsia="方正仿宋_GBK" w:cs="方正仿宋_GBK"/>
                <w:b w:val="0"/>
                <w:bCs w:val="0"/>
                <w:color w:val="auto"/>
                <w:sz w:val="24"/>
                <w:szCs w:val="24"/>
                <w:highlight w:val="none"/>
                <w:lang w:val="en-US" w:eastAsia="zh-CN"/>
              </w:rPr>
              <w:t>全区</w:t>
            </w:r>
            <w:r>
              <w:rPr>
                <w:rFonts w:hint="eastAsia" w:ascii="方正仿宋_GBK" w:hAnsi="方正仿宋_GBK" w:eastAsia="方正仿宋_GBK" w:cs="方正仿宋_GBK"/>
                <w:b w:val="0"/>
                <w:bCs w:val="0"/>
                <w:sz w:val="24"/>
                <w:szCs w:val="24"/>
                <w:highlight w:val="none"/>
                <w:lang w:val="en-US" w:eastAsia="zh-CN"/>
              </w:rPr>
              <w:t>存量农村敬老院进行改造提升，全面提升农村敬老院基础设施建设质量和服务管理水平。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val="en-US" w:eastAsia="zh-CN"/>
              </w:rPr>
              <w:t>2.</w:t>
            </w:r>
            <w:r>
              <w:rPr>
                <w:rFonts w:hint="eastAsia" w:ascii="方正仿宋_GBK" w:hAnsi="方正仿宋_GBK" w:eastAsia="方正仿宋_GBK" w:cs="方正仿宋_GBK"/>
                <w:b/>
                <w:bCs/>
                <w:sz w:val="24"/>
                <w:szCs w:val="24"/>
              </w:rPr>
              <w:t>基本养老服务保障</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推进基本养老服务体系建设，研究建立基本养老服务清单。按照国家统一的标准，开展老年人能力与需求综合评估，提高养老服务和老年人补贴等制度精准度。聚焦高龄、失能、残疾老年人需求，以施工改造、设施配备、老年用品配置等形式，支持困难家庭实施适老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8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lang w:val="en-US" w:eastAsia="zh-CN"/>
              </w:rPr>
              <w:t>3.</w:t>
            </w:r>
            <w:r>
              <w:rPr>
                <w:rFonts w:hint="eastAsia" w:ascii="方正仿宋_GBK" w:hAnsi="方正仿宋_GBK" w:eastAsia="方正仿宋_GBK" w:cs="方正仿宋_GBK"/>
                <w:b/>
                <w:bCs/>
                <w:sz w:val="24"/>
                <w:szCs w:val="24"/>
                <w:highlight w:val="none"/>
              </w:rPr>
              <w:t>区域养老服务中心建设</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2"/>
                <w:sz w:val="24"/>
                <w:szCs w:val="24"/>
                <w:highlight w:val="none"/>
                <w:lang w:val="en-US" w:eastAsia="zh-CN" w:bidi="ar-SA"/>
              </w:rPr>
              <w:t>支持</w:t>
            </w:r>
            <w:r>
              <w:rPr>
                <w:rFonts w:hint="eastAsia" w:ascii="方正仿宋_GBK" w:hAnsi="方正仿宋_GBK" w:eastAsia="方正仿宋_GBK" w:cs="方正仿宋_GBK"/>
                <w:b w:val="0"/>
                <w:bCs w:val="0"/>
                <w:color w:val="auto"/>
                <w:kern w:val="2"/>
                <w:sz w:val="24"/>
                <w:szCs w:val="24"/>
                <w:highlight w:val="none"/>
                <w:lang w:val="en-US" w:eastAsia="zh-CN" w:bidi="ar-SA"/>
              </w:rPr>
              <w:t>街道</w:t>
            </w:r>
            <w:r>
              <w:rPr>
                <w:rFonts w:hint="eastAsia" w:ascii="方正仿宋_GBK" w:hAnsi="方正仿宋_GBK" w:eastAsia="方正仿宋_GBK" w:cs="方正仿宋_GBK"/>
                <w:kern w:val="2"/>
                <w:sz w:val="24"/>
                <w:szCs w:val="24"/>
                <w:highlight w:val="none"/>
                <w:lang w:val="en-US" w:eastAsia="zh-CN" w:bidi="ar-SA"/>
              </w:rPr>
              <w:t>建有齐备全托、日托、上门服务等综台功能的养老服务设施，到2025年底，区域养老服务中心覆盖率达到80%。竟成街道建设1个农村区域性养老服务中心，探索逐步将特困人员供养服务设施(敬老院)转型为区域性养老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6" w:hRule="atLeast"/>
          <w:jc w:val="center"/>
        </w:trPr>
        <w:tc>
          <w:tcPr>
            <w:tcW w:w="8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lang w:val="en-US" w:eastAsia="zh-CN"/>
              </w:rPr>
              <w:t>4.</w:t>
            </w:r>
            <w:r>
              <w:rPr>
                <w:rFonts w:hint="eastAsia" w:ascii="方正仿宋_GBK" w:hAnsi="方正仿宋_GBK" w:eastAsia="方正仿宋_GBK" w:cs="方正仿宋_GBK"/>
                <w:b/>
                <w:bCs/>
                <w:sz w:val="24"/>
                <w:szCs w:val="24"/>
                <w:highlight w:val="none"/>
              </w:rPr>
              <w:t>社区养老服务骨干网络建设</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sz w:val="24"/>
                <w:szCs w:val="24"/>
                <w:highlight w:val="none"/>
              </w:rPr>
            </w:pPr>
            <w:r>
              <w:rPr>
                <w:rFonts w:hint="default" w:ascii="方正仿宋_GBK" w:hAnsi="方正仿宋_GBK" w:eastAsia="方正仿宋_GBK" w:cs="方正仿宋_GBK"/>
                <w:kern w:val="2"/>
                <w:sz w:val="24"/>
                <w:szCs w:val="24"/>
                <w:highlight w:val="none"/>
                <w:lang w:val="en-US" w:eastAsia="zh-CN" w:bidi="ar-SA"/>
              </w:rPr>
              <w:t>建成以嵌入式养老院为重点、以城市日间照料中心为补充的社区养老服务骨干网络，</w:t>
            </w:r>
            <w:r>
              <w:rPr>
                <w:rFonts w:hint="eastAsia" w:ascii="方正仿宋_GBK" w:hAnsi="方正仿宋_GBK" w:eastAsia="方正仿宋_GBK" w:cs="方正仿宋_GBK"/>
                <w:kern w:val="2"/>
                <w:sz w:val="24"/>
                <w:szCs w:val="24"/>
                <w:highlight w:val="none"/>
                <w:lang w:val="en-US" w:eastAsia="zh-CN" w:bidi="ar-SA"/>
              </w:rPr>
              <w:t>建设一批</w:t>
            </w:r>
            <w:r>
              <w:rPr>
                <w:rFonts w:hint="default" w:ascii="方正仿宋_GBK" w:hAnsi="方正仿宋_GBK" w:eastAsia="方正仿宋_GBK" w:cs="方正仿宋_GBK"/>
                <w:kern w:val="2"/>
                <w:sz w:val="24"/>
                <w:szCs w:val="24"/>
                <w:highlight w:val="none"/>
                <w:lang w:val="en-US" w:eastAsia="zh-CN" w:bidi="ar-SA"/>
              </w:rPr>
              <w:t>具备全托、日托、上门服务、运营家庭养老床位等综合功能的社区养老机构</w:t>
            </w:r>
            <w:r>
              <w:rPr>
                <w:rFonts w:hint="eastAsia" w:ascii="方正仿宋_GBK" w:hAnsi="方正仿宋_GBK" w:eastAsia="方正仿宋_GBK" w:cs="方正仿宋_GBK"/>
                <w:kern w:val="2"/>
                <w:sz w:val="24"/>
                <w:szCs w:val="24"/>
                <w:highlight w:val="none"/>
                <w:lang w:val="en-US" w:eastAsia="zh-CN" w:bidi="ar-SA"/>
              </w:rPr>
              <w:t>，达到街道层面全覆盖。</w:t>
            </w:r>
            <w:r>
              <w:rPr>
                <w:rFonts w:hint="default" w:ascii="方正仿宋_GBK" w:hAnsi="方正仿宋_GBK" w:eastAsia="方正仿宋_GBK" w:cs="方正仿宋_GBK"/>
                <w:kern w:val="2"/>
                <w:sz w:val="24"/>
                <w:szCs w:val="24"/>
                <w:highlight w:val="none"/>
                <w:lang w:val="en-US" w:eastAsia="zh-CN" w:bidi="ar-SA"/>
              </w:rPr>
              <w:t>社区日间照料机构覆盖100%的城市社区。社区15分钟</w:t>
            </w:r>
            <w:r>
              <w:rPr>
                <w:rFonts w:hint="eastAsia" w:ascii="方正仿宋_GBK" w:hAnsi="方正仿宋_GBK" w:eastAsia="方正仿宋_GBK" w:cs="方正仿宋_GBK"/>
                <w:kern w:val="2"/>
                <w:sz w:val="24"/>
                <w:szCs w:val="24"/>
                <w:highlight w:val="none"/>
                <w:lang w:val="en-US" w:eastAsia="zh-CN" w:bidi="ar-SA"/>
              </w:rPr>
              <w:t>“</w:t>
            </w:r>
            <w:r>
              <w:rPr>
                <w:rFonts w:hint="default" w:ascii="方正仿宋_GBK" w:hAnsi="方正仿宋_GBK" w:eastAsia="方正仿宋_GBK" w:cs="方正仿宋_GBK"/>
                <w:kern w:val="2"/>
                <w:sz w:val="24"/>
                <w:szCs w:val="24"/>
                <w:highlight w:val="none"/>
                <w:lang w:val="en-US" w:eastAsia="zh-CN" w:bidi="ar-SA"/>
              </w:rPr>
              <w:t>养老服务圈”基本建成。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8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lang w:val="en-US" w:eastAsia="zh-CN"/>
              </w:rPr>
              <w:t>5.</w:t>
            </w:r>
            <w:r>
              <w:rPr>
                <w:rFonts w:hint="default" w:ascii="方正仿宋_GBK" w:hAnsi="方正仿宋_GBK" w:eastAsia="方正仿宋_GBK" w:cs="方正仿宋_GBK"/>
                <w:b/>
                <w:bCs/>
                <w:sz w:val="24"/>
                <w:szCs w:val="24"/>
                <w:highlight w:val="none"/>
                <w:lang w:val="en-US" w:eastAsia="zh-CN"/>
              </w:rPr>
              <w:t>养老机构照护能力提升工程</w:t>
            </w:r>
          </w:p>
          <w:p>
            <w:pPr>
              <w:keepNext w:val="0"/>
              <w:keepLines w:val="0"/>
              <w:pageBreakBefore w:val="0"/>
              <w:widowControl/>
              <w:numPr>
                <w:ilvl w:val="0"/>
                <w:numId w:val="0"/>
              </w:numPr>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 w:val="0"/>
                <w:bCs w:val="0"/>
                <w:sz w:val="24"/>
                <w:szCs w:val="24"/>
                <w:highlight w:val="none"/>
                <w:lang w:val="en-US" w:eastAsia="zh-CN"/>
              </w:rPr>
              <w:t>到2025年，</w:t>
            </w:r>
            <w:r>
              <w:rPr>
                <w:rFonts w:hint="eastAsia" w:ascii="方正仿宋_GBK" w:hAnsi="方正仿宋_GBK" w:eastAsia="方正仿宋_GBK" w:cs="方正仿宋_GBK"/>
                <w:b w:val="0"/>
                <w:bCs w:val="0"/>
                <w:color w:val="auto"/>
                <w:sz w:val="24"/>
                <w:szCs w:val="24"/>
                <w:highlight w:val="none"/>
                <w:lang w:val="en-US" w:eastAsia="zh-CN"/>
              </w:rPr>
              <w:t>我区</w:t>
            </w:r>
            <w:r>
              <w:rPr>
                <w:rFonts w:hint="eastAsia" w:ascii="方正仿宋_GBK" w:hAnsi="方正仿宋_GBK" w:eastAsia="方正仿宋_GBK" w:cs="方正仿宋_GBK"/>
                <w:b w:val="0"/>
                <w:bCs w:val="0"/>
                <w:sz w:val="24"/>
                <w:szCs w:val="24"/>
                <w:highlight w:val="none"/>
                <w:lang w:val="en-US" w:eastAsia="zh-CN"/>
              </w:rPr>
              <w:t>建有至少1所区级失能集中照护机构。</w:t>
            </w:r>
            <w:r>
              <w:rPr>
                <w:rFonts w:hint="eastAsia" w:ascii="方正仿宋_GBK" w:hAnsi="方正仿宋_GBK" w:eastAsia="方正仿宋_GBK" w:cs="方正仿宋_GBK"/>
                <w:b w:val="0"/>
                <w:bCs w:val="0"/>
                <w:color w:val="auto"/>
                <w:sz w:val="24"/>
                <w:szCs w:val="24"/>
                <w:highlight w:val="none"/>
                <w:lang w:val="en-US" w:eastAsia="zh-CN"/>
              </w:rPr>
              <w:t>全区</w:t>
            </w:r>
            <w:r>
              <w:rPr>
                <w:rFonts w:hint="eastAsia" w:ascii="方正仿宋_GBK" w:hAnsi="方正仿宋_GBK" w:eastAsia="方正仿宋_GBK" w:cs="方正仿宋_GBK"/>
                <w:b w:val="0"/>
                <w:bCs w:val="0"/>
                <w:sz w:val="24"/>
                <w:szCs w:val="24"/>
                <w:highlight w:val="none"/>
                <w:lang w:val="en-US" w:eastAsia="zh-CN"/>
              </w:rPr>
              <w:t>养老机构护理型床位占比达到60%以上。乡镇敬老院建设改造。采取整体打包、单体项目等方式，推动乡镇敬老院建设或改造项目，围绕设施设备、护理能力、适老化环境等进行全面改造升级。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8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both"/>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bCs/>
                <w:sz w:val="24"/>
                <w:szCs w:val="24"/>
                <w:lang w:val="en-US" w:eastAsia="zh-CN"/>
              </w:rPr>
              <w:t>6</w:t>
            </w:r>
            <w:r>
              <w:rPr>
                <w:rFonts w:hint="eastAsia" w:ascii="方正仿宋_GBK" w:hAnsi="方正仿宋_GBK" w:eastAsia="方正仿宋_GBK" w:cs="方正仿宋_GBK"/>
                <w:b/>
                <w:bCs/>
                <w:sz w:val="24"/>
                <w:szCs w:val="24"/>
              </w:rPr>
              <w:t>.应急救援能力提升</w:t>
            </w:r>
          </w:p>
          <w:p>
            <w:pPr>
              <w:keepNext w:val="0"/>
              <w:keepLines w:val="0"/>
              <w:pageBreakBefore w:val="0"/>
              <w:widowControl/>
              <w:kinsoku/>
              <w:wordWrap/>
              <w:overflowPunct/>
              <w:topLinePunct w:val="0"/>
              <w:autoSpaceDE/>
              <w:autoSpaceDN/>
              <w:bidi w:val="0"/>
              <w:adjustRightInd w:val="0"/>
              <w:snapToGrid w:val="0"/>
              <w:spacing w:line="340" w:lineRule="exact"/>
              <w:jc w:val="both"/>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新建和改扩建若干具备综合应急救援能力的养老服务设施，配备必要的防疫物资和设施设备。推动具备条件的公办养老机构配备应急防护物资、隔离设施，建立完善应急预案，培养培训专业养老服务应急队伍，定期分类开展应急演练，加强应急能力建设。鼓励有条件的民办养老机构提升应急救援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8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lang w:val="en-US" w:eastAsia="zh-CN"/>
              </w:rPr>
              <w:t>7</w:t>
            </w:r>
            <w:r>
              <w:rPr>
                <w:rFonts w:hint="eastAsia" w:ascii="方正仿宋_GBK" w:hAnsi="方正仿宋_GBK" w:eastAsia="方正仿宋_GBK" w:cs="方正仿宋_GBK"/>
                <w:b/>
                <w:bCs/>
                <w:sz w:val="24"/>
                <w:szCs w:val="24"/>
              </w:rPr>
              <w:t>.农村互助养老设施建设。</w:t>
            </w:r>
          </w:p>
          <w:p>
            <w:pPr>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both"/>
              <w:textAlignment w:val="baseline"/>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在建制村和较大自然村推动建设（改造）具备助餐、助安、助医、助娱等功能的互助养老服务设施，到2025年覆盖</w:t>
            </w:r>
            <w:r>
              <w:rPr>
                <w:rFonts w:hint="eastAsia" w:ascii="方正仿宋_GBK" w:hAnsi="方正仿宋_GBK" w:eastAsia="方正仿宋_GBK" w:cs="方正仿宋_GBK"/>
                <w:sz w:val="24"/>
                <w:szCs w:val="24"/>
                <w:lang w:val="en-US" w:eastAsia="zh-CN"/>
              </w:rPr>
              <w:t>100</w:t>
            </w:r>
            <w:r>
              <w:rPr>
                <w:rFonts w:hint="eastAsia" w:ascii="方正仿宋_GBK" w:hAnsi="方正仿宋_GBK" w:eastAsia="方正仿宋_GBK" w:cs="方正仿宋_GBK"/>
                <w:sz w:val="24"/>
                <w:szCs w:val="24"/>
              </w:rPr>
              <w:t>%以上的建制村。</w:t>
            </w:r>
          </w:p>
        </w:tc>
      </w:tr>
    </w:tbl>
    <w:p>
      <w:pPr>
        <w:pStyle w:val="2"/>
        <w:keepNext w:val="0"/>
        <w:keepLines w:val="0"/>
        <w:pageBreakBefore w:val="0"/>
        <w:widowControl/>
        <w:kinsoku/>
        <w:wordWrap/>
        <w:overflowPunct/>
        <w:topLinePunct w:val="0"/>
        <w:autoSpaceDE/>
        <w:autoSpaceDN/>
        <w:bidi w:val="0"/>
        <w:adjustRightInd w:val="0"/>
        <w:snapToGrid w:val="0"/>
        <w:spacing w:line="560" w:lineRule="exact"/>
        <w:jc w:val="both"/>
        <w:textAlignment w:val="baseline"/>
        <w:rPr>
          <w:rFonts w:hint="eastAsia" w:ascii="Times New Roman" w:hAnsi="Times New Roman" w:eastAsia="方正小标宋_GBK" w:cs="Times New Roman"/>
          <w:b/>
          <w:bCs w:val="0"/>
          <w:kern w:val="44"/>
          <w:sz w:val="32"/>
          <w:szCs w:val="22"/>
          <w:lang w:val="en-US" w:eastAsia="zh-CN" w:bidi="ar-SA"/>
        </w:rPr>
      </w:pPr>
    </w:p>
    <w:p>
      <w:pPr>
        <w:pStyle w:val="2"/>
        <w:keepNext w:val="0"/>
        <w:keepLines w:val="0"/>
        <w:pageBreakBefore w:val="0"/>
        <w:widowControl/>
        <w:kinsoku/>
        <w:wordWrap/>
        <w:overflowPunct/>
        <w:topLinePunct w:val="0"/>
        <w:autoSpaceDE/>
        <w:autoSpaceDN/>
        <w:bidi w:val="0"/>
        <w:adjustRightInd w:val="0"/>
        <w:snapToGrid w:val="0"/>
        <w:spacing w:line="560" w:lineRule="exact"/>
        <w:jc w:val="center"/>
        <w:textAlignment w:val="baseline"/>
        <w:rPr>
          <w:rFonts w:hint="eastAsia" w:ascii="Times New Roman" w:hAnsi="Times New Roman" w:eastAsia="方正小标宋_GBK" w:cs="Times New Roman"/>
          <w:b/>
          <w:bCs w:val="0"/>
          <w:kern w:val="44"/>
          <w:sz w:val="32"/>
          <w:szCs w:val="22"/>
          <w:lang w:val="en-US" w:eastAsia="zh-CN" w:bidi="ar-SA"/>
        </w:rPr>
      </w:pPr>
      <w:r>
        <w:rPr>
          <w:rFonts w:hint="eastAsia" w:ascii="Times New Roman" w:hAnsi="Times New Roman" w:eastAsia="方正小标宋_GBK" w:cs="Times New Roman"/>
          <w:b/>
          <w:bCs w:val="0"/>
          <w:kern w:val="44"/>
          <w:sz w:val="32"/>
          <w:szCs w:val="22"/>
          <w:lang w:val="en-US" w:eastAsia="zh-CN" w:bidi="ar-SA"/>
        </w:rPr>
        <w:t>第六章 强化规划实施保障，确保</w:t>
      </w:r>
      <w:bookmarkEnd w:id="58"/>
      <w:bookmarkEnd w:id="59"/>
      <w:bookmarkEnd w:id="60"/>
      <w:bookmarkEnd w:id="61"/>
      <w:bookmarkStart w:id="62" w:name="_Toc24595"/>
      <w:bookmarkStart w:id="63" w:name="_Toc29163"/>
      <w:bookmarkStart w:id="64" w:name="_Toc26066"/>
      <w:bookmarkStart w:id="65" w:name="_Toc23648"/>
      <w:r>
        <w:rPr>
          <w:rFonts w:hint="eastAsia" w:ascii="Times New Roman" w:hAnsi="Times New Roman" w:eastAsia="方正小标宋_GBK" w:cs="Times New Roman"/>
          <w:b/>
          <w:bCs w:val="0"/>
          <w:kern w:val="44"/>
          <w:sz w:val="32"/>
          <w:szCs w:val="22"/>
          <w:lang w:val="en-US" w:eastAsia="zh-CN" w:bidi="ar-SA"/>
        </w:rPr>
        <w:t>规划目标任务如期完成</w:t>
      </w:r>
      <w:bookmarkEnd w:id="62"/>
      <w:bookmarkEnd w:id="63"/>
      <w:bookmarkEnd w:id="64"/>
      <w:bookmarkEnd w:id="65"/>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仿宋" w:hAnsi="仿宋" w:eastAsia="仿宋" w:cs="仿宋"/>
          <w:sz w:val="32"/>
          <w:szCs w:val="32"/>
          <w:highlight w:val="none"/>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黑体" w:hAnsi="黑体" w:eastAsia="黑体" w:cs="黑体"/>
          <w:b w:val="0"/>
          <w:bCs w:val="0"/>
          <w:sz w:val="32"/>
          <w:szCs w:val="32"/>
          <w:highlight w:val="none"/>
        </w:rPr>
      </w:pPr>
      <w:r>
        <w:rPr>
          <w:rFonts w:hint="eastAsia" w:ascii="仿宋_GB2312" w:hAnsi="仿宋_GB2312" w:eastAsia="仿宋_GB2312" w:cs="仿宋_GB2312"/>
          <w:sz w:val="32"/>
          <w:szCs w:val="32"/>
          <w:highlight w:val="none"/>
        </w:rPr>
        <w:t>坚持和加强党的全面领导，全面推进法规、制度、标准体系建设，增加资金投入，保障规划用地，加强人才队伍、基层阵地建设及新技术应用，构建全方位、多层级、管长远的民政事业发展保障体系，确保规划顺利实施，目标任务如期完成</w:t>
      </w:r>
      <w:bookmarkStart w:id="66" w:name="_Toc16739"/>
      <w:bookmarkStart w:id="67" w:name="_Toc11685"/>
      <w:bookmarkStart w:id="68" w:name="_Toc7780"/>
      <w:bookmarkStart w:id="69" w:name="_Toc17347"/>
      <w:bookmarkStart w:id="70" w:name="_Toc23383"/>
      <w:bookmarkStart w:id="71" w:name="_Toc30972"/>
      <w:bookmarkStart w:id="72" w:name="_Toc26795"/>
      <w:bookmarkStart w:id="73" w:name="_Toc2426"/>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jc w:val="center"/>
        <w:textAlignment w:val="auto"/>
        <w:outlineLvl w:val="9"/>
        <w:rPr>
          <w:rFonts w:hint="eastAsia" w:ascii="黑体" w:hAnsi="黑体" w:eastAsia="黑体" w:cs="黑体"/>
          <w:b w:val="0"/>
          <w:bCs w:val="0"/>
          <w:sz w:val="32"/>
          <w:szCs w:val="32"/>
          <w:highlight w:val="none"/>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jc w:val="center"/>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rPr>
        <w:t xml:space="preserve">第一节 </w:t>
      </w:r>
      <w:bookmarkEnd w:id="66"/>
      <w:bookmarkEnd w:id="67"/>
      <w:bookmarkEnd w:id="68"/>
      <w:bookmarkEnd w:id="69"/>
      <w:bookmarkEnd w:id="70"/>
      <w:r>
        <w:rPr>
          <w:rFonts w:hint="eastAsia" w:ascii="黑体" w:hAnsi="黑体" w:eastAsia="黑体" w:cs="黑体"/>
          <w:b w:val="0"/>
          <w:bCs w:val="0"/>
          <w:sz w:val="32"/>
          <w:szCs w:val="32"/>
          <w:highlight w:val="none"/>
          <w:lang w:val="en-US" w:eastAsia="zh-CN"/>
        </w:rPr>
        <w:t>全面推进民政系统党的建设</w:t>
      </w:r>
      <w:bookmarkEnd w:id="71"/>
      <w:bookmarkEnd w:id="72"/>
      <w:bookmarkEnd w:id="73"/>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仿宋" w:hAnsi="仿宋" w:eastAsia="仿宋" w:cs="仿宋"/>
          <w:sz w:val="32"/>
          <w:highlight w:val="none"/>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22"/>
          <w:highlight w:val="none"/>
        </w:rPr>
      </w:pPr>
      <w:r>
        <w:rPr>
          <w:rFonts w:hint="eastAsia" w:ascii="仿宋_GB2312" w:hAnsi="仿宋_GB2312" w:eastAsia="仿宋_GB2312" w:cs="仿宋_GB2312"/>
          <w:sz w:val="32"/>
          <w:highlight w:val="none"/>
        </w:rPr>
        <w:t>坚持以习近平新时代中国特色社会主义思想为指导，增强“四个意识”、坚定“四个自信”、做到“两个维护”。</w:t>
      </w:r>
      <w:r>
        <w:rPr>
          <w:rFonts w:hint="eastAsia" w:ascii="仿宋_GB2312" w:hAnsi="仿宋_GB2312" w:eastAsia="仿宋_GB2312" w:cs="仿宋_GB2312"/>
          <w:color w:val="auto"/>
          <w:sz w:val="32"/>
          <w:highlight w:val="none"/>
          <w:lang w:eastAsia="zh-CN"/>
        </w:rPr>
        <w:t>切实践行“民政为民、民政爱民”工作理念，</w:t>
      </w:r>
      <w:r>
        <w:rPr>
          <w:rFonts w:hint="eastAsia" w:ascii="仿宋_GB2312" w:hAnsi="仿宋_GB2312" w:eastAsia="仿宋_GB2312" w:cs="仿宋_GB2312"/>
          <w:sz w:val="32"/>
          <w:highlight w:val="none"/>
        </w:rPr>
        <w:t>坚持以政治建设为统领，不断提高政治判断力、政治领悟力、政治执行力，积极探索党建和业务工作同向而行、同频共振的方法路径，确保党建和业务工作深度融合、互促共进。加强干部队伍建设，提高领导班子和干部适应新时代新要求抓改革、促发展、保稳定水平和专业能力。健全责任落实机制，聚焦巩固拓展脱贫攻坚兜底保障成果，聚焦特殊群体，聚焦群众关切，推进民政工作不断开创新局面。坚持无禁区、全覆盖、零容忍，一体推进不敢腐、不能腐、不想腐，营造风清气正的良好政治生态</w:t>
      </w:r>
      <w:r>
        <w:rPr>
          <w:rFonts w:hint="eastAsia" w:ascii="仿宋_GB2312" w:hAnsi="仿宋_GB2312" w:eastAsia="仿宋_GB2312" w:cs="仿宋_GB2312"/>
          <w:sz w:val="32"/>
          <w:szCs w:val="22"/>
          <w:highlight w:val="none"/>
        </w:rPr>
        <w:t>，坚决整治侵害群众利益的腐败问题，以强有力的政治监督保障党中央各项决策部署在民政领域贯彻落实，保障“十四五”时期民政事业各项目标任务落实。</w:t>
      </w:r>
      <w:bookmarkStart w:id="74" w:name="_Toc19735"/>
      <w:bookmarkStart w:id="75" w:name="_Toc14203"/>
      <w:bookmarkStart w:id="76" w:name="_Toc16230"/>
      <w:bookmarkStart w:id="77" w:name="_Toc21748"/>
      <w:bookmarkStart w:id="78" w:name="_Toc10076"/>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第二节  加强民政法治化、标准化、信息化建设</w:t>
      </w:r>
      <w:bookmarkEnd w:id="74"/>
      <w:bookmarkEnd w:id="75"/>
      <w:bookmarkEnd w:id="76"/>
      <w:bookmarkEnd w:id="77"/>
      <w:bookmarkEnd w:id="78"/>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jc w:val="both"/>
        <w:textAlignment w:val="auto"/>
        <w:outlineLvl w:val="9"/>
        <w:rPr>
          <w:rFonts w:hint="eastAsia" w:ascii="楷体" w:hAnsi="楷体" w:eastAsia="楷体" w:cs="楷体"/>
          <w:b/>
          <w:bCs/>
          <w:kern w:val="2"/>
          <w:sz w:val="32"/>
          <w:szCs w:val="22"/>
          <w:highlight w:val="none"/>
          <w:lang w:val="en-US" w:eastAsia="zh-CN" w:bidi="ar"/>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楷体" w:hAnsi="楷体" w:eastAsia="楷体" w:cs="楷体"/>
          <w:b/>
          <w:bCs/>
          <w:kern w:val="2"/>
          <w:sz w:val="32"/>
          <w:szCs w:val="22"/>
          <w:highlight w:val="none"/>
          <w:lang w:val="en-US" w:eastAsia="zh-CN" w:bidi="ar"/>
        </w:rPr>
        <w:t>推进民政法治体系。</w:t>
      </w:r>
      <w:r>
        <w:rPr>
          <w:rFonts w:hint="eastAsia" w:ascii="仿宋_GB2312" w:hAnsi="仿宋_GB2312" w:eastAsia="仿宋_GB2312" w:cs="仿宋_GB2312"/>
          <w:b w:val="0"/>
          <w:bCs w:val="0"/>
          <w:sz w:val="32"/>
          <w:szCs w:val="32"/>
          <w:highlight w:val="none"/>
          <w:lang w:val="en-US" w:eastAsia="zh-CN"/>
        </w:rPr>
        <w:t>按照贯彻法治方针，全面推进依法行政、建设法治政府的要求，更好发挥法治的引领和规范作用，切实加强法治民政建设。策应《民法典》的颁布实施，</w:t>
      </w:r>
      <w:r>
        <w:rPr>
          <w:rFonts w:hint="eastAsia" w:ascii="仿宋_GB2312" w:hAnsi="仿宋_GB2312" w:eastAsia="仿宋_GB2312" w:cs="仿宋_GB2312"/>
          <w:sz w:val="32"/>
          <w:szCs w:val="32"/>
          <w:highlight w:val="none"/>
        </w:rPr>
        <w:t>围绕基本民生保障、基层社会治理、基本社会服务等民政职责，重点推进</w:t>
      </w:r>
      <w:r>
        <w:rPr>
          <w:rFonts w:hint="eastAsia" w:ascii="仿宋_GB2312" w:hAnsi="仿宋_GB2312" w:eastAsia="仿宋_GB2312" w:cs="仿宋_GB2312"/>
          <w:sz w:val="32"/>
          <w:szCs w:val="32"/>
          <w:highlight w:val="none"/>
          <w:lang w:val="en-US" w:eastAsia="zh-CN"/>
        </w:rPr>
        <w:t>社会组织管理、</w:t>
      </w:r>
      <w:r>
        <w:rPr>
          <w:rFonts w:hint="eastAsia" w:ascii="仿宋_GB2312" w:hAnsi="仿宋_GB2312" w:eastAsia="仿宋_GB2312" w:cs="仿宋_GB2312"/>
          <w:sz w:val="32"/>
          <w:szCs w:val="32"/>
          <w:highlight w:val="none"/>
        </w:rPr>
        <w:t>社会救助、养老服务、</w:t>
      </w:r>
      <w:r>
        <w:rPr>
          <w:rFonts w:hint="eastAsia" w:ascii="仿宋_GB2312" w:hAnsi="仿宋_GB2312" w:eastAsia="仿宋_GB2312" w:cs="仿宋_GB2312"/>
          <w:sz w:val="32"/>
          <w:szCs w:val="32"/>
          <w:highlight w:val="none"/>
          <w:lang w:val="en-US" w:eastAsia="zh-CN"/>
        </w:rPr>
        <w:t>基层政权与社区建设、</w:t>
      </w:r>
      <w:r>
        <w:rPr>
          <w:rFonts w:hint="eastAsia" w:ascii="仿宋_GB2312" w:hAnsi="仿宋_GB2312" w:eastAsia="仿宋_GB2312" w:cs="仿宋_GB2312"/>
          <w:sz w:val="32"/>
          <w:szCs w:val="32"/>
          <w:highlight w:val="none"/>
        </w:rPr>
        <w:t>志愿服务、殡葬管理、区划地名管理、</w:t>
      </w:r>
      <w:r>
        <w:rPr>
          <w:rFonts w:hint="eastAsia" w:ascii="仿宋_GB2312" w:hAnsi="仿宋_GB2312" w:eastAsia="仿宋_GB2312" w:cs="仿宋_GB2312"/>
          <w:sz w:val="32"/>
          <w:szCs w:val="32"/>
          <w:highlight w:val="none"/>
          <w:lang w:val="en-US" w:eastAsia="zh-CN"/>
        </w:rPr>
        <w:t>儿童福利等</w:t>
      </w:r>
      <w:r>
        <w:rPr>
          <w:rFonts w:hint="eastAsia" w:ascii="仿宋_GB2312" w:hAnsi="仿宋_GB2312" w:eastAsia="仿宋_GB2312" w:cs="仿宋_GB2312"/>
          <w:sz w:val="32"/>
          <w:szCs w:val="32"/>
          <w:highlight w:val="none"/>
        </w:rPr>
        <w:t>方面地方性法规、</w:t>
      </w:r>
      <w:r>
        <w:rPr>
          <w:rFonts w:hint="eastAsia" w:ascii="仿宋_GB2312" w:hAnsi="仿宋_GB2312" w:eastAsia="仿宋_GB2312" w:cs="仿宋_GB2312"/>
          <w:sz w:val="32"/>
          <w:szCs w:val="32"/>
          <w:highlight w:val="none"/>
          <w:lang w:val="en-US" w:eastAsia="zh-CN"/>
        </w:rPr>
        <w:t>规章的“立、改、废”工作，并做好相关政策法规的统筹衔接，</w:t>
      </w:r>
      <w:r>
        <w:rPr>
          <w:rFonts w:hint="eastAsia" w:ascii="仿宋_GB2312" w:hAnsi="仿宋_GB2312" w:eastAsia="仿宋_GB2312" w:cs="仿宋_GB2312"/>
          <w:sz w:val="32"/>
          <w:szCs w:val="32"/>
          <w:highlight w:val="none"/>
        </w:rPr>
        <w:t>积极构建完备的民政法律规范体系。严格落实重大行政决策程序法律制度，充分发挥法律顾问在重大行政决策中的作用。</w:t>
      </w:r>
      <w:r>
        <w:rPr>
          <w:rFonts w:hint="eastAsia" w:ascii="仿宋_GB2312" w:hAnsi="仿宋_GB2312" w:eastAsia="仿宋_GB2312" w:cs="仿宋_GB2312"/>
          <w:sz w:val="32"/>
          <w:szCs w:val="32"/>
          <w:highlight w:val="none"/>
          <w:lang w:val="en-US" w:eastAsia="zh-CN"/>
        </w:rPr>
        <w:t>严格规范公正文明执法，全面推行行政执法公示制度、执法全过程记录制度、重大执法决定法制审核制度。</w:t>
      </w:r>
      <w:r>
        <w:rPr>
          <w:rFonts w:hint="eastAsia" w:ascii="仿宋_GB2312" w:hAnsi="仿宋_GB2312" w:eastAsia="仿宋_GB2312" w:cs="仿宋_GB2312"/>
          <w:sz w:val="32"/>
          <w:szCs w:val="32"/>
          <w:highlight w:val="none"/>
        </w:rPr>
        <w:t>全面落实“谁执法谁普法”普法责任制，不断创新普法</w:t>
      </w:r>
      <w:r>
        <w:rPr>
          <w:rFonts w:hint="eastAsia" w:ascii="仿宋_GB2312" w:hAnsi="仿宋_GB2312" w:eastAsia="仿宋_GB2312" w:cs="仿宋_GB2312"/>
          <w:sz w:val="32"/>
          <w:szCs w:val="32"/>
          <w:highlight w:val="none"/>
          <w:lang w:val="en-US" w:eastAsia="zh-CN"/>
        </w:rPr>
        <w:t>理念、载体、方式、</w:t>
      </w:r>
      <w:r>
        <w:rPr>
          <w:rFonts w:hint="eastAsia" w:ascii="仿宋_GB2312" w:hAnsi="仿宋_GB2312" w:eastAsia="仿宋_GB2312" w:cs="仿宋_GB2312"/>
          <w:sz w:val="32"/>
          <w:szCs w:val="32"/>
          <w:highlight w:val="none"/>
        </w:rPr>
        <w:t>方法，推动形成</w:t>
      </w:r>
      <w:r>
        <w:rPr>
          <w:rFonts w:hint="eastAsia" w:ascii="仿宋_GB2312" w:hAnsi="仿宋_GB2312" w:eastAsia="仿宋_GB2312" w:cs="仿宋_GB2312"/>
          <w:sz w:val="32"/>
          <w:szCs w:val="32"/>
          <w:highlight w:val="none"/>
          <w:lang w:val="en-US" w:eastAsia="zh-CN"/>
        </w:rPr>
        <w:t>上下联动、多方参与、学用结合、注重实效的</w:t>
      </w:r>
      <w:r>
        <w:rPr>
          <w:rFonts w:hint="eastAsia" w:ascii="仿宋_GB2312" w:hAnsi="仿宋_GB2312" w:eastAsia="仿宋_GB2312" w:cs="仿宋_GB2312"/>
          <w:sz w:val="32"/>
          <w:szCs w:val="32"/>
          <w:highlight w:val="none"/>
        </w:rPr>
        <w:t>民政普法新格局。</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60" w:lineRule="exact"/>
        <w:ind w:right="0" w:rightChars="0" w:firstLine="643"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楷体" w:hAnsi="楷体" w:eastAsia="楷体" w:cs="楷体"/>
          <w:b/>
          <w:bCs/>
          <w:kern w:val="2"/>
          <w:sz w:val="32"/>
          <w:szCs w:val="22"/>
          <w:highlight w:val="none"/>
          <w:lang w:val="en-US" w:eastAsia="zh-CN" w:bidi="ar"/>
        </w:rPr>
        <w:t>推进民政标准化建设。</w:t>
      </w:r>
      <w:r>
        <w:rPr>
          <w:rFonts w:hint="eastAsia" w:ascii="仿宋_GB2312" w:hAnsi="仿宋_GB2312" w:eastAsia="仿宋_GB2312" w:cs="仿宋_GB2312"/>
          <w:b w:val="0"/>
          <w:bCs w:val="0"/>
          <w:sz w:val="32"/>
          <w:szCs w:val="32"/>
          <w:highlight w:val="none"/>
          <w:lang w:val="en-US" w:eastAsia="zh-CN"/>
        </w:rPr>
        <w:t>坚持以解决民政标准化工作问题为导向，深化民政标准化改革，完善标准化体制机制和标准体系，切实提升民政标准化建设整体水平。</w:t>
      </w:r>
      <w:r>
        <w:rPr>
          <w:rFonts w:hint="eastAsia" w:ascii="仿宋_GB2312" w:hAnsi="仿宋_GB2312" w:eastAsia="仿宋_GB2312" w:cs="仿宋_GB2312"/>
          <w:b w:val="0"/>
          <w:bCs w:val="0"/>
          <w:sz w:val="32"/>
          <w:szCs w:val="32"/>
          <w:highlight w:val="none"/>
        </w:rPr>
        <w:t>围绕民政事业改革发展方向和重大需求，重点加强</w:t>
      </w:r>
      <w:r>
        <w:rPr>
          <w:rFonts w:hint="eastAsia" w:ascii="仿宋_GB2312" w:hAnsi="仿宋_GB2312" w:eastAsia="仿宋_GB2312" w:cs="仿宋_GB2312"/>
          <w:b w:val="0"/>
          <w:bCs w:val="0"/>
          <w:sz w:val="32"/>
          <w:szCs w:val="32"/>
          <w:highlight w:val="none"/>
          <w:lang w:val="en-US" w:eastAsia="zh-CN"/>
        </w:rPr>
        <w:t>社会救助、</w:t>
      </w:r>
      <w:r>
        <w:rPr>
          <w:rFonts w:hint="eastAsia" w:ascii="仿宋_GB2312" w:hAnsi="仿宋_GB2312" w:eastAsia="仿宋_GB2312" w:cs="仿宋_GB2312"/>
          <w:b w:val="0"/>
          <w:bCs w:val="0"/>
          <w:sz w:val="32"/>
          <w:szCs w:val="32"/>
          <w:highlight w:val="none"/>
        </w:rPr>
        <w:t>养老服务、</w:t>
      </w:r>
      <w:r>
        <w:rPr>
          <w:rFonts w:hint="eastAsia" w:ascii="仿宋_GB2312" w:hAnsi="仿宋_GB2312" w:eastAsia="仿宋_GB2312" w:cs="仿宋_GB2312"/>
          <w:b w:val="0"/>
          <w:bCs w:val="0"/>
          <w:sz w:val="32"/>
          <w:szCs w:val="32"/>
          <w:highlight w:val="none"/>
          <w:lang w:val="en-US" w:eastAsia="zh-CN"/>
        </w:rPr>
        <w:t>社会事务、</w:t>
      </w:r>
      <w:r>
        <w:rPr>
          <w:rFonts w:hint="eastAsia" w:ascii="仿宋_GB2312" w:hAnsi="仿宋_GB2312" w:eastAsia="仿宋_GB2312" w:cs="仿宋_GB2312"/>
          <w:b w:val="0"/>
          <w:bCs w:val="0"/>
          <w:sz w:val="32"/>
          <w:szCs w:val="32"/>
          <w:highlight w:val="none"/>
        </w:rPr>
        <w:t>儿童福利等方面的标准</w:t>
      </w:r>
      <w:r>
        <w:rPr>
          <w:rFonts w:hint="eastAsia" w:ascii="仿宋_GB2312" w:hAnsi="仿宋_GB2312" w:eastAsia="仿宋_GB2312" w:cs="仿宋_GB2312"/>
          <w:b w:val="0"/>
          <w:bCs w:val="0"/>
          <w:sz w:val="32"/>
          <w:szCs w:val="32"/>
          <w:highlight w:val="none"/>
          <w:lang w:val="en-US" w:eastAsia="zh-CN"/>
        </w:rPr>
        <w:t>化建设</w:t>
      </w:r>
      <w:r>
        <w:rPr>
          <w:rFonts w:hint="eastAsia" w:ascii="仿宋_GB2312" w:hAnsi="仿宋_GB2312" w:eastAsia="仿宋_GB2312" w:cs="仿宋_GB2312"/>
          <w:b w:val="0"/>
          <w:bCs w:val="0"/>
          <w:sz w:val="32"/>
          <w:szCs w:val="32"/>
          <w:highlight w:val="none"/>
        </w:rPr>
        <w:t>工作</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切实加强标准的宣传贯彻实施，确保各项标准得到严格执行，</w:t>
      </w:r>
      <w:r>
        <w:rPr>
          <w:rFonts w:hint="eastAsia" w:ascii="仿宋_GB2312" w:hAnsi="仿宋_GB2312" w:eastAsia="仿宋_GB2312" w:cs="仿宋_GB2312"/>
          <w:b w:val="0"/>
          <w:bCs w:val="0"/>
          <w:sz w:val="32"/>
          <w:szCs w:val="32"/>
          <w:highlight w:val="none"/>
        </w:rPr>
        <w:t>进一步</w:t>
      </w:r>
      <w:r>
        <w:rPr>
          <w:rFonts w:hint="eastAsia" w:ascii="仿宋_GB2312" w:hAnsi="仿宋_GB2312" w:eastAsia="仿宋_GB2312" w:cs="仿宋_GB2312"/>
          <w:b w:val="0"/>
          <w:bCs w:val="0"/>
          <w:sz w:val="32"/>
          <w:szCs w:val="32"/>
          <w:highlight w:val="none"/>
          <w:lang w:val="en-US" w:eastAsia="zh-CN"/>
        </w:rPr>
        <w:t>强化标准化引领提升作用。</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 w:hAnsi="楷体" w:eastAsia="楷体" w:cs="楷体"/>
          <w:b/>
          <w:bCs/>
          <w:kern w:val="2"/>
          <w:sz w:val="32"/>
          <w:szCs w:val="22"/>
          <w:highlight w:val="none"/>
          <w:lang w:val="en-US" w:eastAsia="zh-CN" w:bidi="ar"/>
        </w:rPr>
        <w:t>推进民政信息化建设。</w:t>
      </w:r>
      <w:r>
        <w:rPr>
          <w:rFonts w:hint="eastAsia" w:ascii="仿宋_GB2312" w:hAnsi="仿宋_GB2312" w:eastAsia="仿宋_GB2312" w:cs="仿宋_GB2312"/>
          <w:sz w:val="32"/>
          <w:szCs w:val="32"/>
          <w:highlight w:val="none"/>
          <w:lang w:val="en-US" w:eastAsia="zh-CN"/>
        </w:rPr>
        <w:t>立足“放管服”改革，依托“智慧民政”综合服务平台，积极拓展“互联网+民政服务”，推动民政服务网上办、掌上查。进一步加强运程授权、人脸识别、大数据等信息化智能化科技手段在民政工作领域的作用，提高管理和服务效率。深入推进居民家庭经济状况核对平台建设，实现申请人家庭经济状况信息全国联网查询。更加方便快捷地满足群众在养老服务、社会救助、社区服务、社会组织、社工服务、婚姻家庭、殡葬服务等方面的多样化、高品质民生需求。</w:t>
      </w:r>
      <w:bookmarkStart w:id="79" w:name="_Toc8256"/>
      <w:bookmarkStart w:id="80" w:name="_Toc8125"/>
      <w:bookmarkStart w:id="81" w:name="_Toc3414"/>
      <w:bookmarkStart w:id="82" w:name="_Toc651"/>
      <w:bookmarkStart w:id="83" w:name="_Toc24855"/>
      <w:bookmarkStart w:id="84" w:name="_Toc29872"/>
      <w:bookmarkStart w:id="85" w:name="_Toc24219"/>
      <w:bookmarkStart w:id="86" w:name="_Toc24175"/>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jc w:val="both"/>
        <w:textAlignment w:val="auto"/>
        <w:outlineLvl w:val="9"/>
        <w:rPr>
          <w:rFonts w:hint="eastAsia" w:ascii="仿宋" w:hAnsi="仿宋" w:eastAsia="仿宋" w:cs="仿宋"/>
          <w:sz w:val="32"/>
          <w:szCs w:val="32"/>
          <w:highlight w:val="none"/>
          <w:lang w:val="en-US" w:eastAsia="zh-CN"/>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第三节 </w:t>
      </w:r>
      <w:bookmarkEnd w:id="79"/>
      <w:bookmarkEnd w:id="80"/>
      <w:bookmarkEnd w:id="81"/>
      <w:r>
        <w:rPr>
          <w:rFonts w:hint="eastAsia" w:ascii="黑体" w:hAnsi="黑体" w:eastAsia="黑体" w:cs="黑体"/>
          <w:sz w:val="32"/>
          <w:szCs w:val="32"/>
          <w:lang w:val="en-US" w:eastAsia="zh-CN"/>
        </w:rPr>
        <w:t>加强民政要素</w:t>
      </w:r>
      <w:bookmarkEnd w:id="82"/>
      <w:bookmarkEnd w:id="83"/>
      <w:r>
        <w:rPr>
          <w:rFonts w:hint="eastAsia" w:ascii="黑体" w:hAnsi="黑体" w:eastAsia="黑体" w:cs="黑体"/>
          <w:sz w:val="32"/>
          <w:szCs w:val="32"/>
          <w:lang w:val="en-US" w:eastAsia="zh-CN"/>
        </w:rPr>
        <w:t>保障</w:t>
      </w:r>
      <w:bookmarkEnd w:id="84"/>
      <w:bookmarkEnd w:id="85"/>
      <w:bookmarkEnd w:id="86"/>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firstLine="643" w:firstLineChars="200"/>
        <w:jc w:val="both"/>
        <w:textAlignment w:val="auto"/>
        <w:outlineLvl w:val="9"/>
        <w:rPr>
          <w:rFonts w:hint="eastAsia" w:ascii="楷体" w:hAnsi="楷体" w:eastAsia="楷体" w:cs="楷体"/>
          <w:b/>
          <w:bCs/>
          <w:kern w:val="2"/>
          <w:sz w:val="32"/>
          <w:szCs w:val="22"/>
          <w:highlight w:val="none"/>
          <w:lang w:val="en-US" w:eastAsia="zh-CN" w:bidi="ar"/>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firstLine="643" w:firstLineChars="200"/>
        <w:jc w:val="both"/>
        <w:textAlignment w:val="auto"/>
        <w:outlineLvl w:val="9"/>
        <w:rPr>
          <w:rStyle w:val="15"/>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kern w:val="2"/>
          <w:sz w:val="32"/>
          <w:szCs w:val="22"/>
          <w:highlight w:val="none"/>
          <w:lang w:val="en-US" w:eastAsia="zh-CN" w:bidi="ar"/>
        </w:rPr>
        <w:t>加强资金保障。</w:t>
      </w:r>
      <w:r>
        <w:rPr>
          <w:rStyle w:val="15"/>
          <w:rFonts w:hint="eastAsia" w:ascii="仿宋_GB2312" w:hAnsi="仿宋_GB2312" w:eastAsia="仿宋_GB2312" w:cs="仿宋_GB2312"/>
          <w:b w:val="0"/>
          <w:bCs w:val="0"/>
          <w:color w:val="auto"/>
          <w:kern w:val="0"/>
          <w:sz w:val="32"/>
          <w:szCs w:val="32"/>
          <w:highlight w:val="none"/>
          <w:lang w:val="en-US" w:eastAsia="zh-CN" w:bidi="ar-SA"/>
        </w:rPr>
        <w:t>按照财权事权相匹配原则，通过调整财政支出结构等手段，完善民政保障资金各级政府合理分担机制，建立规范的民政资金转移支付制度，促进地区间、城乡间民政事业的均衡发展。</w:t>
      </w:r>
      <w:r>
        <w:rPr>
          <w:rStyle w:val="15"/>
          <w:rFonts w:hint="eastAsia" w:ascii="仿宋_GB2312" w:hAnsi="仿宋_GB2312" w:eastAsia="仿宋_GB2312" w:cs="仿宋_GB2312"/>
          <w:b w:val="0"/>
          <w:bCs w:val="0"/>
          <w:color w:val="auto"/>
          <w:kern w:val="2"/>
          <w:sz w:val="32"/>
          <w:szCs w:val="32"/>
          <w:highlight w:val="none"/>
          <w:lang w:val="en-US" w:eastAsia="zh-CN" w:bidi="ar-SA"/>
        </w:rPr>
        <w:t>加大对兜底性、基础性民政工作的财政投入力度,积极探索落实保障基层民政部门开展专项业务工作经费的有效举措，建立地方财政对民政事业投入增长机制。加大政府购买服务力度，在养老服务、困境儿童关爱保护、社会救助等领域开展政府购买社会服务活动。</w:t>
      </w:r>
      <w:r>
        <w:rPr>
          <w:rStyle w:val="15"/>
          <w:rFonts w:hint="eastAsia" w:ascii="仿宋_GB2312" w:hAnsi="仿宋_GB2312" w:eastAsia="仿宋_GB2312" w:cs="仿宋_GB2312"/>
          <w:b w:val="0"/>
          <w:bCs w:val="0"/>
          <w:color w:val="auto"/>
          <w:sz w:val="32"/>
          <w:szCs w:val="32"/>
          <w:highlight w:val="none"/>
        </w:rPr>
        <w:t>积极争取把民政服务保障纳入国债、地方债发行范畴。</w:t>
      </w:r>
      <w:r>
        <w:rPr>
          <w:rStyle w:val="15"/>
          <w:rFonts w:hint="eastAsia" w:ascii="仿宋_GB2312" w:hAnsi="仿宋_GB2312" w:eastAsia="仿宋_GB2312" w:cs="仿宋_GB2312"/>
          <w:b w:val="0"/>
          <w:bCs w:val="0"/>
          <w:color w:val="auto"/>
          <w:kern w:val="2"/>
          <w:sz w:val="32"/>
          <w:szCs w:val="32"/>
          <w:highlight w:val="none"/>
          <w:lang w:val="en-US" w:eastAsia="zh-CN" w:bidi="ar-SA"/>
        </w:rPr>
        <w:t>拓展社会资金进入渠道，吸引更多社会资金投入民政事业。</w:t>
      </w:r>
      <w:r>
        <w:rPr>
          <w:rStyle w:val="15"/>
          <w:rFonts w:hint="eastAsia" w:ascii="仿宋_GB2312" w:hAnsi="仿宋_GB2312" w:eastAsia="仿宋_GB2312" w:cs="仿宋_GB2312"/>
          <w:color w:val="auto"/>
          <w:kern w:val="2"/>
          <w:sz w:val="32"/>
          <w:szCs w:val="32"/>
          <w:highlight w:val="none"/>
          <w:lang w:val="en-US" w:eastAsia="zh-CN" w:bidi="ar-SA"/>
        </w:rPr>
        <w:t>加强资金监管，防范资金风险，确保民政资金使用合理高效。</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firstLine="643" w:firstLineChars="200"/>
        <w:jc w:val="both"/>
        <w:textAlignment w:val="auto"/>
        <w:outlineLvl w:val="9"/>
        <w:rPr>
          <w:rStyle w:val="15"/>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kern w:val="2"/>
          <w:sz w:val="32"/>
          <w:szCs w:val="22"/>
          <w:highlight w:val="none"/>
          <w:lang w:val="en-US" w:eastAsia="zh-CN" w:bidi="ar"/>
        </w:rPr>
        <w:t>加强民政服务设施建设。</w:t>
      </w:r>
      <w:r>
        <w:rPr>
          <w:rStyle w:val="15"/>
          <w:rFonts w:hint="eastAsia" w:ascii="仿宋_GB2312" w:hAnsi="仿宋_GB2312" w:eastAsia="仿宋_GB2312" w:cs="仿宋_GB2312"/>
          <w:color w:val="auto"/>
          <w:kern w:val="2"/>
          <w:sz w:val="32"/>
          <w:szCs w:val="32"/>
          <w:highlight w:val="none"/>
          <w:lang w:val="en-US" w:eastAsia="zh-CN" w:bidi="ar-SA"/>
        </w:rPr>
        <w:t>发挥财政性资金引导作用，合理确定服务设施建设规划，重点实施一批基础性和示范性的重大项目，提升民政公共服务能力。鼓励和引导金融机构创新金融产品和服务方式，积极引导民营资本、慈善资金、社会捐赠等社会资本投资社会服务设施建设。创新社会服务设施运营模式，确保发挥效益。</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firstLine="643" w:firstLineChars="200"/>
        <w:jc w:val="both"/>
        <w:textAlignment w:val="auto"/>
        <w:outlineLvl w:val="9"/>
        <w:rPr>
          <w:rStyle w:val="15"/>
          <w:rFonts w:hint="eastAsia" w:ascii="仿宋_GB2312" w:hAnsi="仿宋_GB2312" w:eastAsia="仿宋_GB2312" w:cs="仿宋_GB2312"/>
          <w:color w:val="auto"/>
          <w:kern w:val="2"/>
          <w:sz w:val="32"/>
          <w:szCs w:val="32"/>
          <w:highlight w:val="none"/>
          <w:lang w:val="en-US" w:eastAsia="zh-CN" w:bidi="ar-SA"/>
        </w:rPr>
      </w:pPr>
      <w:r>
        <w:rPr>
          <w:rStyle w:val="15"/>
          <w:rFonts w:ascii="楷体_GB2312" w:hAnsi="仿宋_GB2312" w:eastAsia="楷体_GB2312" w:cs="宋体"/>
          <w:b/>
          <w:bCs/>
          <w:color w:val="auto"/>
          <w:kern w:val="0"/>
          <w:sz w:val="32"/>
          <w:szCs w:val="32"/>
          <w:highlight w:val="none"/>
          <w:lang w:val="en-US" w:eastAsia="zh-CN" w:bidi="ar-SA"/>
        </w:rPr>
        <w:t>增强基层民政服务能力</w:t>
      </w:r>
      <w:r>
        <w:rPr>
          <w:rStyle w:val="15"/>
          <w:rFonts w:hint="eastAsia" w:ascii="楷体_GB2312" w:hAnsi="仿宋_GB2312" w:eastAsia="楷体_GB2312" w:cs="宋体"/>
          <w:b/>
          <w:bCs/>
          <w:color w:val="auto"/>
          <w:kern w:val="0"/>
          <w:sz w:val="32"/>
          <w:szCs w:val="32"/>
          <w:highlight w:val="none"/>
          <w:lang w:val="en-US" w:eastAsia="zh-CN" w:bidi="ar-SA"/>
        </w:rPr>
        <w:t>。</w:t>
      </w:r>
      <w:r>
        <w:rPr>
          <w:rStyle w:val="15"/>
          <w:rFonts w:hint="eastAsia" w:ascii="仿宋_GB2312" w:hAnsi="仿宋_GB2312" w:eastAsia="仿宋_GB2312" w:cs="仿宋_GB2312"/>
          <w:color w:val="auto"/>
          <w:kern w:val="2"/>
          <w:sz w:val="32"/>
          <w:szCs w:val="32"/>
          <w:highlight w:val="none"/>
          <w:lang w:val="en-US" w:eastAsia="zh-CN" w:bidi="ar-SA"/>
        </w:rPr>
        <w:t>从优化资源配置、创新服务方式、保障工作经费、提升人员素质和强化激励保障等方面不断提升基层民政能力服务水平。挖掘、提炼和推广各地基层民政能力建设先进经验。将更多资源下沉到基层，切实缓解工作经费、人员力量等方面的突出问题。采取设置社会工作站、基层民政公益和社会工作岗位、政府购买服务方式，充实和加强基层民政队伍力量。加强民政人才队伍建设。全面落实基层民政机构工作经费保障机制。</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firstLine="640" w:firstLineChars="200"/>
        <w:jc w:val="both"/>
        <w:textAlignment w:val="auto"/>
        <w:outlineLvl w:val="9"/>
        <w:rPr>
          <w:rFonts w:hint="eastAsia" w:ascii="黑体" w:hAnsi="黑体" w:eastAsia="黑体" w:cs="黑体"/>
          <w:b w:val="0"/>
          <w:bCs/>
          <w:sz w:val="32"/>
          <w:szCs w:val="32"/>
          <w:highlight w:val="none"/>
        </w:rPr>
      </w:pPr>
      <w:bookmarkStart w:id="87" w:name="_Toc30785"/>
      <w:bookmarkStart w:id="88" w:name="_Toc15459"/>
      <w:bookmarkStart w:id="89" w:name="_Toc11709"/>
      <w:bookmarkStart w:id="90" w:name="_Toc2497"/>
      <w:bookmarkStart w:id="91" w:name="_Toc27724"/>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jc w:val="center"/>
        <w:textAlignment w:val="auto"/>
        <w:outlineLvl w:val="9"/>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rPr>
        <w:t>第</w:t>
      </w: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 xml:space="preserve">节 </w:t>
      </w:r>
      <w:r>
        <w:rPr>
          <w:rFonts w:hint="eastAsia" w:ascii="黑体" w:hAnsi="黑体" w:eastAsia="黑体" w:cs="黑体"/>
          <w:b w:val="0"/>
          <w:bCs/>
          <w:sz w:val="32"/>
          <w:szCs w:val="32"/>
          <w:highlight w:val="none"/>
          <w:lang w:val="en-US" w:eastAsia="zh-CN"/>
        </w:rPr>
        <w:t>统筹民政领域发展与安全</w:t>
      </w:r>
      <w:bookmarkEnd w:id="87"/>
      <w:bookmarkEnd w:id="88"/>
      <w:bookmarkEnd w:id="89"/>
      <w:bookmarkEnd w:id="90"/>
      <w:bookmarkEnd w:id="91"/>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jc w:val="both"/>
        <w:textAlignment w:val="auto"/>
        <w:outlineLvl w:val="9"/>
        <w:rPr>
          <w:rStyle w:val="15"/>
          <w:rFonts w:hint="eastAsia" w:ascii="楷体_GB2312" w:hAnsi="仿宋_GB2312" w:eastAsia="楷体_GB2312" w:cs="宋体"/>
          <w:b/>
          <w:bCs/>
          <w:color w:val="auto"/>
          <w:kern w:val="0"/>
          <w:sz w:val="32"/>
          <w:szCs w:val="32"/>
          <w:highlight w:val="none"/>
        </w:rPr>
      </w:pP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firstLine="643" w:firstLineChars="200"/>
        <w:jc w:val="both"/>
        <w:textAlignment w:val="auto"/>
        <w:outlineLvl w:val="9"/>
        <w:rPr>
          <w:rFonts w:hint="eastAsia" w:ascii="仿宋" w:hAnsi="仿宋" w:eastAsia="仿宋" w:cs="仿宋"/>
          <w:spacing w:val="-11"/>
          <w:sz w:val="32"/>
          <w:szCs w:val="32"/>
          <w:highlight w:val="none"/>
        </w:rPr>
      </w:pPr>
      <w:r>
        <w:rPr>
          <w:rStyle w:val="15"/>
          <w:rFonts w:hint="eastAsia" w:ascii="楷体_GB2312" w:hAnsi="仿宋_GB2312" w:eastAsia="楷体_GB2312" w:cs="宋体"/>
          <w:b/>
          <w:bCs/>
          <w:color w:val="auto"/>
          <w:kern w:val="0"/>
          <w:sz w:val="32"/>
          <w:szCs w:val="32"/>
          <w:highlight w:val="none"/>
        </w:rPr>
        <w:t>切实</w:t>
      </w:r>
      <w:r>
        <w:rPr>
          <w:rStyle w:val="15"/>
          <w:rFonts w:hint="eastAsia" w:ascii="楷体_GB2312" w:hAnsi="仿宋_GB2312" w:eastAsia="楷体_GB2312" w:cs="宋体"/>
          <w:b/>
          <w:bCs/>
          <w:color w:val="auto"/>
          <w:kern w:val="0"/>
          <w:sz w:val="32"/>
          <w:szCs w:val="32"/>
          <w:highlight w:val="none"/>
          <w:lang w:eastAsia="zh-Hans"/>
        </w:rPr>
        <w:t>强化安全意识</w:t>
      </w:r>
      <w:r>
        <w:rPr>
          <w:rStyle w:val="15"/>
          <w:rFonts w:hint="eastAsia" w:ascii="楷体_GB2312" w:hAnsi="仿宋_GB2312" w:eastAsia="楷体_GB2312" w:cs="宋体"/>
          <w:b/>
          <w:bCs/>
          <w:color w:val="auto"/>
          <w:kern w:val="0"/>
          <w:sz w:val="32"/>
          <w:szCs w:val="32"/>
          <w:highlight w:val="none"/>
        </w:rPr>
        <w:t>。</w:t>
      </w:r>
      <w:r>
        <w:rPr>
          <w:rFonts w:hint="eastAsia" w:ascii="仿宋_GB2312" w:hAnsi="仿宋_GB2312" w:eastAsia="仿宋_GB2312" w:cs="仿宋_GB2312"/>
          <w:sz w:val="32"/>
          <w:szCs w:val="32"/>
          <w:highlight w:val="none"/>
        </w:rPr>
        <w:t>坚持总体国家安全观，</w:t>
      </w:r>
      <w:r>
        <w:rPr>
          <w:rFonts w:hint="eastAsia" w:ascii="仿宋_GB2312" w:hAnsi="仿宋_GB2312" w:eastAsia="仿宋_GB2312" w:cs="仿宋_GB2312"/>
          <w:sz w:val="32"/>
          <w:szCs w:val="32"/>
          <w:highlight w:val="none"/>
          <w:lang w:eastAsia="zh-Hans"/>
        </w:rPr>
        <w:t>牢固树立安全发展理念，切实强化底线思维，</w:t>
      </w:r>
      <w:r>
        <w:rPr>
          <w:rFonts w:hint="eastAsia" w:ascii="仿宋_GB2312" w:hAnsi="仿宋_GB2312" w:eastAsia="仿宋_GB2312" w:cs="仿宋_GB2312"/>
          <w:sz w:val="32"/>
          <w:szCs w:val="32"/>
          <w:highlight w:val="none"/>
        </w:rPr>
        <w:t>构建民政大安全格局。</w:t>
      </w:r>
      <w:r>
        <w:rPr>
          <w:rFonts w:hint="eastAsia" w:ascii="仿宋_GB2312" w:hAnsi="仿宋_GB2312" w:eastAsia="仿宋_GB2312" w:cs="仿宋_GB2312"/>
          <w:sz w:val="32"/>
          <w:szCs w:val="32"/>
          <w:highlight w:val="none"/>
          <w:lang w:eastAsia="zh-Hans"/>
        </w:rPr>
        <w:t>坚决捍卫政治安全，维护国家安全。把安全发展理念贯穿民政事业各领域和全过程，</w:t>
      </w:r>
      <w:r>
        <w:rPr>
          <w:rFonts w:hint="eastAsia" w:ascii="仿宋_GB2312" w:hAnsi="仿宋_GB2312" w:eastAsia="仿宋_GB2312" w:cs="仿宋_GB2312"/>
          <w:sz w:val="32"/>
          <w:szCs w:val="32"/>
          <w:highlight w:val="none"/>
          <w:lang w:val="en"/>
        </w:rPr>
        <w:t>坚守“三个必须”和“谁主管谁负责”的原则</w:t>
      </w:r>
      <w:r>
        <w:rPr>
          <w:rFonts w:hint="eastAsia" w:ascii="仿宋_GB2312" w:hAnsi="仿宋_GB2312" w:eastAsia="仿宋_GB2312" w:cs="仿宋_GB2312"/>
          <w:sz w:val="32"/>
          <w:szCs w:val="32"/>
          <w:highlight w:val="none"/>
        </w:rPr>
        <w:t>，建立健全民政领域风险防范化解工作机制，严格落实安全生产责任制，</w:t>
      </w:r>
      <w:r>
        <w:rPr>
          <w:rFonts w:hint="eastAsia" w:ascii="仿宋_GB2312" w:hAnsi="仿宋_GB2312" w:eastAsia="仿宋_GB2312" w:cs="仿宋_GB2312"/>
          <w:sz w:val="32"/>
          <w:szCs w:val="32"/>
          <w:highlight w:val="none"/>
          <w:lang w:eastAsia="zh-Hans"/>
        </w:rPr>
        <w:t>完善安全隐患排查和预防防控体系，</w:t>
      </w:r>
      <w:r>
        <w:rPr>
          <w:rFonts w:hint="eastAsia" w:ascii="仿宋_GB2312" w:hAnsi="仿宋_GB2312" w:eastAsia="仿宋_GB2312" w:cs="仿宋_GB2312"/>
          <w:sz w:val="32"/>
          <w:szCs w:val="32"/>
          <w:highlight w:val="none"/>
        </w:rPr>
        <w:t>持续深入组织开展民政领域安全风险隐患排查整治。健</w:t>
      </w:r>
      <w:r>
        <w:rPr>
          <w:rFonts w:hint="eastAsia" w:ascii="仿宋_GB2312" w:hAnsi="仿宋_GB2312" w:eastAsia="仿宋_GB2312" w:cs="仿宋_GB2312"/>
          <w:spacing w:val="-11"/>
          <w:sz w:val="32"/>
          <w:szCs w:val="32"/>
          <w:highlight w:val="none"/>
        </w:rPr>
        <w:t>全</w:t>
      </w:r>
      <w:r>
        <w:rPr>
          <w:rFonts w:hint="eastAsia" w:ascii="仿宋_GB2312" w:hAnsi="仿宋_GB2312" w:eastAsia="仿宋_GB2312" w:cs="仿宋_GB2312"/>
          <w:spacing w:val="-11"/>
          <w:sz w:val="32"/>
          <w:szCs w:val="32"/>
          <w:highlight w:val="none"/>
          <w:lang w:eastAsia="zh-Hans"/>
        </w:rPr>
        <w:t>安全生产应急处置工作机制</w:t>
      </w:r>
      <w:r>
        <w:rPr>
          <w:rFonts w:hint="eastAsia" w:ascii="仿宋_GB2312" w:hAnsi="仿宋_GB2312" w:eastAsia="仿宋_GB2312" w:cs="仿宋_GB2312"/>
          <w:spacing w:val="-11"/>
          <w:sz w:val="32"/>
          <w:szCs w:val="32"/>
          <w:highlight w:val="none"/>
        </w:rPr>
        <w:t>，定期组织演练、确保发挥作用。</w:t>
      </w:r>
    </w:p>
    <w:p>
      <w:pPr>
        <w:keepNext w:val="0"/>
        <w:keepLines w:val="0"/>
        <w:pageBreakBefore w:val="0"/>
        <w:widowControl w:val="0"/>
        <w:numPr>
          <w:ilvl w:val="0"/>
          <w:numId w:val="0"/>
        </w:numPr>
        <w:pBdr>
          <w:bottom w:val="single" w:color="FFFFFF" w:sz="4" w:space="24"/>
        </w:pBdr>
        <w:kinsoku/>
        <w:wordWrap/>
        <w:overflowPunct/>
        <w:topLinePunct w:val="0"/>
        <w:autoSpaceDE/>
        <w:autoSpaceDN/>
        <w:bidi w:val="0"/>
        <w:adjustRightInd w:val="0"/>
        <w:snapToGrid w:val="0"/>
        <w:spacing w:before="0" w:after="0" w:line="52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Style w:val="15"/>
          <w:rFonts w:hint="eastAsia" w:ascii="楷体_GB2312" w:hAnsi="仿宋_GB2312" w:eastAsia="楷体_GB2312" w:cs="宋体"/>
          <w:b/>
          <w:bCs/>
          <w:color w:val="auto"/>
          <w:kern w:val="0"/>
          <w:sz w:val="32"/>
          <w:szCs w:val="32"/>
          <w:highlight w:val="none"/>
        </w:rPr>
        <w:t>全面做好疫情防控。</w:t>
      </w:r>
      <w:r>
        <w:rPr>
          <w:rFonts w:hint="eastAsia" w:ascii="仿宋_GB2312" w:hAnsi="仿宋_GB2312" w:eastAsia="仿宋_GB2312" w:cs="仿宋_GB2312"/>
          <w:sz w:val="32"/>
          <w:szCs w:val="32"/>
          <w:highlight w:val="none"/>
        </w:rPr>
        <w:t>深入学习贯彻习近平总书记关于统筹疫情防控和经济社会发展重要论述精神，坚持常态化精准防控和局部应急处置有机结合，不断巩固民政领域疫情防控成果。严格执行“四早”措施，督促指导民政服务机构、城乡社区等认真落实相关防控要求，有效开展疫情防控督导检查。完善常态化监测预警工作措施，加强机构内老年人、儿童、特困人员等健康监测。不断改善民政</w:t>
      </w:r>
      <w:r>
        <w:rPr>
          <w:rFonts w:hint="eastAsia" w:ascii="仿宋_GB2312" w:hAnsi="仿宋_GB2312" w:eastAsia="仿宋_GB2312" w:cs="仿宋_GB2312"/>
          <w:sz w:val="32"/>
          <w:szCs w:val="32"/>
          <w:highlight w:val="none"/>
          <w:lang w:val="en"/>
        </w:rPr>
        <w:t>服务</w:t>
      </w:r>
      <w:r>
        <w:rPr>
          <w:rFonts w:hint="eastAsia" w:ascii="仿宋_GB2312" w:hAnsi="仿宋_GB2312" w:eastAsia="仿宋_GB2312" w:cs="仿宋_GB2312"/>
          <w:sz w:val="32"/>
          <w:szCs w:val="32"/>
          <w:highlight w:val="none"/>
        </w:rPr>
        <w:t>机构、城乡社区防控设施和条件，提升应急救援能力。建立跨区域援助工</w:t>
      </w:r>
      <w:r>
        <w:rPr>
          <w:rFonts w:hint="eastAsia" w:ascii="仿宋_GB2312" w:hAnsi="仿宋_GB2312" w:eastAsia="仿宋_GB2312" w:cs="仿宋_GB2312"/>
          <w:sz w:val="32"/>
          <w:szCs w:val="32"/>
          <w:highlight w:val="none"/>
          <w:lang w:val="en-US" w:eastAsia="zh-CN"/>
        </w:rPr>
        <w:t>作</w:t>
      </w:r>
      <w:r>
        <w:rPr>
          <w:rFonts w:hint="eastAsia" w:ascii="仿宋_GB2312" w:hAnsi="仿宋_GB2312" w:eastAsia="仿宋_GB2312" w:cs="仿宋_GB2312"/>
          <w:sz w:val="32"/>
          <w:szCs w:val="32"/>
          <w:highlight w:val="none"/>
        </w:rPr>
        <w:t>机制，根据需要对疫情防控压力大、能力相对薄弱的地区及时开展支援。</w:t>
      </w:r>
    </w:p>
    <w:sectPr>
      <w:footerReference r:id="rId3" w:type="default"/>
      <w:pgSz w:w="11906" w:h="16838"/>
      <w:pgMar w:top="1361" w:right="1644" w:bottom="1361" w:left="1644" w:header="567" w:footer="567" w:gutter="0"/>
      <w:lnNumType w:countBy="0"/>
      <w:pgNumType w:fmt="decimal" w:start="1"/>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snapToGrid w:val="0"/>
      <w:jc w:val="left"/>
      <w:textAlignment w:val="baseline"/>
      <w:rPr>
        <w:rStyle w:val="15"/>
        <w:rFonts w:ascii="Calibri" w:hAnsi="Calibri" w:eastAsia="宋体"/>
        <w:kern w:val="2"/>
        <w:sz w:val="21"/>
        <w:szCs w:val="24"/>
        <w:lang w:val="en-US" w:eastAsia="zh-CN" w:bidi="ar-S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p>
    <w:pPr>
      <w:pStyle w:val="6"/>
      <w:widowControl/>
      <w:snapToGrid w:val="0"/>
      <w:jc w:val="left"/>
      <w:textAlignment w:val="baseline"/>
      <w:rPr>
        <w:rStyle w:val="15"/>
        <w:rFonts w:ascii="Calibri" w:hAnsi="Calibri" w:eastAsia="宋体"/>
        <w:kern w:val="2"/>
        <w:sz w:val="21"/>
        <w:szCs w:val="24"/>
        <w:lang w:val="en-US" w:eastAsia="zh-CN" w:bidi="ar-SA"/>
      </w:rPr>
    </w:pPr>
    <w:r>
      <w:rPr>
        <w:rStyle w:val="16"/>
        <w:rFonts w:ascii="Calibri" w:hAnsi="Calibri"/>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widowControl/>
                            <w:snapToGrid w:val="0"/>
                            <w:jc w:val="left"/>
                            <w:textAlignment w:val="baseline"/>
                            <w:rPr>
                              <w:rStyle w:val="16"/>
                              <w:rFonts w:ascii="Calibri" w:hAnsi="Calibri"/>
                              <w:kern w:val="2"/>
                              <w:sz w:val="18"/>
                              <w:szCs w:val="24"/>
                              <w:lang w:val="en-US" w:eastAsia="zh-CN" w:bidi="ar-SA"/>
                            </w:rPr>
                          </w:pPr>
                        </w:p>
                        <w:p>
                          <w:pPr>
                            <w:widowControl/>
                            <w:jc w:val="both"/>
                            <w:textAlignment w:val="baseline"/>
                            <w:rPr>
                              <w:rStyle w:val="16"/>
                              <w:rFonts w:ascii="Calibri" w:hAnsi="Calibri"/>
                              <w:kern w:val="2"/>
                              <w:sz w:val="21"/>
                              <w:szCs w:val="24"/>
                              <w:lang w:val="en-US" w:eastAsia="zh-CN" w:bidi="ar-SA"/>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CGtQ+PtwEAAHcDAAAOAAAAAAAAAAEAIAAAACEBAABkcnMvZTJvRG9jLnhtbFBLBQYAAAAABgAG&#10;AFkBAABKBQAAAAA=&#10;">
              <v:fill on="f" focussize="0,0"/>
              <v:stroke on="f"/>
              <v:imagedata o:title=""/>
              <o:lock v:ext="edit" aspectratio="f"/>
              <v:textbox inset="0mm,0mm,0mm,0mm">
                <w:txbxContent>
                  <w:p>
                    <w:pPr>
                      <w:pStyle w:val="6"/>
                      <w:widowControl/>
                      <w:snapToGrid w:val="0"/>
                      <w:jc w:val="left"/>
                      <w:textAlignment w:val="baseline"/>
                      <w:rPr>
                        <w:rStyle w:val="16"/>
                        <w:rFonts w:ascii="Calibri" w:hAnsi="Calibri"/>
                        <w:kern w:val="2"/>
                        <w:sz w:val="18"/>
                        <w:szCs w:val="24"/>
                        <w:lang w:val="en-US" w:eastAsia="zh-CN" w:bidi="ar-SA"/>
                      </w:rPr>
                    </w:pPr>
                  </w:p>
                  <w:p>
                    <w:pPr>
                      <w:widowControl/>
                      <w:jc w:val="both"/>
                      <w:textAlignment w:val="baseline"/>
                      <w:rPr>
                        <w:rStyle w:val="16"/>
                        <w:rFonts w:ascii="Calibri" w:hAnsi="Calibri"/>
                        <w:kern w:val="2"/>
                        <w:sz w:val="21"/>
                        <w:szCs w:val="24"/>
                        <w:lang w:val="en-US" w:eastAsia="zh-CN" w:bidi="ar-SA"/>
                      </w:rPr>
                    </w:pPr>
                  </w:p>
                </w:txbxContent>
              </v:textbox>
            </v:shape>
          </w:pict>
        </mc:Fallback>
      </mc:AlternateContent>
    </w:r>
    <w:r>
      <w:rPr>
        <w:rStyle w:val="15"/>
        <w:rFonts w:ascii="Calibri" w:hAnsi="Calibri" w:eastAsia="宋体"/>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bodyPr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0GbbG0AAAAAUBAAAPAAAAAAAAAAEA&#10;IAAAACIAAABkcnMvZG93bnJldi54bWxQSwECFAAUAAAACACHTuJANfeio6UBAABIAwAADgAAAAAA&#10;AAABACAAAAAfAQAAZHJzL2Uyb0RvYy54bWxQSwUGAAAAAAYABgBZAQAANgUAAAAA&#10;">
              <v:fill on="f" focussize="0,0"/>
              <v:stroke on="f"/>
              <v:imagedata o:title=""/>
              <o:lock v:ext="edit" aspectratio="f"/>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A4DAA"/>
    <w:multiLevelType w:val="singleLevel"/>
    <w:tmpl w:val="9C3A4DAA"/>
    <w:lvl w:ilvl="0" w:tentative="0">
      <w:start w:val="2"/>
      <w:numFmt w:val="chineseCounting"/>
      <w:suff w:val="space"/>
      <w:lvlText w:val="第%1章"/>
      <w:lvlJc w:val="left"/>
      <w:rPr>
        <w:rFonts w:hint="eastAsia"/>
      </w:rPr>
    </w:lvl>
  </w:abstractNum>
  <w:abstractNum w:abstractNumId="1">
    <w:nsid w:val="CB7D3196"/>
    <w:multiLevelType w:val="singleLevel"/>
    <w:tmpl w:val="CB7D3196"/>
    <w:lvl w:ilvl="0" w:tentative="0">
      <w:start w:val="3"/>
      <w:numFmt w:val="chineseCounting"/>
      <w:suff w:val="space"/>
      <w:lvlText w:val="第%1章"/>
      <w:lvlJc w:val="left"/>
      <w:rPr>
        <w:rFonts w:hint="eastAsia"/>
      </w:rPr>
    </w:lvl>
  </w:abstractNum>
  <w:abstractNum w:abstractNumId="2">
    <w:nsid w:val="D52BA029"/>
    <w:multiLevelType w:val="singleLevel"/>
    <w:tmpl w:val="D52BA029"/>
    <w:lvl w:ilvl="0" w:tentative="0">
      <w:start w:val="2"/>
      <w:numFmt w:val="chineseCounting"/>
      <w:suff w:val="space"/>
      <w:lvlText w:val="第%1节"/>
      <w:lvlJc w:val="left"/>
      <w:rPr>
        <w:rFonts w:hint="eastAsia"/>
      </w:rPr>
    </w:lvl>
  </w:abstractNum>
  <w:abstractNum w:abstractNumId="3">
    <w:nsid w:val="5519D7D7"/>
    <w:multiLevelType w:val="singleLevel"/>
    <w:tmpl w:val="5519D7D7"/>
    <w:lvl w:ilvl="0" w:tentative="0">
      <w:start w:val="5"/>
      <w:numFmt w:val="chineseCounting"/>
      <w:suff w:val="space"/>
      <w:lvlText w:val="第%1节"/>
      <w:lvlJc w:val="left"/>
      <w:rPr>
        <w:rFonts w:hint="eastAsia" w:ascii="黑体" w:hAnsi="黑体" w:eastAsia="黑体" w:cs="黑体"/>
        <w:sz w:val="32"/>
        <w:szCs w:val="32"/>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ZGQ1YWEwOTM4OWYyNTFlYzEwOTgzOTQxMWZlNjUifQ=="/>
  </w:docVars>
  <w:rsids>
    <w:rsidRoot w:val="18F131C1"/>
    <w:rsid w:val="00273E54"/>
    <w:rsid w:val="00293BB1"/>
    <w:rsid w:val="0029504D"/>
    <w:rsid w:val="003171E5"/>
    <w:rsid w:val="003E2244"/>
    <w:rsid w:val="00411DCD"/>
    <w:rsid w:val="00482853"/>
    <w:rsid w:val="00614A8A"/>
    <w:rsid w:val="00875944"/>
    <w:rsid w:val="008F2D5A"/>
    <w:rsid w:val="009936CD"/>
    <w:rsid w:val="009A7743"/>
    <w:rsid w:val="00AA2132"/>
    <w:rsid w:val="00AB0E74"/>
    <w:rsid w:val="00CC3245"/>
    <w:rsid w:val="00E31475"/>
    <w:rsid w:val="010B588C"/>
    <w:rsid w:val="01221B1C"/>
    <w:rsid w:val="01253439"/>
    <w:rsid w:val="01283268"/>
    <w:rsid w:val="013445C6"/>
    <w:rsid w:val="013C2853"/>
    <w:rsid w:val="01734D94"/>
    <w:rsid w:val="018B43EF"/>
    <w:rsid w:val="01A124DC"/>
    <w:rsid w:val="01A32B05"/>
    <w:rsid w:val="01A7647D"/>
    <w:rsid w:val="01AC7F5A"/>
    <w:rsid w:val="01DA633E"/>
    <w:rsid w:val="01DB7B30"/>
    <w:rsid w:val="01EF07FC"/>
    <w:rsid w:val="01FC0E4B"/>
    <w:rsid w:val="02053A42"/>
    <w:rsid w:val="021E58A8"/>
    <w:rsid w:val="021F68A2"/>
    <w:rsid w:val="02241702"/>
    <w:rsid w:val="02270948"/>
    <w:rsid w:val="02343E4F"/>
    <w:rsid w:val="02367835"/>
    <w:rsid w:val="026C1B63"/>
    <w:rsid w:val="026C4FD1"/>
    <w:rsid w:val="027536E8"/>
    <w:rsid w:val="0284560B"/>
    <w:rsid w:val="02854A85"/>
    <w:rsid w:val="02BD6C52"/>
    <w:rsid w:val="02CE57BB"/>
    <w:rsid w:val="02E71732"/>
    <w:rsid w:val="02FB7132"/>
    <w:rsid w:val="03081C6F"/>
    <w:rsid w:val="030C19D2"/>
    <w:rsid w:val="032D0178"/>
    <w:rsid w:val="032E20C9"/>
    <w:rsid w:val="034A57A3"/>
    <w:rsid w:val="03542472"/>
    <w:rsid w:val="03780029"/>
    <w:rsid w:val="037C6329"/>
    <w:rsid w:val="038B2DBC"/>
    <w:rsid w:val="03A62F16"/>
    <w:rsid w:val="03E56777"/>
    <w:rsid w:val="03E81636"/>
    <w:rsid w:val="03F51559"/>
    <w:rsid w:val="03F74639"/>
    <w:rsid w:val="040C6CCF"/>
    <w:rsid w:val="04105235"/>
    <w:rsid w:val="04197C9D"/>
    <w:rsid w:val="041C6753"/>
    <w:rsid w:val="04240E80"/>
    <w:rsid w:val="04376ACE"/>
    <w:rsid w:val="0444635D"/>
    <w:rsid w:val="044C519B"/>
    <w:rsid w:val="044E4F50"/>
    <w:rsid w:val="04567A6F"/>
    <w:rsid w:val="04627351"/>
    <w:rsid w:val="04661887"/>
    <w:rsid w:val="0485797F"/>
    <w:rsid w:val="048759C9"/>
    <w:rsid w:val="048D25F9"/>
    <w:rsid w:val="049011CE"/>
    <w:rsid w:val="04AD794C"/>
    <w:rsid w:val="04B35B50"/>
    <w:rsid w:val="04C60A65"/>
    <w:rsid w:val="04E11CA6"/>
    <w:rsid w:val="04E8592D"/>
    <w:rsid w:val="04FF037E"/>
    <w:rsid w:val="0515621B"/>
    <w:rsid w:val="05163034"/>
    <w:rsid w:val="051E5D63"/>
    <w:rsid w:val="05292553"/>
    <w:rsid w:val="054752C9"/>
    <w:rsid w:val="05483AD3"/>
    <w:rsid w:val="05507D75"/>
    <w:rsid w:val="055C1646"/>
    <w:rsid w:val="055C612A"/>
    <w:rsid w:val="05832D5D"/>
    <w:rsid w:val="05844803"/>
    <w:rsid w:val="059B73EA"/>
    <w:rsid w:val="059D5D10"/>
    <w:rsid w:val="05A33DDD"/>
    <w:rsid w:val="05A73385"/>
    <w:rsid w:val="05B84432"/>
    <w:rsid w:val="05E1392D"/>
    <w:rsid w:val="05F31F14"/>
    <w:rsid w:val="06021C34"/>
    <w:rsid w:val="06097EE8"/>
    <w:rsid w:val="0616597F"/>
    <w:rsid w:val="06383403"/>
    <w:rsid w:val="064D26AB"/>
    <w:rsid w:val="064F2B0F"/>
    <w:rsid w:val="06513057"/>
    <w:rsid w:val="065519F0"/>
    <w:rsid w:val="06587124"/>
    <w:rsid w:val="067341DC"/>
    <w:rsid w:val="06836542"/>
    <w:rsid w:val="06A75D04"/>
    <w:rsid w:val="06B3054C"/>
    <w:rsid w:val="06DC21C9"/>
    <w:rsid w:val="06DC2725"/>
    <w:rsid w:val="06E7180D"/>
    <w:rsid w:val="06FA332F"/>
    <w:rsid w:val="07011F77"/>
    <w:rsid w:val="072A6BB8"/>
    <w:rsid w:val="072C60E2"/>
    <w:rsid w:val="0749255E"/>
    <w:rsid w:val="075A7AEE"/>
    <w:rsid w:val="075B62F0"/>
    <w:rsid w:val="078671B9"/>
    <w:rsid w:val="079717B5"/>
    <w:rsid w:val="07BC5F85"/>
    <w:rsid w:val="07D53E7B"/>
    <w:rsid w:val="07EC051B"/>
    <w:rsid w:val="07FD6DF7"/>
    <w:rsid w:val="07FF79EA"/>
    <w:rsid w:val="08195FA2"/>
    <w:rsid w:val="081A63A8"/>
    <w:rsid w:val="081E5E9A"/>
    <w:rsid w:val="08240582"/>
    <w:rsid w:val="083B1A5A"/>
    <w:rsid w:val="083C7454"/>
    <w:rsid w:val="084F344D"/>
    <w:rsid w:val="086C3CB2"/>
    <w:rsid w:val="08762706"/>
    <w:rsid w:val="088C4EC5"/>
    <w:rsid w:val="08903864"/>
    <w:rsid w:val="08CF6B92"/>
    <w:rsid w:val="08D76BE1"/>
    <w:rsid w:val="09102204"/>
    <w:rsid w:val="091C7312"/>
    <w:rsid w:val="09200B34"/>
    <w:rsid w:val="09417F1E"/>
    <w:rsid w:val="094937FE"/>
    <w:rsid w:val="095F36ED"/>
    <w:rsid w:val="09700730"/>
    <w:rsid w:val="097D56BC"/>
    <w:rsid w:val="097F5A80"/>
    <w:rsid w:val="0985694C"/>
    <w:rsid w:val="099867EB"/>
    <w:rsid w:val="09B76C89"/>
    <w:rsid w:val="09B91230"/>
    <w:rsid w:val="09C557A8"/>
    <w:rsid w:val="09D077DB"/>
    <w:rsid w:val="09EE1E6F"/>
    <w:rsid w:val="09F712C0"/>
    <w:rsid w:val="0A135025"/>
    <w:rsid w:val="0A2533AE"/>
    <w:rsid w:val="0A395D64"/>
    <w:rsid w:val="0A6A780C"/>
    <w:rsid w:val="0A7F58EE"/>
    <w:rsid w:val="0A8D0A07"/>
    <w:rsid w:val="0A967388"/>
    <w:rsid w:val="0AF87C44"/>
    <w:rsid w:val="0AFE7A8A"/>
    <w:rsid w:val="0B0322AB"/>
    <w:rsid w:val="0B0B2413"/>
    <w:rsid w:val="0B15587D"/>
    <w:rsid w:val="0B246A8B"/>
    <w:rsid w:val="0B261F29"/>
    <w:rsid w:val="0B2864D6"/>
    <w:rsid w:val="0B3F13D6"/>
    <w:rsid w:val="0B420C78"/>
    <w:rsid w:val="0B4D454A"/>
    <w:rsid w:val="0B513D79"/>
    <w:rsid w:val="0B62226C"/>
    <w:rsid w:val="0B873DC2"/>
    <w:rsid w:val="0B8936E6"/>
    <w:rsid w:val="0B9836FD"/>
    <w:rsid w:val="0B991ED6"/>
    <w:rsid w:val="0B9E1F3B"/>
    <w:rsid w:val="0BBC29BE"/>
    <w:rsid w:val="0BC74386"/>
    <w:rsid w:val="0BDD1CE7"/>
    <w:rsid w:val="0BDE19E1"/>
    <w:rsid w:val="0C04163A"/>
    <w:rsid w:val="0C1A5278"/>
    <w:rsid w:val="0C241C28"/>
    <w:rsid w:val="0C3B4298"/>
    <w:rsid w:val="0C636DA9"/>
    <w:rsid w:val="0C824887"/>
    <w:rsid w:val="0C892056"/>
    <w:rsid w:val="0C900354"/>
    <w:rsid w:val="0CAD0E4C"/>
    <w:rsid w:val="0CB23070"/>
    <w:rsid w:val="0CB6584B"/>
    <w:rsid w:val="0CC407DF"/>
    <w:rsid w:val="0CC45A71"/>
    <w:rsid w:val="0CCC5A2A"/>
    <w:rsid w:val="0CCF11E2"/>
    <w:rsid w:val="0CD1447D"/>
    <w:rsid w:val="0CD73E2D"/>
    <w:rsid w:val="0CE30D6C"/>
    <w:rsid w:val="0CE51EE5"/>
    <w:rsid w:val="0CE64C11"/>
    <w:rsid w:val="0D100DA5"/>
    <w:rsid w:val="0D24238B"/>
    <w:rsid w:val="0D280889"/>
    <w:rsid w:val="0D442342"/>
    <w:rsid w:val="0D525A77"/>
    <w:rsid w:val="0D597C07"/>
    <w:rsid w:val="0D68783F"/>
    <w:rsid w:val="0D73731D"/>
    <w:rsid w:val="0D86332A"/>
    <w:rsid w:val="0D8A789A"/>
    <w:rsid w:val="0D8B5B9E"/>
    <w:rsid w:val="0D975385"/>
    <w:rsid w:val="0DD57BC0"/>
    <w:rsid w:val="0DE03306"/>
    <w:rsid w:val="0DE50952"/>
    <w:rsid w:val="0E097F4C"/>
    <w:rsid w:val="0E160486"/>
    <w:rsid w:val="0E2C44BB"/>
    <w:rsid w:val="0E2D4DDA"/>
    <w:rsid w:val="0E582241"/>
    <w:rsid w:val="0E6630F4"/>
    <w:rsid w:val="0E984AFE"/>
    <w:rsid w:val="0E9C7D98"/>
    <w:rsid w:val="0EB04896"/>
    <w:rsid w:val="0EFB2D1A"/>
    <w:rsid w:val="0EFB384E"/>
    <w:rsid w:val="0EFD3E31"/>
    <w:rsid w:val="0F1118E5"/>
    <w:rsid w:val="0F2A654A"/>
    <w:rsid w:val="0F394EE7"/>
    <w:rsid w:val="0F5555C6"/>
    <w:rsid w:val="0F6975F9"/>
    <w:rsid w:val="0F6F2232"/>
    <w:rsid w:val="0F8E5F13"/>
    <w:rsid w:val="0FA2219F"/>
    <w:rsid w:val="0FBE2BBE"/>
    <w:rsid w:val="0FCD4F24"/>
    <w:rsid w:val="0FD022F1"/>
    <w:rsid w:val="0FDC061F"/>
    <w:rsid w:val="0FF540F1"/>
    <w:rsid w:val="100B0434"/>
    <w:rsid w:val="100C6CF4"/>
    <w:rsid w:val="101C3AEE"/>
    <w:rsid w:val="102B633A"/>
    <w:rsid w:val="10512778"/>
    <w:rsid w:val="105C1F63"/>
    <w:rsid w:val="10741CB0"/>
    <w:rsid w:val="10870BF5"/>
    <w:rsid w:val="10943B50"/>
    <w:rsid w:val="109572C1"/>
    <w:rsid w:val="10A7758D"/>
    <w:rsid w:val="10B33C55"/>
    <w:rsid w:val="10B53913"/>
    <w:rsid w:val="10C35665"/>
    <w:rsid w:val="10C55F77"/>
    <w:rsid w:val="10C71044"/>
    <w:rsid w:val="10D70F6C"/>
    <w:rsid w:val="10DB02A8"/>
    <w:rsid w:val="10F25C74"/>
    <w:rsid w:val="10FD0026"/>
    <w:rsid w:val="11082548"/>
    <w:rsid w:val="111013D5"/>
    <w:rsid w:val="111954EA"/>
    <w:rsid w:val="111A5E7E"/>
    <w:rsid w:val="111B035E"/>
    <w:rsid w:val="111F2CCF"/>
    <w:rsid w:val="11411EA0"/>
    <w:rsid w:val="1160409A"/>
    <w:rsid w:val="11976BC0"/>
    <w:rsid w:val="11A1616D"/>
    <w:rsid w:val="11C228F0"/>
    <w:rsid w:val="11C968D0"/>
    <w:rsid w:val="12056A00"/>
    <w:rsid w:val="12480C2D"/>
    <w:rsid w:val="1249031C"/>
    <w:rsid w:val="124B766A"/>
    <w:rsid w:val="125D4B4C"/>
    <w:rsid w:val="126B3E74"/>
    <w:rsid w:val="12A66ED6"/>
    <w:rsid w:val="12AD1A0B"/>
    <w:rsid w:val="12C35A1A"/>
    <w:rsid w:val="12D737FC"/>
    <w:rsid w:val="12F50395"/>
    <w:rsid w:val="1317108F"/>
    <w:rsid w:val="132F0112"/>
    <w:rsid w:val="133E02C4"/>
    <w:rsid w:val="13431C66"/>
    <w:rsid w:val="13485DD1"/>
    <w:rsid w:val="134D0507"/>
    <w:rsid w:val="13534A26"/>
    <w:rsid w:val="135C1DAA"/>
    <w:rsid w:val="136B1455"/>
    <w:rsid w:val="136B62DF"/>
    <w:rsid w:val="138146AA"/>
    <w:rsid w:val="139668B2"/>
    <w:rsid w:val="13A36C61"/>
    <w:rsid w:val="13AF49A1"/>
    <w:rsid w:val="13D14F79"/>
    <w:rsid w:val="13E54E15"/>
    <w:rsid w:val="13E95EFA"/>
    <w:rsid w:val="14016F58"/>
    <w:rsid w:val="140437F1"/>
    <w:rsid w:val="14156A4E"/>
    <w:rsid w:val="141E6B71"/>
    <w:rsid w:val="142A4DFA"/>
    <w:rsid w:val="14391F41"/>
    <w:rsid w:val="1441760D"/>
    <w:rsid w:val="144D3DE9"/>
    <w:rsid w:val="144E1E2A"/>
    <w:rsid w:val="1459481E"/>
    <w:rsid w:val="146C1121"/>
    <w:rsid w:val="14727CE2"/>
    <w:rsid w:val="14804B1D"/>
    <w:rsid w:val="14970EE2"/>
    <w:rsid w:val="149C05FB"/>
    <w:rsid w:val="14B5107C"/>
    <w:rsid w:val="14EF1393"/>
    <w:rsid w:val="152E5DBF"/>
    <w:rsid w:val="152F6567"/>
    <w:rsid w:val="157A7B45"/>
    <w:rsid w:val="15891952"/>
    <w:rsid w:val="15900A07"/>
    <w:rsid w:val="15947CEA"/>
    <w:rsid w:val="15B850A6"/>
    <w:rsid w:val="15CB7F97"/>
    <w:rsid w:val="15D509DA"/>
    <w:rsid w:val="15E108DB"/>
    <w:rsid w:val="15E4170D"/>
    <w:rsid w:val="15F31D8D"/>
    <w:rsid w:val="15FA2FE6"/>
    <w:rsid w:val="160414A0"/>
    <w:rsid w:val="16400AED"/>
    <w:rsid w:val="16500DD5"/>
    <w:rsid w:val="16642FF2"/>
    <w:rsid w:val="166B5873"/>
    <w:rsid w:val="167600C8"/>
    <w:rsid w:val="16762691"/>
    <w:rsid w:val="16780DF5"/>
    <w:rsid w:val="168D42D9"/>
    <w:rsid w:val="16A97F52"/>
    <w:rsid w:val="16AA129A"/>
    <w:rsid w:val="16AF0AF8"/>
    <w:rsid w:val="16C630A2"/>
    <w:rsid w:val="16CE3993"/>
    <w:rsid w:val="16E97981"/>
    <w:rsid w:val="170D347A"/>
    <w:rsid w:val="171E3F06"/>
    <w:rsid w:val="172A6A5D"/>
    <w:rsid w:val="17521263"/>
    <w:rsid w:val="176C32E5"/>
    <w:rsid w:val="176D1254"/>
    <w:rsid w:val="177A7E4B"/>
    <w:rsid w:val="17824971"/>
    <w:rsid w:val="178829EF"/>
    <w:rsid w:val="17992437"/>
    <w:rsid w:val="17A452AC"/>
    <w:rsid w:val="17A96039"/>
    <w:rsid w:val="17B16F25"/>
    <w:rsid w:val="17B20DE8"/>
    <w:rsid w:val="17B84642"/>
    <w:rsid w:val="17BA762B"/>
    <w:rsid w:val="17CD2A6C"/>
    <w:rsid w:val="17D01E15"/>
    <w:rsid w:val="17D336E1"/>
    <w:rsid w:val="17D850EB"/>
    <w:rsid w:val="17E17EE1"/>
    <w:rsid w:val="17F72704"/>
    <w:rsid w:val="180225CC"/>
    <w:rsid w:val="18052B17"/>
    <w:rsid w:val="18091F1F"/>
    <w:rsid w:val="18183181"/>
    <w:rsid w:val="18252083"/>
    <w:rsid w:val="182645EE"/>
    <w:rsid w:val="183073AD"/>
    <w:rsid w:val="18430197"/>
    <w:rsid w:val="184E7599"/>
    <w:rsid w:val="1853036D"/>
    <w:rsid w:val="18546D61"/>
    <w:rsid w:val="186B54E8"/>
    <w:rsid w:val="18756BE9"/>
    <w:rsid w:val="18AC6D67"/>
    <w:rsid w:val="18AE2450"/>
    <w:rsid w:val="18E84188"/>
    <w:rsid w:val="18EC0E26"/>
    <w:rsid w:val="18F131C1"/>
    <w:rsid w:val="18F425B0"/>
    <w:rsid w:val="18FD49B7"/>
    <w:rsid w:val="19066A43"/>
    <w:rsid w:val="190F2D17"/>
    <w:rsid w:val="191C0F8C"/>
    <w:rsid w:val="1922241C"/>
    <w:rsid w:val="19295461"/>
    <w:rsid w:val="1935164E"/>
    <w:rsid w:val="194162B6"/>
    <w:rsid w:val="194A6179"/>
    <w:rsid w:val="197C3B70"/>
    <w:rsid w:val="19924AC6"/>
    <w:rsid w:val="19A77448"/>
    <w:rsid w:val="19A93D02"/>
    <w:rsid w:val="19BA4906"/>
    <w:rsid w:val="19D738E1"/>
    <w:rsid w:val="19F361DA"/>
    <w:rsid w:val="19F8791A"/>
    <w:rsid w:val="1A0758B3"/>
    <w:rsid w:val="1A141D7E"/>
    <w:rsid w:val="1A2A0BB9"/>
    <w:rsid w:val="1A2A39CF"/>
    <w:rsid w:val="1A2C2053"/>
    <w:rsid w:val="1A420CE5"/>
    <w:rsid w:val="1A61475A"/>
    <w:rsid w:val="1A625E56"/>
    <w:rsid w:val="1A774AEA"/>
    <w:rsid w:val="1A7C4992"/>
    <w:rsid w:val="1A7D0ED5"/>
    <w:rsid w:val="1A8B4C1B"/>
    <w:rsid w:val="1AC47421"/>
    <w:rsid w:val="1AC945B7"/>
    <w:rsid w:val="1AD730F9"/>
    <w:rsid w:val="1B256167"/>
    <w:rsid w:val="1B2F708B"/>
    <w:rsid w:val="1B326960"/>
    <w:rsid w:val="1B38578F"/>
    <w:rsid w:val="1B4E05AD"/>
    <w:rsid w:val="1B50328A"/>
    <w:rsid w:val="1B6937B7"/>
    <w:rsid w:val="1B6B72C3"/>
    <w:rsid w:val="1B7D04D6"/>
    <w:rsid w:val="1B9372F0"/>
    <w:rsid w:val="1BA847C3"/>
    <w:rsid w:val="1BCA5D3A"/>
    <w:rsid w:val="1BD046AF"/>
    <w:rsid w:val="1BE208A7"/>
    <w:rsid w:val="1BF17F28"/>
    <w:rsid w:val="1C000963"/>
    <w:rsid w:val="1C13279C"/>
    <w:rsid w:val="1C1B161A"/>
    <w:rsid w:val="1C2838BF"/>
    <w:rsid w:val="1C505315"/>
    <w:rsid w:val="1C5830C3"/>
    <w:rsid w:val="1C5A4095"/>
    <w:rsid w:val="1C626719"/>
    <w:rsid w:val="1C636C21"/>
    <w:rsid w:val="1C716D17"/>
    <w:rsid w:val="1C72722C"/>
    <w:rsid w:val="1C762126"/>
    <w:rsid w:val="1C771777"/>
    <w:rsid w:val="1C865258"/>
    <w:rsid w:val="1CBB19CE"/>
    <w:rsid w:val="1CC21F65"/>
    <w:rsid w:val="1CCB461D"/>
    <w:rsid w:val="1CCE59FA"/>
    <w:rsid w:val="1CF65811"/>
    <w:rsid w:val="1CFE03F7"/>
    <w:rsid w:val="1D094A6D"/>
    <w:rsid w:val="1D0D1B3C"/>
    <w:rsid w:val="1D1A0DC6"/>
    <w:rsid w:val="1D1B46C3"/>
    <w:rsid w:val="1D207E00"/>
    <w:rsid w:val="1D7F163F"/>
    <w:rsid w:val="1D811911"/>
    <w:rsid w:val="1DA9466C"/>
    <w:rsid w:val="1DB745B0"/>
    <w:rsid w:val="1DC30776"/>
    <w:rsid w:val="1DC523D8"/>
    <w:rsid w:val="1DCA3F40"/>
    <w:rsid w:val="1DE909BD"/>
    <w:rsid w:val="1DEA126E"/>
    <w:rsid w:val="1DF4511D"/>
    <w:rsid w:val="1DF95513"/>
    <w:rsid w:val="1DFE5D08"/>
    <w:rsid w:val="1E0340F1"/>
    <w:rsid w:val="1E04178D"/>
    <w:rsid w:val="1E120633"/>
    <w:rsid w:val="1E1D7391"/>
    <w:rsid w:val="1E6B57D1"/>
    <w:rsid w:val="1E700CEF"/>
    <w:rsid w:val="1E7D0F8F"/>
    <w:rsid w:val="1E866B46"/>
    <w:rsid w:val="1E8F15D0"/>
    <w:rsid w:val="1E9973A1"/>
    <w:rsid w:val="1E9B4F2D"/>
    <w:rsid w:val="1EA01861"/>
    <w:rsid w:val="1EB9271F"/>
    <w:rsid w:val="1EF02CDF"/>
    <w:rsid w:val="1F375ED9"/>
    <w:rsid w:val="1F3D6F0A"/>
    <w:rsid w:val="1F3E27EA"/>
    <w:rsid w:val="1F433BD4"/>
    <w:rsid w:val="1F541013"/>
    <w:rsid w:val="1F626ABB"/>
    <w:rsid w:val="1F784903"/>
    <w:rsid w:val="1F7B2CBB"/>
    <w:rsid w:val="1F7C5C3B"/>
    <w:rsid w:val="1F7F1629"/>
    <w:rsid w:val="1FA52B16"/>
    <w:rsid w:val="1FA97CCB"/>
    <w:rsid w:val="1FB44435"/>
    <w:rsid w:val="1FBC1038"/>
    <w:rsid w:val="1FDF63B9"/>
    <w:rsid w:val="1FE04419"/>
    <w:rsid w:val="1FF76FC9"/>
    <w:rsid w:val="1FF817F4"/>
    <w:rsid w:val="200D2457"/>
    <w:rsid w:val="20113D20"/>
    <w:rsid w:val="20226E9A"/>
    <w:rsid w:val="203B0689"/>
    <w:rsid w:val="20401683"/>
    <w:rsid w:val="204111DF"/>
    <w:rsid w:val="20465E75"/>
    <w:rsid w:val="20680580"/>
    <w:rsid w:val="206D6CE0"/>
    <w:rsid w:val="208C204D"/>
    <w:rsid w:val="20A614D2"/>
    <w:rsid w:val="20AB301F"/>
    <w:rsid w:val="20AB6E0D"/>
    <w:rsid w:val="20BD387A"/>
    <w:rsid w:val="20CA1857"/>
    <w:rsid w:val="20D8152F"/>
    <w:rsid w:val="20E73D48"/>
    <w:rsid w:val="20FE120C"/>
    <w:rsid w:val="210932E7"/>
    <w:rsid w:val="210B4122"/>
    <w:rsid w:val="21132E13"/>
    <w:rsid w:val="21187CE7"/>
    <w:rsid w:val="212D3FF9"/>
    <w:rsid w:val="2153157A"/>
    <w:rsid w:val="21535F80"/>
    <w:rsid w:val="215C41B1"/>
    <w:rsid w:val="21746DF2"/>
    <w:rsid w:val="2188538E"/>
    <w:rsid w:val="21A070A7"/>
    <w:rsid w:val="21A1399B"/>
    <w:rsid w:val="21AA14D8"/>
    <w:rsid w:val="21B05CF7"/>
    <w:rsid w:val="21B1644F"/>
    <w:rsid w:val="21B23BB5"/>
    <w:rsid w:val="21B80DC3"/>
    <w:rsid w:val="21C31FAF"/>
    <w:rsid w:val="21C71126"/>
    <w:rsid w:val="21CA7D0E"/>
    <w:rsid w:val="21D81EC0"/>
    <w:rsid w:val="21E318CD"/>
    <w:rsid w:val="21E607F8"/>
    <w:rsid w:val="21E77DB2"/>
    <w:rsid w:val="21EB7868"/>
    <w:rsid w:val="21F229A5"/>
    <w:rsid w:val="21F70124"/>
    <w:rsid w:val="2206311F"/>
    <w:rsid w:val="220E032C"/>
    <w:rsid w:val="22227E72"/>
    <w:rsid w:val="22315364"/>
    <w:rsid w:val="22335759"/>
    <w:rsid w:val="22370E80"/>
    <w:rsid w:val="22463B70"/>
    <w:rsid w:val="22644343"/>
    <w:rsid w:val="2276431F"/>
    <w:rsid w:val="22980983"/>
    <w:rsid w:val="229972C4"/>
    <w:rsid w:val="22A22B77"/>
    <w:rsid w:val="22CD0166"/>
    <w:rsid w:val="22CF5EA5"/>
    <w:rsid w:val="22D55649"/>
    <w:rsid w:val="22D95C7B"/>
    <w:rsid w:val="22EA02FF"/>
    <w:rsid w:val="22FE2645"/>
    <w:rsid w:val="22FF181D"/>
    <w:rsid w:val="23313CBC"/>
    <w:rsid w:val="233D5EA2"/>
    <w:rsid w:val="23740340"/>
    <w:rsid w:val="23773450"/>
    <w:rsid w:val="23983111"/>
    <w:rsid w:val="239B41B0"/>
    <w:rsid w:val="23B65F98"/>
    <w:rsid w:val="23BA6D06"/>
    <w:rsid w:val="23CB609D"/>
    <w:rsid w:val="23CD2B6B"/>
    <w:rsid w:val="23DA28FB"/>
    <w:rsid w:val="23FF7EDE"/>
    <w:rsid w:val="24177643"/>
    <w:rsid w:val="24207B34"/>
    <w:rsid w:val="24363B52"/>
    <w:rsid w:val="243B2CF4"/>
    <w:rsid w:val="24407CD1"/>
    <w:rsid w:val="24443402"/>
    <w:rsid w:val="245071F6"/>
    <w:rsid w:val="247C7B52"/>
    <w:rsid w:val="247E6644"/>
    <w:rsid w:val="24990992"/>
    <w:rsid w:val="249E0326"/>
    <w:rsid w:val="24A332E0"/>
    <w:rsid w:val="24A65CC9"/>
    <w:rsid w:val="24AA210B"/>
    <w:rsid w:val="24AD7AF4"/>
    <w:rsid w:val="24BE1B0C"/>
    <w:rsid w:val="24CC0654"/>
    <w:rsid w:val="24D73B9B"/>
    <w:rsid w:val="25050C41"/>
    <w:rsid w:val="250824DF"/>
    <w:rsid w:val="252816D3"/>
    <w:rsid w:val="25357727"/>
    <w:rsid w:val="253A35E6"/>
    <w:rsid w:val="253B4D17"/>
    <w:rsid w:val="25434E22"/>
    <w:rsid w:val="254F4544"/>
    <w:rsid w:val="25602529"/>
    <w:rsid w:val="25613EA3"/>
    <w:rsid w:val="25713B75"/>
    <w:rsid w:val="25A703FE"/>
    <w:rsid w:val="25B06ADC"/>
    <w:rsid w:val="25BD64CD"/>
    <w:rsid w:val="25C20C6F"/>
    <w:rsid w:val="25C7735B"/>
    <w:rsid w:val="25CC5B2C"/>
    <w:rsid w:val="25F770FF"/>
    <w:rsid w:val="25FF6860"/>
    <w:rsid w:val="260411FC"/>
    <w:rsid w:val="26211C5C"/>
    <w:rsid w:val="26236BAE"/>
    <w:rsid w:val="263108A1"/>
    <w:rsid w:val="263F5F02"/>
    <w:rsid w:val="26430E91"/>
    <w:rsid w:val="26644A4E"/>
    <w:rsid w:val="267047A9"/>
    <w:rsid w:val="267F4A46"/>
    <w:rsid w:val="268E560C"/>
    <w:rsid w:val="269C1977"/>
    <w:rsid w:val="26BE6BF1"/>
    <w:rsid w:val="26C84AE7"/>
    <w:rsid w:val="26CF20BA"/>
    <w:rsid w:val="26D0376F"/>
    <w:rsid w:val="26D30B00"/>
    <w:rsid w:val="26D3175C"/>
    <w:rsid w:val="26DE4C83"/>
    <w:rsid w:val="26EC5956"/>
    <w:rsid w:val="26F52240"/>
    <w:rsid w:val="270435C1"/>
    <w:rsid w:val="270E56D9"/>
    <w:rsid w:val="271465AA"/>
    <w:rsid w:val="271875B1"/>
    <w:rsid w:val="2746547D"/>
    <w:rsid w:val="27565092"/>
    <w:rsid w:val="27577A7F"/>
    <w:rsid w:val="275C1685"/>
    <w:rsid w:val="27602932"/>
    <w:rsid w:val="277B3C37"/>
    <w:rsid w:val="277C1DF0"/>
    <w:rsid w:val="278608E4"/>
    <w:rsid w:val="279A50E9"/>
    <w:rsid w:val="27B82092"/>
    <w:rsid w:val="27C22E19"/>
    <w:rsid w:val="27D37349"/>
    <w:rsid w:val="283B025B"/>
    <w:rsid w:val="284050E2"/>
    <w:rsid w:val="2857642E"/>
    <w:rsid w:val="286156A4"/>
    <w:rsid w:val="2871035F"/>
    <w:rsid w:val="287E5518"/>
    <w:rsid w:val="28851C34"/>
    <w:rsid w:val="28894B0D"/>
    <w:rsid w:val="289001AF"/>
    <w:rsid w:val="28A41800"/>
    <w:rsid w:val="28B179CF"/>
    <w:rsid w:val="28B7096B"/>
    <w:rsid w:val="28BA53BE"/>
    <w:rsid w:val="28BE1833"/>
    <w:rsid w:val="28C44193"/>
    <w:rsid w:val="28F60F54"/>
    <w:rsid w:val="29592A96"/>
    <w:rsid w:val="295D377A"/>
    <w:rsid w:val="2961415F"/>
    <w:rsid w:val="297C51B8"/>
    <w:rsid w:val="29816C50"/>
    <w:rsid w:val="29901D7D"/>
    <w:rsid w:val="2999044D"/>
    <w:rsid w:val="29A63942"/>
    <w:rsid w:val="29A806F2"/>
    <w:rsid w:val="29B44DC0"/>
    <w:rsid w:val="29BA0DBA"/>
    <w:rsid w:val="29C90E34"/>
    <w:rsid w:val="29CB6758"/>
    <w:rsid w:val="29EB4F15"/>
    <w:rsid w:val="29F02D31"/>
    <w:rsid w:val="29F33209"/>
    <w:rsid w:val="2A0D22C4"/>
    <w:rsid w:val="2A197105"/>
    <w:rsid w:val="2A40576D"/>
    <w:rsid w:val="2A506BEC"/>
    <w:rsid w:val="2A515E26"/>
    <w:rsid w:val="2A814C7D"/>
    <w:rsid w:val="2AB85174"/>
    <w:rsid w:val="2ABE5B1A"/>
    <w:rsid w:val="2AD00090"/>
    <w:rsid w:val="2AF11491"/>
    <w:rsid w:val="2AF34A82"/>
    <w:rsid w:val="2B001808"/>
    <w:rsid w:val="2B2C5AF2"/>
    <w:rsid w:val="2B2D1B3C"/>
    <w:rsid w:val="2B320CE1"/>
    <w:rsid w:val="2B3B0A94"/>
    <w:rsid w:val="2B3C4BBC"/>
    <w:rsid w:val="2B450E5F"/>
    <w:rsid w:val="2B477AD6"/>
    <w:rsid w:val="2B4D390D"/>
    <w:rsid w:val="2B5033F2"/>
    <w:rsid w:val="2B667930"/>
    <w:rsid w:val="2B6A000E"/>
    <w:rsid w:val="2B6C0A7C"/>
    <w:rsid w:val="2B7D70EF"/>
    <w:rsid w:val="2B866DF7"/>
    <w:rsid w:val="2B937F70"/>
    <w:rsid w:val="2B9555F5"/>
    <w:rsid w:val="2BA727FC"/>
    <w:rsid w:val="2BBA5469"/>
    <w:rsid w:val="2BC460FB"/>
    <w:rsid w:val="2BD84256"/>
    <w:rsid w:val="2BE54849"/>
    <w:rsid w:val="2C025EFD"/>
    <w:rsid w:val="2C0E21C3"/>
    <w:rsid w:val="2C175B92"/>
    <w:rsid w:val="2C18766B"/>
    <w:rsid w:val="2C1C431F"/>
    <w:rsid w:val="2C1E6BD9"/>
    <w:rsid w:val="2C26606D"/>
    <w:rsid w:val="2C797A1E"/>
    <w:rsid w:val="2C8731CE"/>
    <w:rsid w:val="2C896A21"/>
    <w:rsid w:val="2C8A7FF1"/>
    <w:rsid w:val="2C9C1DA5"/>
    <w:rsid w:val="2CA81271"/>
    <w:rsid w:val="2CAB08E5"/>
    <w:rsid w:val="2CB003D5"/>
    <w:rsid w:val="2CBE569E"/>
    <w:rsid w:val="2CC95EA0"/>
    <w:rsid w:val="2CD319A7"/>
    <w:rsid w:val="2CE20708"/>
    <w:rsid w:val="2CEC506F"/>
    <w:rsid w:val="2CF02884"/>
    <w:rsid w:val="2CF62759"/>
    <w:rsid w:val="2D02021E"/>
    <w:rsid w:val="2D033834"/>
    <w:rsid w:val="2D18057F"/>
    <w:rsid w:val="2D196AD2"/>
    <w:rsid w:val="2D1F167B"/>
    <w:rsid w:val="2D2819AC"/>
    <w:rsid w:val="2D48189B"/>
    <w:rsid w:val="2D5C6287"/>
    <w:rsid w:val="2D6749E8"/>
    <w:rsid w:val="2D687789"/>
    <w:rsid w:val="2D9C75B7"/>
    <w:rsid w:val="2DA43B7A"/>
    <w:rsid w:val="2DC0789E"/>
    <w:rsid w:val="2DCF45D4"/>
    <w:rsid w:val="2DF1677A"/>
    <w:rsid w:val="2DFB52D7"/>
    <w:rsid w:val="2DFE4CA9"/>
    <w:rsid w:val="2E147931"/>
    <w:rsid w:val="2E3F0193"/>
    <w:rsid w:val="2E423F15"/>
    <w:rsid w:val="2E531398"/>
    <w:rsid w:val="2E5E01DF"/>
    <w:rsid w:val="2E683B47"/>
    <w:rsid w:val="2E6B5B72"/>
    <w:rsid w:val="2E6C0BF8"/>
    <w:rsid w:val="2E7C1474"/>
    <w:rsid w:val="2E7D3119"/>
    <w:rsid w:val="2E81791B"/>
    <w:rsid w:val="2E845BA1"/>
    <w:rsid w:val="2E96711A"/>
    <w:rsid w:val="2E9C3E43"/>
    <w:rsid w:val="2EA8159E"/>
    <w:rsid w:val="2EAC29B7"/>
    <w:rsid w:val="2EAF6B37"/>
    <w:rsid w:val="2ED36E30"/>
    <w:rsid w:val="2F0E627F"/>
    <w:rsid w:val="2F1C743A"/>
    <w:rsid w:val="2F2D61B5"/>
    <w:rsid w:val="2F2E58F0"/>
    <w:rsid w:val="2F4444F4"/>
    <w:rsid w:val="2F450367"/>
    <w:rsid w:val="2F4662AA"/>
    <w:rsid w:val="2F566589"/>
    <w:rsid w:val="2F5C4F63"/>
    <w:rsid w:val="2F691340"/>
    <w:rsid w:val="2F7C01C9"/>
    <w:rsid w:val="2F8B5D7D"/>
    <w:rsid w:val="2F98716E"/>
    <w:rsid w:val="2FB61961"/>
    <w:rsid w:val="2FDE7CDA"/>
    <w:rsid w:val="2FE05317"/>
    <w:rsid w:val="2FEC1A01"/>
    <w:rsid w:val="30032221"/>
    <w:rsid w:val="300366BE"/>
    <w:rsid w:val="3004209F"/>
    <w:rsid w:val="30043EEC"/>
    <w:rsid w:val="304F5FA6"/>
    <w:rsid w:val="305360B6"/>
    <w:rsid w:val="30691A30"/>
    <w:rsid w:val="308474BA"/>
    <w:rsid w:val="30985D7A"/>
    <w:rsid w:val="30A5444A"/>
    <w:rsid w:val="30B26494"/>
    <w:rsid w:val="30B7618D"/>
    <w:rsid w:val="30BD7316"/>
    <w:rsid w:val="30C75670"/>
    <w:rsid w:val="30CB1D7E"/>
    <w:rsid w:val="30F61A82"/>
    <w:rsid w:val="310F1BA0"/>
    <w:rsid w:val="312C5540"/>
    <w:rsid w:val="312F5C71"/>
    <w:rsid w:val="313F5D72"/>
    <w:rsid w:val="314658C1"/>
    <w:rsid w:val="315638E7"/>
    <w:rsid w:val="315A567B"/>
    <w:rsid w:val="317115C0"/>
    <w:rsid w:val="31A87A1C"/>
    <w:rsid w:val="31A958E2"/>
    <w:rsid w:val="31AB4956"/>
    <w:rsid w:val="31B309AB"/>
    <w:rsid w:val="31BF5D06"/>
    <w:rsid w:val="31BF7279"/>
    <w:rsid w:val="31C93849"/>
    <w:rsid w:val="31D54443"/>
    <w:rsid w:val="31E6334C"/>
    <w:rsid w:val="31EA64F2"/>
    <w:rsid w:val="31ED4F37"/>
    <w:rsid w:val="31EE6DA9"/>
    <w:rsid w:val="31F31501"/>
    <w:rsid w:val="32025A5C"/>
    <w:rsid w:val="320B44D1"/>
    <w:rsid w:val="321F08F9"/>
    <w:rsid w:val="32322217"/>
    <w:rsid w:val="32565BD0"/>
    <w:rsid w:val="325927AF"/>
    <w:rsid w:val="32794295"/>
    <w:rsid w:val="327D15CC"/>
    <w:rsid w:val="32E004F9"/>
    <w:rsid w:val="33066708"/>
    <w:rsid w:val="33392E88"/>
    <w:rsid w:val="335A368C"/>
    <w:rsid w:val="336F4935"/>
    <w:rsid w:val="33715C52"/>
    <w:rsid w:val="33722569"/>
    <w:rsid w:val="33801521"/>
    <w:rsid w:val="33845630"/>
    <w:rsid w:val="33917C54"/>
    <w:rsid w:val="339C09C3"/>
    <w:rsid w:val="339D3B58"/>
    <w:rsid w:val="33A152AC"/>
    <w:rsid w:val="33B422A6"/>
    <w:rsid w:val="33C23973"/>
    <w:rsid w:val="33C93813"/>
    <w:rsid w:val="33E84C4A"/>
    <w:rsid w:val="33F452B5"/>
    <w:rsid w:val="341919FF"/>
    <w:rsid w:val="341C0013"/>
    <w:rsid w:val="341D6576"/>
    <w:rsid w:val="3436048F"/>
    <w:rsid w:val="34391800"/>
    <w:rsid w:val="343B77C0"/>
    <w:rsid w:val="344352E2"/>
    <w:rsid w:val="3451181C"/>
    <w:rsid w:val="34512902"/>
    <w:rsid w:val="34561255"/>
    <w:rsid w:val="345B6D72"/>
    <w:rsid w:val="345D53FC"/>
    <w:rsid w:val="34A376E5"/>
    <w:rsid w:val="34A3791F"/>
    <w:rsid w:val="34B6253A"/>
    <w:rsid w:val="34B76E9E"/>
    <w:rsid w:val="34BA3239"/>
    <w:rsid w:val="34D4556F"/>
    <w:rsid w:val="34EC47A8"/>
    <w:rsid w:val="34ED2F24"/>
    <w:rsid w:val="34EF7701"/>
    <w:rsid w:val="350749A1"/>
    <w:rsid w:val="351D0605"/>
    <w:rsid w:val="35507CB7"/>
    <w:rsid w:val="3555351F"/>
    <w:rsid w:val="356C5C94"/>
    <w:rsid w:val="356F5BF1"/>
    <w:rsid w:val="357E2FF5"/>
    <w:rsid w:val="35863382"/>
    <w:rsid w:val="3586679A"/>
    <w:rsid w:val="35A2214A"/>
    <w:rsid w:val="35B55C6E"/>
    <w:rsid w:val="35BA37F8"/>
    <w:rsid w:val="35BE7316"/>
    <w:rsid w:val="35C41F7D"/>
    <w:rsid w:val="35D64156"/>
    <w:rsid w:val="35EB4AE1"/>
    <w:rsid w:val="360D30B1"/>
    <w:rsid w:val="36132DC3"/>
    <w:rsid w:val="36174C78"/>
    <w:rsid w:val="362A5636"/>
    <w:rsid w:val="362F6896"/>
    <w:rsid w:val="365D52C1"/>
    <w:rsid w:val="36664A2F"/>
    <w:rsid w:val="367D2B67"/>
    <w:rsid w:val="368A28F3"/>
    <w:rsid w:val="36991077"/>
    <w:rsid w:val="369D0085"/>
    <w:rsid w:val="36A86A53"/>
    <w:rsid w:val="36AA7CAB"/>
    <w:rsid w:val="36AF33A7"/>
    <w:rsid w:val="36BF3371"/>
    <w:rsid w:val="36C12E57"/>
    <w:rsid w:val="36D4208F"/>
    <w:rsid w:val="372F6EF0"/>
    <w:rsid w:val="374D77D2"/>
    <w:rsid w:val="376136A6"/>
    <w:rsid w:val="3790774A"/>
    <w:rsid w:val="379C034C"/>
    <w:rsid w:val="379E9026"/>
    <w:rsid w:val="37A53562"/>
    <w:rsid w:val="37A84D38"/>
    <w:rsid w:val="37AC5F25"/>
    <w:rsid w:val="37BE781E"/>
    <w:rsid w:val="37D90435"/>
    <w:rsid w:val="37D91F30"/>
    <w:rsid w:val="37DC1600"/>
    <w:rsid w:val="37DC6BCD"/>
    <w:rsid w:val="37F7343B"/>
    <w:rsid w:val="38007EC4"/>
    <w:rsid w:val="380747BA"/>
    <w:rsid w:val="380A2038"/>
    <w:rsid w:val="3811762B"/>
    <w:rsid w:val="3812345D"/>
    <w:rsid w:val="38136375"/>
    <w:rsid w:val="38207754"/>
    <w:rsid w:val="382820AB"/>
    <w:rsid w:val="383C1C95"/>
    <w:rsid w:val="383D2F2C"/>
    <w:rsid w:val="38416ED9"/>
    <w:rsid w:val="38464E21"/>
    <w:rsid w:val="38592470"/>
    <w:rsid w:val="385938D9"/>
    <w:rsid w:val="38660C1D"/>
    <w:rsid w:val="3878035D"/>
    <w:rsid w:val="387F0216"/>
    <w:rsid w:val="38874DA0"/>
    <w:rsid w:val="388A2160"/>
    <w:rsid w:val="388D1222"/>
    <w:rsid w:val="38903EB9"/>
    <w:rsid w:val="389841B6"/>
    <w:rsid w:val="38A44169"/>
    <w:rsid w:val="38C77ECE"/>
    <w:rsid w:val="38D242A7"/>
    <w:rsid w:val="38D74CE7"/>
    <w:rsid w:val="38E64049"/>
    <w:rsid w:val="38F1284F"/>
    <w:rsid w:val="391F040B"/>
    <w:rsid w:val="39290E74"/>
    <w:rsid w:val="393A1C86"/>
    <w:rsid w:val="397A796C"/>
    <w:rsid w:val="39803956"/>
    <w:rsid w:val="3991089E"/>
    <w:rsid w:val="39C339B3"/>
    <w:rsid w:val="39C773E4"/>
    <w:rsid w:val="39DC4BBB"/>
    <w:rsid w:val="39E0124E"/>
    <w:rsid w:val="39E5774D"/>
    <w:rsid w:val="39EB31B7"/>
    <w:rsid w:val="39FC4E74"/>
    <w:rsid w:val="3A0D2383"/>
    <w:rsid w:val="3A151D3C"/>
    <w:rsid w:val="3A153A72"/>
    <w:rsid w:val="3A47434A"/>
    <w:rsid w:val="3A4A0E5C"/>
    <w:rsid w:val="3A4B248D"/>
    <w:rsid w:val="3A820EE9"/>
    <w:rsid w:val="3A876915"/>
    <w:rsid w:val="3A996F82"/>
    <w:rsid w:val="3AA22474"/>
    <w:rsid w:val="3AB80573"/>
    <w:rsid w:val="3AB87F24"/>
    <w:rsid w:val="3ABA52B3"/>
    <w:rsid w:val="3ABC542F"/>
    <w:rsid w:val="3ACC45E5"/>
    <w:rsid w:val="3AD03C18"/>
    <w:rsid w:val="3AD675B4"/>
    <w:rsid w:val="3AD82A3F"/>
    <w:rsid w:val="3B1021EF"/>
    <w:rsid w:val="3B134AAF"/>
    <w:rsid w:val="3B19159D"/>
    <w:rsid w:val="3B271BC9"/>
    <w:rsid w:val="3B275AC9"/>
    <w:rsid w:val="3B561A72"/>
    <w:rsid w:val="3B6531CE"/>
    <w:rsid w:val="3B790960"/>
    <w:rsid w:val="3BCD086F"/>
    <w:rsid w:val="3C094059"/>
    <w:rsid w:val="3C177780"/>
    <w:rsid w:val="3C1B7116"/>
    <w:rsid w:val="3C1F63ED"/>
    <w:rsid w:val="3C440FAA"/>
    <w:rsid w:val="3C461923"/>
    <w:rsid w:val="3C4D7D22"/>
    <w:rsid w:val="3C7B7EBB"/>
    <w:rsid w:val="3C801AF5"/>
    <w:rsid w:val="3C9953DB"/>
    <w:rsid w:val="3C9A62B9"/>
    <w:rsid w:val="3CAC0F14"/>
    <w:rsid w:val="3CCA479B"/>
    <w:rsid w:val="3CD96FA7"/>
    <w:rsid w:val="3D114522"/>
    <w:rsid w:val="3D380330"/>
    <w:rsid w:val="3D391C10"/>
    <w:rsid w:val="3D4574CB"/>
    <w:rsid w:val="3D4F496E"/>
    <w:rsid w:val="3D4F6AA6"/>
    <w:rsid w:val="3D5879BF"/>
    <w:rsid w:val="3D610691"/>
    <w:rsid w:val="3D6B35F4"/>
    <w:rsid w:val="3D73406C"/>
    <w:rsid w:val="3DB31481"/>
    <w:rsid w:val="3DC07D6D"/>
    <w:rsid w:val="3DF63162"/>
    <w:rsid w:val="3E0E2215"/>
    <w:rsid w:val="3E164325"/>
    <w:rsid w:val="3E3410B3"/>
    <w:rsid w:val="3E5C1110"/>
    <w:rsid w:val="3E5E3CF3"/>
    <w:rsid w:val="3E600FF4"/>
    <w:rsid w:val="3E62066C"/>
    <w:rsid w:val="3E7877E7"/>
    <w:rsid w:val="3E7C00B4"/>
    <w:rsid w:val="3E7C1A12"/>
    <w:rsid w:val="3E8510AA"/>
    <w:rsid w:val="3E8F3CEF"/>
    <w:rsid w:val="3E907726"/>
    <w:rsid w:val="3E970704"/>
    <w:rsid w:val="3E9F577B"/>
    <w:rsid w:val="3EA84EDF"/>
    <w:rsid w:val="3EB3058D"/>
    <w:rsid w:val="3EDA2761"/>
    <w:rsid w:val="3EE57C2D"/>
    <w:rsid w:val="3EEE579C"/>
    <w:rsid w:val="3F0971C6"/>
    <w:rsid w:val="3F2226C4"/>
    <w:rsid w:val="3F3F7EAA"/>
    <w:rsid w:val="3F464960"/>
    <w:rsid w:val="3F492985"/>
    <w:rsid w:val="3F4A1C1A"/>
    <w:rsid w:val="3F5A36E3"/>
    <w:rsid w:val="3F655121"/>
    <w:rsid w:val="3F6E015D"/>
    <w:rsid w:val="3F75071C"/>
    <w:rsid w:val="3F894680"/>
    <w:rsid w:val="3F8A1BAA"/>
    <w:rsid w:val="3FB84F50"/>
    <w:rsid w:val="3FCA344C"/>
    <w:rsid w:val="3FCB1A84"/>
    <w:rsid w:val="3FD36447"/>
    <w:rsid w:val="3FDE238B"/>
    <w:rsid w:val="3FE369E7"/>
    <w:rsid w:val="3FFE4B58"/>
    <w:rsid w:val="400340B7"/>
    <w:rsid w:val="400E3989"/>
    <w:rsid w:val="40210D12"/>
    <w:rsid w:val="403C303E"/>
    <w:rsid w:val="404B590C"/>
    <w:rsid w:val="405954DF"/>
    <w:rsid w:val="406041ED"/>
    <w:rsid w:val="4062178B"/>
    <w:rsid w:val="40A73FB0"/>
    <w:rsid w:val="40B44ED4"/>
    <w:rsid w:val="40D54E2C"/>
    <w:rsid w:val="40EA5004"/>
    <w:rsid w:val="40FA43C1"/>
    <w:rsid w:val="40FC1AD8"/>
    <w:rsid w:val="40FC3264"/>
    <w:rsid w:val="41035921"/>
    <w:rsid w:val="410A09CF"/>
    <w:rsid w:val="410B628C"/>
    <w:rsid w:val="411378CE"/>
    <w:rsid w:val="41234A5C"/>
    <w:rsid w:val="412721D9"/>
    <w:rsid w:val="416A71C8"/>
    <w:rsid w:val="417E1BC1"/>
    <w:rsid w:val="41857012"/>
    <w:rsid w:val="419453CF"/>
    <w:rsid w:val="41983585"/>
    <w:rsid w:val="41986351"/>
    <w:rsid w:val="41BB569B"/>
    <w:rsid w:val="41BF6943"/>
    <w:rsid w:val="41C66F89"/>
    <w:rsid w:val="41D56773"/>
    <w:rsid w:val="41E06866"/>
    <w:rsid w:val="41E47D3E"/>
    <w:rsid w:val="41E75A6D"/>
    <w:rsid w:val="41F30347"/>
    <w:rsid w:val="42093EF9"/>
    <w:rsid w:val="420F0ACF"/>
    <w:rsid w:val="422F198E"/>
    <w:rsid w:val="424E500B"/>
    <w:rsid w:val="42625E91"/>
    <w:rsid w:val="4269112B"/>
    <w:rsid w:val="427625B7"/>
    <w:rsid w:val="4282179A"/>
    <w:rsid w:val="42984A4B"/>
    <w:rsid w:val="42CE2224"/>
    <w:rsid w:val="42DC0F45"/>
    <w:rsid w:val="42E14644"/>
    <w:rsid w:val="42E236EA"/>
    <w:rsid w:val="42F83F32"/>
    <w:rsid w:val="431C742A"/>
    <w:rsid w:val="43244EAD"/>
    <w:rsid w:val="433B1B6F"/>
    <w:rsid w:val="433C488E"/>
    <w:rsid w:val="433E2787"/>
    <w:rsid w:val="43477528"/>
    <w:rsid w:val="435329A3"/>
    <w:rsid w:val="437D5DAA"/>
    <w:rsid w:val="4382381E"/>
    <w:rsid w:val="4386079B"/>
    <w:rsid w:val="4390510F"/>
    <w:rsid w:val="439D4DAC"/>
    <w:rsid w:val="439F4AAB"/>
    <w:rsid w:val="43A17034"/>
    <w:rsid w:val="43BF178F"/>
    <w:rsid w:val="43D11540"/>
    <w:rsid w:val="43DA693B"/>
    <w:rsid w:val="43E4140D"/>
    <w:rsid w:val="43E7209E"/>
    <w:rsid w:val="43F77763"/>
    <w:rsid w:val="43F83D2D"/>
    <w:rsid w:val="43F90149"/>
    <w:rsid w:val="44065C07"/>
    <w:rsid w:val="44106CF7"/>
    <w:rsid w:val="44210E02"/>
    <w:rsid w:val="44263F5B"/>
    <w:rsid w:val="442B2F35"/>
    <w:rsid w:val="444529B0"/>
    <w:rsid w:val="444610C5"/>
    <w:rsid w:val="44624459"/>
    <w:rsid w:val="44937674"/>
    <w:rsid w:val="4499621E"/>
    <w:rsid w:val="449E2769"/>
    <w:rsid w:val="44D56E66"/>
    <w:rsid w:val="44D853FF"/>
    <w:rsid w:val="44E66D59"/>
    <w:rsid w:val="451E503F"/>
    <w:rsid w:val="45337A41"/>
    <w:rsid w:val="453D26ED"/>
    <w:rsid w:val="454358C2"/>
    <w:rsid w:val="45596941"/>
    <w:rsid w:val="4573725F"/>
    <w:rsid w:val="457433A3"/>
    <w:rsid w:val="4575218D"/>
    <w:rsid w:val="45786C93"/>
    <w:rsid w:val="45803345"/>
    <w:rsid w:val="458725DD"/>
    <w:rsid w:val="459B6D2C"/>
    <w:rsid w:val="45A57299"/>
    <w:rsid w:val="45F235AE"/>
    <w:rsid w:val="45F55AB3"/>
    <w:rsid w:val="45FC4C15"/>
    <w:rsid w:val="46216DD8"/>
    <w:rsid w:val="462B6809"/>
    <w:rsid w:val="46333AB5"/>
    <w:rsid w:val="46405B25"/>
    <w:rsid w:val="46822106"/>
    <w:rsid w:val="46AE5523"/>
    <w:rsid w:val="46BE66B6"/>
    <w:rsid w:val="46D62EAF"/>
    <w:rsid w:val="47282841"/>
    <w:rsid w:val="472B6457"/>
    <w:rsid w:val="472D0917"/>
    <w:rsid w:val="472F3D61"/>
    <w:rsid w:val="47527632"/>
    <w:rsid w:val="475533FF"/>
    <w:rsid w:val="47853CA8"/>
    <w:rsid w:val="47877CD1"/>
    <w:rsid w:val="47BE1EA6"/>
    <w:rsid w:val="47C84024"/>
    <w:rsid w:val="47CC1D0D"/>
    <w:rsid w:val="47D24EAD"/>
    <w:rsid w:val="47DA0072"/>
    <w:rsid w:val="47E3291E"/>
    <w:rsid w:val="47E904DA"/>
    <w:rsid w:val="47EC5E10"/>
    <w:rsid w:val="47F05B74"/>
    <w:rsid w:val="480669D4"/>
    <w:rsid w:val="480A162A"/>
    <w:rsid w:val="48182BED"/>
    <w:rsid w:val="481C01F3"/>
    <w:rsid w:val="4820599B"/>
    <w:rsid w:val="483D5204"/>
    <w:rsid w:val="484A349C"/>
    <w:rsid w:val="484B4C75"/>
    <w:rsid w:val="48665D01"/>
    <w:rsid w:val="486C12F8"/>
    <w:rsid w:val="48774F00"/>
    <w:rsid w:val="488838F9"/>
    <w:rsid w:val="489415FA"/>
    <w:rsid w:val="48A32E26"/>
    <w:rsid w:val="48A8615F"/>
    <w:rsid w:val="48AD38A4"/>
    <w:rsid w:val="48B55A21"/>
    <w:rsid w:val="48DE0926"/>
    <w:rsid w:val="4919698C"/>
    <w:rsid w:val="49252C15"/>
    <w:rsid w:val="492634DC"/>
    <w:rsid w:val="493C568F"/>
    <w:rsid w:val="4943689D"/>
    <w:rsid w:val="49595D21"/>
    <w:rsid w:val="49680874"/>
    <w:rsid w:val="49693F21"/>
    <w:rsid w:val="496F101E"/>
    <w:rsid w:val="497F377C"/>
    <w:rsid w:val="499F1E59"/>
    <w:rsid w:val="49CF0F76"/>
    <w:rsid w:val="49EC3470"/>
    <w:rsid w:val="4A0B6415"/>
    <w:rsid w:val="4A2F7A31"/>
    <w:rsid w:val="4A307EB1"/>
    <w:rsid w:val="4A364EE6"/>
    <w:rsid w:val="4A412EE5"/>
    <w:rsid w:val="4A4715EF"/>
    <w:rsid w:val="4A6732FC"/>
    <w:rsid w:val="4A7D5EDF"/>
    <w:rsid w:val="4A7E3EA4"/>
    <w:rsid w:val="4A7F0E63"/>
    <w:rsid w:val="4A990D55"/>
    <w:rsid w:val="4AA72675"/>
    <w:rsid w:val="4AAE3DE9"/>
    <w:rsid w:val="4AB47971"/>
    <w:rsid w:val="4AC3795A"/>
    <w:rsid w:val="4AC400C9"/>
    <w:rsid w:val="4ACA37FD"/>
    <w:rsid w:val="4AD05EE4"/>
    <w:rsid w:val="4AD3348B"/>
    <w:rsid w:val="4AE55521"/>
    <w:rsid w:val="4AF6412C"/>
    <w:rsid w:val="4B1C0F65"/>
    <w:rsid w:val="4B2764BD"/>
    <w:rsid w:val="4B2B6E14"/>
    <w:rsid w:val="4B5F3182"/>
    <w:rsid w:val="4B6C192A"/>
    <w:rsid w:val="4B6D31BB"/>
    <w:rsid w:val="4B7E3764"/>
    <w:rsid w:val="4B857A45"/>
    <w:rsid w:val="4B951BB2"/>
    <w:rsid w:val="4B990063"/>
    <w:rsid w:val="4BAC561B"/>
    <w:rsid w:val="4BB07716"/>
    <w:rsid w:val="4BBA3C84"/>
    <w:rsid w:val="4BEE7E98"/>
    <w:rsid w:val="4BF15066"/>
    <w:rsid w:val="4C0C0983"/>
    <w:rsid w:val="4C0D2F13"/>
    <w:rsid w:val="4C0F1F93"/>
    <w:rsid w:val="4C177BA1"/>
    <w:rsid w:val="4C323AE2"/>
    <w:rsid w:val="4C4579F1"/>
    <w:rsid w:val="4C4D6BEF"/>
    <w:rsid w:val="4C6F5355"/>
    <w:rsid w:val="4C7327B1"/>
    <w:rsid w:val="4C9A08BB"/>
    <w:rsid w:val="4CAF7C4E"/>
    <w:rsid w:val="4CCF7FF8"/>
    <w:rsid w:val="4CD208C5"/>
    <w:rsid w:val="4CD40D75"/>
    <w:rsid w:val="4CE23DFA"/>
    <w:rsid w:val="4CFA61E2"/>
    <w:rsid w:val="4CFE34CA"/>
    <w:rsid w:val="4D060FA9"/>
    <w:rsid w:val="4D220AD6"/>
    <w:rsid w:val="4D2B06B5"/>
    <w:rsid w:val="4D337ED1"/>
    <w:rsid w:val="4D3B0E57"/>
    <w:rsid w:val="4D6C53C2"/>
    <w:rsid w:val="4D9B58AE"/>
    <w:rsid w:val="4DA37B11"/>
    <w:rsid w:val="4DB95406"/>
    <w:rsid w:val="4DBE326C"/>
    <w:rsid w:val="4DC625D8"/>
    <w:rsid w:val="4DCD37BA"/>
    <w:rsid w:val="4DE12091"/>
    <w:rsid w:val="4DED05F0"/>
    <w:rsid w:val="4E0477D9"/>
    <w:rsid w:val="4E175317"/>
    <w:rsid w:val="4E17736C"/>
    <w:rsid w:val="4E1B1FF4"/>
    <w:rsid w:val="4E4118D3"/>
    <w:rsid w:val="4E427CCF"/>
    <w:rsid w:val="4E483A72"/>
    <w:rsid w:val="4E5C7D85"/>
    <w:rsid w:val="4E7D4F0B"/>
    <w:rsid w:val="4E866D7C"/>
    <w:rsid w:val="4E9331E1"/>
    <w:rsid w:val="4E946927"/>
    <w:rsid w:val="4EAC1252"/>
    <w:rsid w:val="4EB848D8"/>
    <w:rsid w:val="4EC84862"/>
    <w:rsid w:val="4ECA06CA"/>
    <w:rsid w:val="4EE766C3"/>
    <w:rsid w:val="4EEC48E9"/>
    <w:rsid w:val="4EF40B89"/>
    <w:rsid w:val="4EFC75D5"/>
    <w:rsid w:val="4F0475BB"/>
    <w:rsid w:val="4F122AC4"/>
    <w:rsid w:val="4F445602"/>
    <w:rsid w:val="4F512B1B"/>
    <w:rsid w:val="4F5427F2"/>
    <w:rsid w:val="4F5D52E8"/>
    <w:rsid w:val="4F617853"/>
    <w:rsid w:val="4F6F19D7"/>
    <w:rsid w:val="4F815917"/>
    <w:rsid w:val="4F8302EC"/>
    <w:rsid w:val="4F8A369B"/>
    <w:rsid w:val="4F8C77F9"/>
    <w:rsid w:val="4F910AFC"/>
    <w:rsid w:val="4FAC01CA"/>
    <w:rsid w:val="4FAF531E"/>
    <w:rsid w:val="4FB37769"/>
    <w:rsid w:val="4FCC4FF2"/>
    <w:rsid w:val="4FEC1EED"/>
    <w:rsid w:val="4FF526A0"/>
    <w:rsid w:val="4FF65C0A"/>
    <w:rsid w:val="4FFB75AE"/>
    <w:rsid w:val="4FFD08D6"/>
    <w:rsid w:val="50051A55"/>
    <w:rsid w:val="502913D8"/>
    <w:rsid w:val="502E1695"/>
    <w:rsid w:val="50487AB0"/>
    <w:rsid w:val="50577CF3"/>
    <w:rsid w:val="505A3E27"/>
    <w:rsid w:val="506601D2"/>
    <w:rsid w:val="50666C7F"/>
    <w:rsid w:val="50681F00"/>
    <w:rsid w:val="506F101B"/>
    <w:rsid w:val="507F7B1D"/>
    <w:rsid w:val="508A3F36"/>
    <w:rsid w:val="50975357"/>
    <w:rsid w:val="509A3D43"/>
    <w:rsid w:val="509F0F0A"/>
    <w:rsid w:val="50C603F9"/>
    <w:rsid w:val="50D66963"/>
    <w:rsid w:val="50F27DA6"/>
    <w:rsid w:val="50FA4DE9"/>
    <w:rsid w:val="510C4E90"/>
    <w:rsid w:val="511856D5"/>
    <w:rsid w:val="51234079"/>
    <w:rsid w:val="51255349"/>
    <w:rsid w:val="51314EA2"/>
    <w:rsid w:val="513A655E"/>
    <w:rsid w:val="514116C3"/>
    <w:rsid w:val="51426D0E"/>
    <w:rsid w:val="51464020"/>
    <w:rsid w:val="51477D68"/>
    <w:rsid w:val="514A7A2C"/>
    <w:rsid w:val="515A0C06"/>
    <w:rsid w:val="516B5610"/>
    <w:rsid w:val="518E5139"/>
    <w:rsid w:val="519D1D0D"/>
    <w:rsid w:val="51A00050"/>
    <w:rsid w:val="51A42C17"/>
    <w:rsid w:val="51A772A3"/>
    <w:rsid w:val="51B411C4"/>
    <w:rsid w:val="51B625C0"/>
    <w:rsid w:val="51BB6E77"/>
    <w:rsid w:val="51C615D4"/>
    <w:rsid w:val="51F26A46"/>
    <w:rsid w:val="51FC3B16"/>
    <w:rsid w:val="52056DEC"/>
    <w:rsid w:val="521A4AB6"/>
    <w:rsid w:val="522308DB"/>
    <w:rsid w:val="52261E90"/>
    <w:rsid w:val="52262FE3"/>
    <w:rsid w:val="52272596"/>
    <w:rsid w:val="522C6903"/>
    <w:rsid w:val="52571D29"/>
    <w:rsid w:val="5257529A"/>
    <w:rsid w:val="525F0249"/>
    <w:rsid w:val="52663A54"/>
    <w:rsid w:val="52675A75"/>
    <w:rsid w:val="52792CA1"/>
    <w:rsid w:val="5283536B"/>
    <w:rsid w:val="528475D5"/>
    <w:rsid w:val="52933034"/>
    <w:rsid w:val="52D94CCC"/>
    <w:rsid w:val="52E5125D"/>
    <w:rsid w:val="5313232E"/>
    <w:rsid w:val="532D075E"/>
    <w:rsid w:val="534A7BC4"/>
    <w:rsid w:val="534E7F00"/>
    <w:rsid w:val="535257C1"/>
    <w:rsid w:val="538C56E5"/>
    <w:rsid w:val="538D0D3A"/>
    <w:rsid w:val="539729A4"/>
    <w:rsid w:val="53A1495C"/>
    <w:rsid w:val="53B31CC4"/>
    <w:rsid w:val="53D660D2"/>
    <w:rsid w:val="53E421E6"/>
    <w:rsid w:val="53E67E98"/>
    <w:rsid w:val="54026F12"/>
    <w:rsid w:val="540E3109"/>
    <w:rsid w:val="54155728"/>
    <w:rsid w:val="542C2C4A"/>
    <w:rsid w:val="54396FB2"/>
    <w:rsid w:val="5445098C"/>
    <w:rsid w:val="5449029B"/>
    <w:rsid w:val="545B110C"/>
    <w:rsid w:val="546B260B"/>
    <w:rsid w:val="547018B5"/>
    <w:rsid w:val="5477761C"/>
    <w:rsid w:val="548B5B95"/>
    <w:rsid w:val="549A4653"/>
    <w:rsid w:val="54A31759"/>
    <w:rsid w:val="54B30227"/>
    <w:rsid w:val="54B625BB"/>
    <w:rsid w:val="54B85ABD"/>
    <w:rsid w:val="54BC29AE"/>
    <w:rsid w:val="54C507BB"/>
    <w:rsid w:val="54C6735E"/>
    <w:rsid w:val="54CB0CB0"/>
    <w:rsid w:val="54E14899"/>
    <w:rsid w:val="553D455D"/>
    <w:rsid w:val="55441E6B"/>
    <w:rsid w:val="558359BE"/>
    <w:rsid w:val="558816B1"/>
    <w:rsid w:val="558A17C3"/>
    <w:rsid w:val="5598355A"/>
    <w:rsid w:val="559B0C70"/>
    <w:rsid w:val="55AD03B6"/>
    <w:rsid w:val="55CA0D4D"/>
    <w:rsid w:val="55D67C72"/>
    <w:rsid w:val="55E043C3"/>
    <w:rsid w:val="55F047DA"/>
    <w:rsid w:val="55F14746"/>
    <w:rsid w:val="55F45FE4"/>
    <w:rsid w:val="56002103"/>
    <w:rsid w:val="56045AE6"/>
    <w:rsid w:val="563328B9"/>
    <w:rsid w:val="56373867"/>
    <w:rsid w:val="564476C9"/>
    <w:rsid w:val="56673DE1"/>
    <w:rsid w:val="5677558C"/>
    <w:rsid w:val="567E0853"/>
    <w:rsid w:val="56907D99"/>
    <w:rsid w:val="56B55774"/>
    <w:rsid w:val="56B84B83"/>
    <w:rsid w:val="56BA2213"/>
    <w:rsid w:val="570023B9"/>
    <w:rsid w:val="571B7B29"/>
    <w:rsid w:val="57233025"/>
    <w:rsid w:val="573102AC"/>
    <w:rsid w:val="573460A2"/>
    <w:rsid w:val="57466613"/>
    <w:rsid w:val="574F5BC8"/>
    <w:rsid w:val="57637C57"/>
    <w:rsid w:val="57655A1E"/>
    <w:rsid w:val="57684874"/>
    <w:rsid w:val="57BC5D1F"/>
    <w:rsid w:val="57CE7ECE"/>
    <w:rsid w:val="57CF6387"/>
    <w:rsid w:val="57E82274"/>
    <w:rsid w:val="57F64534"/>
    <w:rsid w:val="58021558"/>
    <w:rsid w:val="5806606B"/>
    <w:rsid w:val="586E1E7C"/>
    <w:rsid w:val="5893323D"/>
    <w:rsid w:val="58B84468"/>
    <w:rsid w:val="58C24A26"/>
    <w:rsid w:val="58C9105E"/>
    <w:rsid w:val="58FB7A54"/>
    <w:rsid w:val="590343A3"/>
    <w:rsid w:val="595D115B"/>
    <w:rsid w:val="59711A1B"/>
    <w:rsid w:val="59917EE2"/>
    <w:rsid w:val="599958D5"/>
    <w:rsid w:val="599F2295"/>
    <w:rsid w:val="59B1778F"/>
    <w:rsid w:val="59CC114D"/>
    <w:rsid w:val="59DF32C9"/>
    <w:rsid w:val="59E11095"/>
    <w:rsid w:val="59FD7D59"/>
    <w:rsid w:val="5A0A7568"/>
    <w:rsid w:val="5A18797C"/>
    <w:rsid w:val="5A1B74B3"/>
    <w:rsid w:val="5A227BDE"/>
    <w:rsid w:val="5A294676"/>
    <w:rsid w:val="5A2A09E9"/>
    <w:rsid w:val="5A2F0E54"/>
    <w:rsid w:val="5A350680"/>
    <w:rsid w:val="5A386495"/>
    <w:rsid w:val="5A4D750F"/>
    <w:rsid w:val="5A5154D6"/>
    <w:rsid w:val="5A5B47AB"/>
    <w:rsid w:val="5A665DBA"/>
    <w:rsid w:val="5A731F62"/>
    <w:rsid w:val="5A7C19EF"/>
    <w:rsid w:val="5A7F2ADA"/>
    <w:rsid w:val="5A887F4D"/>
    <w:rsid w:val="5A8F10B4"/>
    <w:rsid w:val="5A9256A4"/>
    <w:rsid w:val="5ABA401E"/>
    <w:rsid w:val="5AC041F2"/>
    <w:rsid w:val="5AC91895"/>
    <w:rsid w:val="5ACB0C30"/>
    <w:rsid w:val="5ACE5EE2"/>
    <w:rsid w:val="5B1D5255"/>
    <w:rsid w:val="5B214281"/>
    <w:rsid w:val="5B24736C"/>
    <w:rsid w:val="5B287DC3"/>
    <w:rsid w:val="5B4110C0"/>
    <w:rsid w:val="5B475932"/>
    <w:rsid w:val="5B533153"/>
    <w:rsid w:val="5B744DDF"/>
    <w:rsid w:val="5B795EEB"/>
    <w:rsid w:val="5B955B74"/>
    <w:rsid w:val="5B9C5154"/>
    <w:rsid w:val="5BB04211"/>
    <w:rsid w:val="5BB82CDB"/>
    <w:rsid w:val="5BC546AB"/>
    <w:rsid w:val="5BC96904"/>
    <w:rsid w:val="5BD80301"/>
    <w:rsid w:val="5BE00887"/>
    <w:rsid w:val="5BEC0B81"/>
    <w:rsid w:val="5BF00BBE"/>
    <w:rsid w:val="5C0C32AE"/>
    <w:rsid w:val="5C1477EE"/>
    <w:rsid w:val="5C5F17C6"/>
    <w:rsid w:val="5C604630"/>
    <w:rsid w:val="5C8A2F64"/>
    <w:rsid w:val="5C932786"/>
    <w:rsid w:val="5C9E60B0"/>
    <w:rsid w:val="5CB352E0"/>
    <w:rsid w:val="5CBB1877"/>
    <w:rsid w:val="5CC50A4C"/>
    <w:rsid w:val="5CCD70F2"/>
    <w:rsid w:val="5CD770EA"/>
    <w:rsid w:val="5CE63F0A"/>
    <w:rsid w:val="5D0F48EA"/>
    <w:rsid w:val="5D2B3C1E"/>
    <w:rsid w:val="5D610167"/>
    <w:rsid w:val="5D6C09D2"/>
    <w:rsid w:val="5D6C3576"/>
    <w:rsid w:val="5D9434CF"/>
    <w:rsid w:val="5DA8141E"/>
    <w:rsid w:val="5DB77B84"/>
    <w:rsid w:val="5DC34E0A"/>
    <w:rsid w:val="5DD11829"/>
    <w:rsid w:val="5DD16DE6"/>
    <w:rsid w:val="5DDB2968"/>
    <w:rsid w:val="5DEA1ADA"/>
    <w:rsid w:val="5DF203FE"/>
    <w:rsid w:val="5DF459BE"/>
    <w:rsid w:val="5E1B76C4"/>
    <w:rsid w:val="5E286E37"/>
    <w:rsid w:val="5E34346A"/>
    <w:rsid w:val="5E3B0701"/>
    <w:rsid w:val="5E400255"/>
    <w:rsid w:val="5E483371"/>
    <w:rsid w:val="5E487F89"/>
    <w:rsid w:val="5E59354D"/>
    <w:rsid w:val="5E6772E5"/>
    <w:rsid w:val="5E6E24CB"/>
    <w:rsid w:val="5E7F4686"/>
    <w:rsid w:val="5E804614"/>
    <w:rsid w:val="5E8D0768"/>
    <w:rsid w:val="5EA123F8"/>
    <w:rsid w:val="5EAA58BD"/>
    <w:rsid w:val="5EB822B9"/>
    <w:rsid w:val="5ECC5F98"/>
    <w:rsid w:val="5EE23714"/>
    <w:rsid w:val="5EE23F54"/>
    <w:rsid w:val="5EFD335B"/>
    <w:rsid w:val="5F1A73FB"/>
    <w:rsid w:val="5F1C5E7A"/>
    <w:rsid w:val="5F335F6F"/>
    <w:rsid w:val="5F575B1B"/>
    <w:rsid w:val="5F5A0503"/>
    <w:rsid w:val="5F5E3E4E"/>
    <w:rsid w:val="5F5F7606"/>
    <w:rsid w:val="5F8215E5"/>
    <w:rsid w:val="5F834200"/>
    <w:rsid w:val="5F8B607F"/>
    <w:rsid w:val="5FD44EBD"/>
    <w:rsid w:val="5FE04C5A"/>
    <w:rsid w:val="5FF17B5B"/>
    <w:rsid w:val="5FF479AF"/>
    <w:rsid w:val="600A2FD4"/>
    <w:rsid w:val="601C6541"/>
    <w:rsid w:val="602A3016"/>
    <w:rsid w:val="602E1657"/>
    <w:rsid w:val="60384E17"/>
    <w:rsid w:val="603976DD"/>
    <w:rsid w:val="604D496D"/>
    <w:rsid w:val="60564CC2"/>
    <w:rsid w:val="60636D79"/>
    <w:rsid w:val="608E3E2E"/>
    <w:rsid w:val="60C165B5"/>
    <w:rsid w:val="60E4415D"/>
    <w:rsid w:val="61007AFA"/>
    <w:rsid w:val="610612B0"/>
    <w:rsid w:val="610D4E01"/>
    <w:rsid w:val="611D0AE5"/>
    <w:rsid w:val="61206880"/>
    <w:rsid w:val="612337FA"/>
    <w:rsid w:val="613B3066"/>
    <w:rsid w:val="614E1703"/>
    <w:rsid w:val="614E4F0E"/>
    <w:rsid w:val="61615D57"/>
    <w:rsid w:val="616A40F3"/>
    <w:rsid w:val="617E5D0C"/>
    <w:rsid w:val="618A357D"/>
    <w:rsid w:val="618E4476"/>
    <w:rsid w:val="61905CEC"/>
    <w:rsid w:val="61A26E97"/>
    <w:rsid w:val="61A319E8"/>
    <w:rsid w:val="61B449C2"/>
    <w:rsid w:val="61C27C50"/>
    <w:rsid w:val="61C436CB"/>
    <w:rsid w:val="61C47A3B"/>
    <w:rsid w:val="61C62026"/>
    <w:rsid w:val="61C90E61"/>
    <w:rsid w:val="61F76317"/>
    <w:rsid w:val="61FA2591"/>
    <w:rsid w:val="620D7235"/>
    <w:rsid w:val="62183E2A"/>
    <w:rsid w:val="62213575"/>
    <w:rsid w:val="62252F3D"/>
    <w:rsid w:val="623767B3"/>
    <w:rsid w:val="628D631C"/>
    <w:rsid w:val="62A5598B"/>
    <w:rsid w:val="62BF7DC8"/>
    <w:rsid w:val="62C00BD5"/>
    <w:rsid w:val="62D4059B"/>
    <w:rsid w:val="62DA4FC7"/>
    <w:rsid w:val="62F072A2"/>
    <w:rsid w:val="62F54B27"/>
    <w:rsid w:val="633D546F"/>
    <w:rsid w:val="63514267"/>
    <w:rsid w:val="635973C8"/>
    <w:rsid w:val="638D48E7"/>
    <w:rsid w:val="63A812F0"/>
    <w:rsid w:val="63AD685F"/>
    <w:rsid w:val="63C73A11"/>
    <w:rsid w:val="63CC3E27"/>
    <w:rsid w:val="63E612AA"/>
    <w:rsid w:val="63E97C63"/>
    <w:rsid w:val="64176091"/>
    <w:rsid w:val="64292606"/>
    <w:rsid w:val="643F7F51"/>
    <w:rsid w:val="644F7596"/>
    <w:rsid w:val="645D6B5E"/>
    <w:rsid w:val="64613AB8"/>
    <w:rsid w:val="64780DF5"/>
    <w:rsid w:val="648D7CFD"/>
    <w:rsid w:val="64A66BE2"/>
    <w:rsid w:val="64AB476F"/>
    <w:rsid w:val="64B45FA0"/>
    <w:rsid w:val="64CE6F8B"/>
    <w:rsid w:val="64D44FDF"/>
    <w:rsid w:val="64E36BC0"/>
    <w:rsid w:val="64E439DA"/>
    <w:rsid w:val="6508382B"/>
    <w:rsid w:val="651B24A1"/>
    <w:rsid w:val="654800B7"/>
    <w:rsid w:val="655C3FE7"/>
    <w:rsid w:val="65627398"/>
    <w:rsid w:val="65700CF4"/>
    <w:rsid w:val="65887012"/>
    <w:rsid w:val="658A437E"/>
    <w:rsid w:val="658E5C8E"/>
    <w:rsid w:val="658F516F"/>
    <w:rsid w:val="6591122F"/>
    <w:rsid w:val="65A05841"/>
    <w:rsid w:val="65C12E0B"/>
    <w:rsid w:val="65CE04D9"/>
    <w:rsid w:val="65CF7758"/>
    <w:rsid w:val="65D674BB"/>
    <w:rsid w:val="65D75A9A"/>
    <w:rsid w:val="65D92F2F"/>
    <w:rsid w:val="65E400DB"/>
    <w:rsid w:val="65E65903"/>
    <w:rsid w:val="65F242EE"/>
    <w:rsid w:val="65F26666"/>
    <w:rsid w:val="66107840"/>
    <w:rsid w:val="662D0C37"/>
    <w:rsid w:val="664A5721"/>
    <w:rsid w:val="667453B2"/>
    <w:rsid w:val="66796241"/>
    <w:rsid w:val="667D52C7"/>
    <w:rsid w:val="668626A5"/>
    <w:rsid w:val="66993705"/>
    <w:rsid w:val="66AA24F3"/>
    <w:rsid w:val="66B71BAC"/>
    <w:rsid w:val="66C14B4B"/>
    <w:rsid w:val="66C44339"/>
    <w:rsid w:val="66E225B5"/>
    <w:rsid w:val="670B07AD"/>
    <w:rsid w:val="6718729C"/>
    <w:rsid w:val="671F6AAB"/>
    <w:rsid w:val="67247D03"/>
    <w:rsid w:val="67482B61"/>
    <w:rsid w:val="674E4007"/>
    <w:rsid w:val="674E74A1"/>
    <w:rsid w:val="675458F9"/>
    <w:rsid w:val="675842CA"/>
    <w:rsid w:val="67642FCA"/>
    <w:rsid w:val="678F0B95"/>
    <w:rsid w:val="67964476"/>
    <w:rsid w:val="67A00BCF"/>
    <w:rsid w:val="67A15E35"/>
    <w:rsid w:val="67A62FC2"/>
    <w:rsid w:val="67BD0962"/>
    <w:rsid w:val="67BE7CD5"/>
    <w:rsid w:val="67C268A4"/>
    <w:rsid w:val="67CE78E3"/>
    <w:rsid w:val="67D90DF1"/>
    <w:rsid w:val="67DD00BC"/>
    <w:rsid w:val="67DE1C84"/>
    <w:rsid w:val="67E05FF5"/>
    <w:rsid w:val="67EA0F02"/>
    <w:rsid w:val="67F26C27"/>
    <w:rsid w:val="67F27E8B"/>
    <w:rsid w:val="67F44E70"/>
    <w:rsid w:val="67F73614"/>
    <w:rsid w:val="67F87190"/>
    <w:rsid w:val="68034428"/>
    <w:rsid w:val="6834396F"/>
    <w:rsid w:val="6837248C"/>
    <w:rsid w:val="68665527"/>
    <w:rsid w:val="686B04A7"/>
    <w:rsid w:val="687509B7"/>
    <w:rsid w:val="688301B8"/>
    <w:rsid w:val="688411F1"/>
    <w:rsid w:val="68940F71"/>
    <w:rsid w:val="68951593"/>
    <w:rsid w:val="68BE28D8"/>
    <w:rsid w:val="68C544FA"/>
    <w:rsid w:val="68D773E8"/>
    <w:rsid w:val="68D8607A"/>
    <w:rsid w:val="68E24297"/>
    <w:rsid w:val="68E6649B"/>
    <w:rsid w:val="68E87CD8"/>
    <w:rsid w:val="69042E11"/>
    <w:rsid w:val="6905447B"/>
    <w:rsid w:val="690B1F94"/>
    <w:rsid w:val="691C2A78"/>
    <w:rsid w:val="6923583E"/>
    <w:rsid w:val="693F3BC4"/>
    <w:rsid w:val="694C2204"/>
    <w:rsid w:val="69833D34"/>
    <w:rsid w:val="69843BEF"/>
    <w:rsid w:val="69A64F65"/>
    <w:rsid w:val="69BC01B0"/>
    <w:rsid w:val="69C506B3"/>
    <w:rsid w:val="69CF5881"/>
    <w:rsid w:val="69E24C79"/>
    <w:rsid w:val="6A2D5D7D"/>
    <w:rsid w:val="6A366774"/>
    <w:rsid w:val="6A410550"/>
    <w:rsid w:val="6A49743D"/>
    <w:rsid w:val="6A6E0B26"/>
    <w:rsid w:val="6A994CBA"/>
    <w:rsid w:val="6A9C2A74"/>
    <w:rsid w:val="6A9D672A"/>
    <w:rsid w:val="6AB94C69"/>
    <w:rsid w:val="6AC01D42"/>
    <w:rsid w:val="6AD131ED"/>
    <w:rsid w:val="6AD97CD4"/>
    <w:rsid w:val="6AEB4E54"/>
    <w:rsid w:val="6AF22714"/>
    <w:rsid w:val="6AF930A3"/>
    <w:rsid w:val="6B051FDD"/>
    <w:rsid w:val="6B061038"/>
    <w:rsid w:val="6B0C3DE1"/>
    <w:rsid w:val="6B106DD5"/>
    <w:rsid w:val="6B166711"/>
    <w:rsid w:val="6B1933C9"/>
    <w:rsid w:val="6B3A4641"/>
    <w:rsid w:val="6B4406CF"/>
    <w:rsid w:val="6B5731F8"/>
    <w:rsid w:val="6B5A6333"/>
    <w:rsid w:val="6B5B46E4"/>
    <w:rsid w:val="6B654AED"/>
    <w:rsid w:val="6B6D0A72"/>
    <w:rsid w:val="6B773B6E"/>
    <w:rsid w:val="6B7C4697"/>
    <w:rsid w:val="6B804324"/>
    <w:rsid w:val="6BA90573"/>
    <w:rsid w:val="6BB93A1D"/>
    <w:rsid w:val="6BBE4695"/>
    <w:rsid w:val="6BE75ABF"/>
    <w:rsid w:val="6BF51C52"/>
    <w:rsid w:val="6C1730DF"/>
    <w:rsid w:val="6C3327BB"/>
    <w:rsid w:val="6C5E3E42"/>
    <w:rsid w:val="6C6452B5"/>
    <w:rsid w:val="6C7772F7"/>
    <w:rsid w:val="6C81312C"/>
    <w:rsid w:val="6C8163CC"/>
    <w:rsid w:val="6CAF7FFA"/>
    <w:rsid w:val="6CC871DB"/>
    <w:rsid w:val="6CEA23F5"/>
    <w:rsid w:val="6CEE6BDA"/>
    <w:rsid w:val="6CFB633C"/>
    <w:rsid w:val="6D1571A4"/>
    <w:rsid w:val="6D164260"/>
    <w:rsid w:val="6D1A5804"/>
    <w:rsid w:val="6D367590"/>
    <w:rsid w:val="6D392803"/>
    <w:rsid w:val="6D4035B4"/>
    <w:rsid w:val="6D427EF1"/>
    <w:rsid w:val="6D885154"/>
    <w:rsid w:val="6D89155A"/>
    <w:rsid w:val="6D930515"/>
    <w:rsid w:val="6DB556D4"/>
    <w:rsid w:val="6DBF1A2F"/>
    <w:rsid w:val="6DDB31F2"/>
    <w:rsid w:val="6DF36C0C"/>
    <w:rsid w:val="6E1E2FA5"/>
    <w:rsid w:val="6E215EE7"/>
    <w:rsid w:val="6E31797E"/>
    <w:rsid w:val="6E3279CD"/>
    <w:rsid w:val="6E361CE3"/>
    <w:rsid w:val="6E3B25AB"/>
    <w:rsid w:val="6E3C24E7"/>
    <w:rsid w:val="6E4A696D"/>
    <w:rsid w:val="6E4C4DD0"/>
    <w:rsid w:val="6E642347"/>
    <w:rsid w:val="6E7A69E1"/>
    <w:rsid w:val="6E813B7B"/>
    <w:rsid w:val="6E82642B"/>
    <w:rsid w:val="6E9C05B6"/>
    <w:rsid w:val="6EB45FF3"/>
    <w:rsid w:val="6ED13AF6"/>
    <w:rsid w:val="6EEC676C"/>
    <w:rsid w:val="6EFD1DA2"/>
    <w:rsid w:val="6F1201CC"/>
    <w:rsid w:val="6F2D0261"/>
    <w:rsid w:val="6F457B85"/>
    <w:rsid w:val="6F50253A"/>
    <w:rsid w:val="6F5222A2"/>
    <w:rsid w:val="6F584826"/>
    <w:rsid w:val="6F6376B9"/>
    <w:rsid w:val="6F73710E"/>
    <w:rsid w:val="6F7B2203"/>
    <w:rsid w:val="6F84095F"/>
    <w:rsid w:val="6F8C30C8"/>
    <w:rsid w:val="6F915373"/>
    <w:rsid w:val="6F9C4882"/>
    <w:rsid w:val="6FA538EC"/>
    <w:rsid w:val="6FBB6C07"/>
    <w:rsid w:val="6FBF7C51"/>
    <w:rsid w:val="6FC85EFF"/>
    <w:rsid w:val="6FD433E3"/>
    <w:rsid w:val="6FDB414F"/>
    <w:rsid w:val="6FDF366F"/>
    <w:rsid w:val="6FF03211"/>
    <w:rsid w:val="6FFD0417"/>
    <w:rsid w:val="70003FAB"/>
    <w:rsid w:val="70266E65"/>
    <w:rsid w:val="70477D2B"/>
    <w:rsid w:val="704F3E3A"/>
    <w:rsid w:val="705B46C0"/>
    <w:rsid w:val="70623642"/>
    <w:rsid w:val="706527F7"/>
    <w:rsid w:val="70755E13"/>
    <w:rsid w:val="70826EF2"/>
    <w:rsid w:val="70AB4B4B"/>
    <w:rsid w:val="70AB4EA2"/>
    <w:rsid w:val="70B2732A"/>
    <w:rsid w:val="70B7745C"/>
    <w:rsid w:val="70C14E34"/>
    <w:rsid w:val="70D5010C"/>
    <w:rsid w:val="70E73DCA"/>
    <w:rsid w:val="70F216DC"/>
    <w:rsid w:val="710E403C"/>
    <w:rsid w:val="71263B88"/>
    <w:rsid w:val="712F302D"/>
    <w:rsid w:val="7142446A"/>
    <w:rsid w:val="714E1F3E"/>
    <w:rsid w:val="715C4E12"/>
    <w:rsid w:val="7160011D"/>
    <w:rsid w:val="71667A5C"/>
    <w:rsid w:val="71796BFA"/>
    <w:rsid w:val="718071F9"/>
    <w:rsid w:val="71920365"/>
    <w:rsid w:val="71AB0A67"/>
    <w:rsid w:val="71AD2CF1"/>
    <w:rsid w:val="71C41F3C"/>
    <w:rsid w:val="7201088C"/>
    <w:rsid w:val="7204535A"/>
    <w:rsid w:val="720E5BC9"/>
    <w:rsid w:val="721C15DD"/>
    <w:rsid w:val="72370723"/>
    <w:rsid w:val="723F4804"/>
    <w:rsid w:val="72451D1B"/>
    <w:rsid w:val="72480CB5"/>
    <w:rsid w:val="724A0CC8"/>
    <w:rsid w:val="72504BAE"/>
    <w:rsid w:val="725E742A"/>
    <w:rsid w:val="72623F22"/>
    <w:rsid w:val="727B7BFD"/>
    <w:rsid w:val="72A27AA3"/>
    <w:rsid w:val="72A557EC"/>
    <w:rsid w:val="72A723B0"/>
    <w:rsid w:val="72AA388A"/>
    <w:rsid w:val="72AB7304"/>
    <w:rsid w:val="72D21AFE"/>
    <w:rsid w:val="72D53D17"/>
    <w:rsid w:val="72D93B34"/>
    <w:rsid w:val="72DE18CF"/>
    <w:rsid w:val="72ED23BE"/>
    <w:rsid w:val="72F61B6D"/>
    <w:rsid w:val="73072886"/>
    <w:rsid w:val="731A254B"/>
    <w:rsid w:val="731D6F26"/>
    <w:rsid w:val="732F37F7"/>
    <w:rsid w:val="73491F58"/>
    <w:rsid w:val="734E4852"/>
    <w:rsid w:val="734F2D09"/>
    <w:rsid w:val="73544A37"/>
    <w:rsid w:val="73557E77"/>
    <w:rsid w:val="735F54F2"/>
    <w:rsid w:val="73632976"/>
    <w:rsid w:val="73674E00"/>
    <w:rsid w:val="736B09C7"/>
    <w:rsid w:val="738A3B10"/>
    <w:rsid w:val="73B62D7A"/>
    <w:rsid w:val="740A59B9"/>
    <w:rsid w:val="7416564C"/>
    <w:rsid w:val="741A2874"/>
    <w:rsid w:val="741B165A"/>
    <w:rsid w:val="74342433"/>
    <w:rsid w:val="743962F2"/>
    <w:rsid w:val="74777605"/>
    <w:rsid w:val="7478065E"/>
    <w:rsid w:val="74A1016D"/>
    <w:rsid w:val="74C32673"/>
    <w:rsid w:val="74D13C69"/>
    <w:rsid w:val="752F0901"/>
    <w:rsid w:val="7546736A"/>
    <w:rsid w:val="755F5C16"/>
    <w:rsid w:val="75662A04"/>
    <w:rsid w:val="756B7FC7"/>
    <w:rsid w:val="7576469F"/>
    <w:rsid w:val="75A1474A"/>
    <w:rsid w:val="75A44468"/>
    <w:rsid w:val="75C17A5F"/>
    <w:rsid w:val="75EA0C24"/>
    <w:rsid w:val="75FC0951"/>
    <w:rsid w:val="760F6A31"/>
    <w:rsid w:val="761950A1"/>
    <w:rsid w:val="762619C2"/>
    <w:rsid w:val="762622EB"/>
    <w:rsid w:val="76405D98"/>
    <w:rsid w:val="765C1F91"/>
    <w:rsid w:val="76684B22"/>
    <w:rsid w:val="76876C66"/>
    <w:rsid w:val="769A6A1E"/>
    <w:rsid w:val="76B329CD"/>
    <w:rsid w:val="76B5244B"/>
    <w:rsid w:val="76C5081A"/>
    <w:rsid w:val="76D53B92"/>
    <w:rsid w:val="76E52BC9"/>
    <w:rsid w:val="77011B17"/>
    <w:rsid w:val="770F2074"/>
    <w:rsid w:val="77142BDF"/>
    <w:rsid w:val="771C31DA"/>
    <w:rsid w:val="772B3B04"/>
    <w:rsid w:val="774D2B1B"/>
    <w:rsid w:val="774F06C9"/>
    <w:rsid w:val="77535077"/>
    <w:rsid w:val="775700B2"/>
    <w:rsid w:val="7775376B"/>
    <w:rsid w:val="778C4154"/>
    <w:rsid w:val="77A11956"/>
    <w:rsid w:val="77B13BD1"/>
    <w:rsid w:val="77BC19B6"/>
    <w:rsid w:val="77CB2C66"/>
    <w:rsid w:val="77D741DA"/>
    <w:rsid w:val="77D75B69"/>
    <w:rsid w:val="77E62408"/>
    <w:rsid w:val="77E837A3"/>
    <w:rsid w:val="77F42760"/>
    <w:rsid w:val="780211E6"/>
    <w:rsid w:val="78031833"/>
    <w:rsid w:val="781A248D"/>
    <w:rsid w:val="78381D37"/>
    <w:rsid w:val="78507722"/>
    <w:rsid w:val="785802AF"/>
    <w:rsid w:val="7867467A"/>
    <w:rsid w:val="78760979"/>
    <w:rsid w:val="78985A95"/>
    <w:rsid w:val="78A047F4"/>
    <w:rsid w:val="78B4295E"/>
    <w:rsid w:val="78B707D1"/>
    <w:rsid w:val="78B87A05"/>
    <w:rsid w:val="78D2545D"/>
    <w:rsid w:val="78E76BF0"/>
    <w:rsid w:val="78F813FF"/>
    <w:rsid w:val="79052133"/>
    <w:rsid w:val="79340860"/>
    <w:rsid w:val="793C0B92"/>
    <w:rsid w:val="794331D7"/>
    <w:rsid w:val="794F75E0"/>
    <w:rsid w:val="79772A8B"/>
    <w:rsid w:val="797D0085"/>
    <w:rsid w:val="799C5A30"/>
    <w:rsid w:val="79A31F94"/>
    <w:rsid w:val="79CC3216"/>
    <w:rsid w:val="79FB66D7"/>
    <w:rsid w:val="7A0C6656"/>
    <w:rsid w:val="7A217EB9"/>
    <w:rsid w:val="7A2F3890"/>
    <w:rsid w:val="7A365AFE"/>
    <w:rsid w:val="7A3A3718"/>
    <w:rsid w:val="7A467EDD"/>
    <w:rsid w:val="7A5A1584"/>
    <w:rsid w:val="7A5A3AE2"/>
    <w:rsid w:val="7A5C7E81"/>
    <w:rsid w:val="7A5D532B"/>
    <w:rsid w:val="7A772FD6"/>
    <w:rsid w:val="7A8426DE"/>
    <w:rsid w:val="7A8B55EF"/>
    <w:rsid w:val="7A8D019C"/>
    <w:rsid w:val="7A9F1E3F"/>
    <w:rsid w:val="7AAF1353"/>
    <w:rsid w:val="7AB33A14"/>
    <w:rsid w:val="7AB678A9"/>
    <w:rsid w:val="7AC43F01"/>
    <w:rsid w:val="7AEB0EFA"/>
    <w:rsid w:val="7AF04D6F"/>
    <w:rsid w:val="7B126C1C"/>
    <w:rsid w:val="7B386627"/>
    <w:rsid w:val="7B41710F"/>
    <w:rsid w:val="7B516994"/>
    <w:rsid w:val="7B6E6EDC"/>
    <w:rsid w:val="7B767D10"/>
    <w:rsid w:val="7B8D55B1"/>
    <w:rsid w:val="7BA320CC"/>
    <w:rsid w:val="7BA53461"/>
    <w:rsid w:val="7BBD2792"/>
    <w:rsid w:val="7BCD445A"/>
    <w:rsid w:val="7BCF6577"/>
    <w:rsid w:val="7BF55663"/>
    <w:rsid w:val="7C0F31A1"/>
    <w:rsid w:val="7C11455F"/>
    <w:rsid w:val="7C173824"/>
    <w:rsid w:val="7C1D0CE0"/>
    <w:rsid w:val="7C2974D5"/>
    <w:rsid w:val="7C3B0770"/>
    <w:rsid w:val="7C462E05"/>
    <w:rsid w:val="7C59418D"/>
    <w:rsid w:val="7C665B3E"/>
    <w:rsid w:val="7C775464"/>
    <w:rsid w:val="7C82313A"/>
    <w:rsid w:val="7C826F6A"/>
    <w:rsid w:val="7CAA7D58"/>
    <w:rsid w:val="7CB105FF"/>
    <w:rsid w:val="7CB336EA"/>
    <w:rsid w:val="7CC5328B"/>
    <w:rsid w:val="7CF67B68"/>
    <w:rsid w:val="7D0733C2"/>
    <w:rsid w:val="7D082877"/>
    <w:rsid w:val="7D114C88"/>
    <w:rsid w:val="7D193730"/>
    <w:rsid w:val="7D2A6810"/>
    <w:rsid w:val="7D2D66D8"/>
    <w:rsid w:val="7D3F0D1C"/>
    <w:rsid w:val="7D46539A"/>
    <w:rsid w:val="7D4B71C3"/>
    <w:rsid w:val="7D571131"/>
    <w:rsid w:val="7D5D3B69"/>
    <w:rsid w:val="7D772717"/>
    <w:rsid w:val="7DA83FA0"/>
    <w:rsid w:val="7DAC14B3"/>
    <w:rsid w:val="7DE36346"/>
    <w:rsid w:val="7E05049A"/>
    <w:rsid w:val="7E1C1A69"/>
    <w:rsid w:val="7E4A0738"/>
    <w:rsid w:val="7E702809"/>
    <w:rsid w:val="7E7F16B4"/>
    <w:rsid w:val="7E8D6206"/>
    <w:rsid w:val="7EA167DF"/>
    <w:rsid w:val="7EB63BEC"/>
    <w:rsid w:val="7EC77CB5"/>
    <w:rsid w:val="7ECF6DC0"/>
    <w:rsid w:val="7ED06D9C"/>
    <w:rsid w:val="7EE62C95"/>
    <w:rsid w:val="7F063652"/>
    <w:rsid w:val="7F0B2054"/>
    <w:rsid w:val="7F1C5DC4"/>
    <w:rsid w:val="7F546879"/>
    <w:rsid w:val="7F5F7680"/>
    <w:rsid w:val="7F6A6BC5"/>
    <w:rsid w:val="7F7E5C14"/>
    <w:rsid w:val="7F840225"/>
    <w:rsid w:val="7F8C19CB"/>
    <w:rsid w:val="7FBC36C8"/>
    <w:rsid w:val="7FC32562"/>
    <w:rsid w:val="7FD3648F"/>
    <w:rsid w:val="7FFF599F"/>
    <w:rsid w:val="A2B9E46C"/>
    <w:rsid w:val="B9F52B66"/>
    <w:rsid w:val="BDAFF97F"/>
    <w:rsid w:val="BFBD3BEE"/>
    <w:rsid w:val="F3E1CE97"/>
    <w:rsid w:val="FBFCD66A"/>
    <w:rsid w:val="FF1D2284"/>
    <w:rsid w:val="FFFB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jc w:val="both"/>
      <w:textAlignment w:val="baseline"/>
    </w:pPr>
    <w:rPr>
      <w:rFonts w:ascii="Calibri" w:hAnsi="Calibri" w:eastAsia="宋体"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jc w:val="center"/>
      <w:outlineLvl w:val="0"/>
    </w:pPr>
    <w:rPr>
      <w:rFonts w:ascii="Times New Roman" w:hAnsi="Times New Roman" w:eastAsia="方正小标宋_GBK"/>
      <w:b/>
      <w:kern w:val="44"/>
      <w:sz w:val="44"/>
    </w:rPr>
  </w:style>
  <w:style w:type="paragraph" w:styleId="4">
    <w:name w:val="heading 2"/>
    <w:basedOn w:val="1"/>
    <w:next w:val="5"/>
    <w:qFormat/>
    <w:uiPriority w:val="0"/>
    <w:pPr>
      <w:keepNext/>
      <w:keepLines/>
      <w:spacing w:before="260" w:beforeLines="0" w:after="260" w:afterLines="0" w:line="413" w:lineRule="auto"/>
      <w:outlineLvl w:val="1"/>
    </w:pPr>
    <w:rPr>
      <w:rFonts w:ascii="Arial" w:hAnsi="Arial" w:eastAsia="黑体"/>
      <w:b/>
      <w:kern w:val="0"/>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0"/>
    <w:rPr>
      <w:rFonts w:hint="eastAsia" w:ascii="宋体" w:hAnsi="Courier New"/>
      <w:sz w:val="24"/>
    </w:rPr>
  </w:style>
  <w:style w:type="paragraph" w:styleId="5">
    <w:name w:val="Normal Indent"/>
    <w:basedOn w:val="1"/>
    <w:qFormat/>
    <w:uiPriority w:val="0"/>
    <w:pPr>
      <w:ind w:firstLine="420"/>
    </w:pPr>
  </w:style>
  <w:style w:type="paragraph" w:styleId="6">
    <w:name w:val="footer"/>
    <w:basedOn w:val="1"/>
    <w:qFormat/>
    <w:uiPriority w:val="0"/>
    <w:pPr>
      <w:widowControl/>
      <w:tabs>
        <w:tab w:val="center" w:pos="4153"/>
        <w:tab w:val="right" w:pos="8306"/>
      </w:tabs>
      <w:snapToGrid w:val="0"/>
      <w:jc w:val="left"/>
      <w:textAlignment w:val="baseline"/>
    </w:pPr>
    <w:rPr>
      <w:rFonts w:ascii="Calibri" w:hAnsi="Calibri"/>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qFormat/>
    <w:uiPriority w:val="0"/>
    <w:rPr>
      <w:rFonts w:ascii="Calibri" w:hAnsi="Calibri"/>
      <w:szCs w:val="22"/>
    </w:rPr>
  </w:style>
  <w:style w:type="paragraph" w:styleId="9">
    <w:name w:val="toc 2"/>
    <w:basedOn w:val="1"/>
    <w:next w:val="1"/>
    <w:qFormat/>
    <w:uiPriority w:val="0"/>
    <w:pPr>
      <w:ind w:left="420" w:leftChars="200"/>
    </w:pPr>
    <w:rPr>
      <w:rFonts w:ascii="Calibri" w:hAnsi="Calibri"/>
      <w:szCs w:val="22"/>
    </w:rPr>
  </w:style>
  <w:style w:type="paragraph" w:styleId="10">
    <w:name w:val="Normal (Web)"/>
    <w:basedOn w:val="1"/>
    <w:qFormat/>
    <w:uiPriority w:val="0"/>
    <w:pPr>
      <w:widowControl/>
      <w:spacing w:before="100" w:beforeLines="0" w:after="100" w:afterLines="0"/>
      <w:jc w:val="left"/>
    </w:pPr>
    <w:rPr>
      <w:rFonts w:hint="eastAsia"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2"/>
    <w:basedOn w:val="1"/>
    <w:next w:val="1"/>
    <w:qFormat/>
    <w:uiPriority w:val="0"/>
    <w:pPr>
      <w:keepNext/>
      <w:keepLines/>
      <w:widowControl/>
      <w:spacing w:before="260" w:after="260" w:line="413" w:lineRule="auto"/>
      <w:jc w:val="both"/>
      <w:textAlignment w:val="baseline"/>
    </w:pPr>
    <w:rPr>
      <w:rFonts w:ascii="Arial" w:hAnsi="Arial" w:eastAsia="黑体" w:cs="Times New Roman"/>
      <w:b/>
      <w:bCs/>
      <w:kern w:val="2"/>
      <w:sz w:val="32"/>
      <w:szCs w:val="32"/>
      <w:lang w:val="en-US" w:eastAsia="zh-CN" w:bidi="ar-SA"/>
    </w:rPr>
  </w:style>
  <w:style w:type="character" w:customStyle="1" w:styleId="15">
    <w:name w:val="UserStyle_1"/>
    <w:link w:val="1"/>
    <w:qFormat/>
    <w:uiPriority w:val="0"/>
    <w:rPr>
      <w:rFonts w:ascii="Calibri" w:hAnsi="Calibri" w:eastAsia="宋体" w:cstheme="minorBidi"/>
      <w:kern w:val="2"/>
      <w:sz w:val="21"/>
      <w:szCs w:val="24"/>
      <w:lang w:val="en-US" w:eastAsia="zh-CN" w:bidi="ar-SA"/>
    </w:rPr>
  </w:style>
  <w:style w:type="character" w:customStyle="1" w:styleId="16">
    <w:name w:val="NormalCharacter"/>
    <w:link w:val="17"/>
    <w:qFormat/>
    <w:uiPriority w:val="0"/>
    <w:rPr>
      <w:kern w:val="0"/>
      <w:sz w:val="20"/>
    </w:rPr>
  </w:style>
  <w:style w:type="paragraph" w:customStyle="1" w:styleId="17">
    <w:name w:val="UserStyle_0"/>
    <w:basedOn w:val="18"/>
    <w:link w:val="16"/>
    <w:qFormat/>
    <w:uiPriority w:val="0"/>
    <w:pPr>
      <w:tabs>
        <w:tab w:val="decimal" w:pos="840"/>
      </w:tabs>
      <w:ind w:left="840" w:hanging="420"/>
    </w:pPr>
    <w:rPr>
      <w:kern w:val="0"/>
      <w:sz w:val="20"/>
    </w:rPr>
  </w:style>
  <w:style w:type="paragraph" w:customStyle="1" w:styleId="18">
    <w:name w:val="正文1"/>
    <w:next w:val="19"/>
    <w:qFormat/>
    <w:uiPriority w:val="0"/>
    <w:pPr>
      <w:widowControl w:val="0"/>
      <w:jc w:val="both"/>
    </w:pPr>
    <w:rPr>
      <w:rFonts w:ascii="Calibri" w:hAnsi="Calibri" w:eastAsia="宋体" w:cs="Times New Roman"/>
      <w:kern w:val="2"/>
      <w:sz w:val="21"/>
      <w:lang w:val="en-US" w:eastAsia="zh-CN" w:bidi="ar-SA"/>
    </w:rPr>
  </w:style>
  <w:style w:type="paragraph" w:customStyle="1" w:styleId="19">
    <w:name w:val="标题 21"/>
    <w:basedOn w:val="18"/>
    <w:next w:val="18"/>
    <w:qFormat/>
    <w:uiPriority w:val="0"/>
    <w:pPr>
      <w:keepNext/>
      <w:keepLines/>
      <w:spacing w:line="413" w:lineRule="auto"/>
      <w:outlineLvl w:val="1"/>
    </w:pPr>
    <w:rPr>
      <w:rFonts w:ascii="Arial" w:hAnsi="Arial" w:eastAsia="黑体"/>
      <w:b/>
      <w:sz w:val="32"/>
    </w:rPr>
  </w:style>
  <w:style w:type="paragraph" w:customStyle="1" w:styleId="20">
    <w:name w:val="UserStyle_20"/>
    <w:next w:val="1"/>
    <w:qFormat/>
    <w:uiPriority w:val="0"/>
    <w:pPr>
      <w:jc w:val="both"/>
      <w:textAlignment w:val="baseline"/>
    </w:pPr>
    <w:rPr>
      <w:rFonts w:ascii="Calibri" w:hAnsi="Calibri" w:eastAsia="宋体" w:cstheme="minorBidi"/>
      <w:kern w:val="2"/>
      <w:sz w:val="21"/>
      <w:lang w:val="en-US" w:eastAsia="zh-CN" w:bidi="ar-SA"/>
    </w:rPr>
  </w:style>
  <w:style w:type="paragraph" w:customStyle="1" w:styleId="21">
    <w:name w:val="UserStyle_11"/>
    <w:basedOn w:val="22"/>
    <w:qFormat/>
    <w:uiPriority w:val="0"/>
    <w:pPr>
      <w:ind w:left="420" w:leftChars="200"/>
      <w:jc w:val="both"/>
      <w:textAlignment w:val="baseline"/>
    </w:pPr>
    <w:rPr>
      <w:rFonts w:ascii="Calibri" w:hAnsi="Calibri" w:eastAsia="仿宋"/>
      <w:kern w:val="2"/>
      <w:sz w:val="16"/>
      <w:szCs w:val="16"/>
      <w:lang w:val="en-US" w:eastAsia="zh-CN" w:bidi="ar-SA"/>
    </w:rPr>
  </w:style>
  <w:style w:type="paragraph" w:customStyle="1" w:styleId="22">
    <w:name w:val="UserStyle_12"/>
    <w:next w:val="21"/>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23">
    <w:name w:val="链接"/>
    <w:qFormat/>
    <w:uiPriority w:val="0"/>
    <w:pPr>
      <w:widowControl w:val="0"/>
      <w:autoSpaceDE w:val="0"/>
      <w:autoSpaceDN w:val="0"/>
      <w:adjustRightInd w:val="0"/>
    </w:pPr>
    <w:rPr>
      <w:rFonts w:ascii="Calibri" w:hAnsi="Calibri" w:eastAsia="宋体" w:cs="Times New Roman"/>
      <w:color w:val="0000FF"/>
      <w:sz w:val="21"/>
      <w:szCs w:val="21"/>
      <w:u w:val="single"/>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22471</Words>
  <Characters>22815</Characters>
  <Lines>0</Lines>
  <Paragraphs>0</Paragraphs>
  <TotalTime>79</TotalTime>
  <ScaleCrop>false</ScaleCrop>
  <LinksUpToDate>false</LinksUpToDate>
  <CharactersWithSpaces>22952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2021-08-21T18:16:00Z</dcterms:created>
  <dc:creator>lenovo</dc:creator>
  <cp:lastModifiedBy>田田</cp:lastModifiedBy>
  <cp:lastPrinted>2022-09-06T03:22:00Z</cp:lastPrinted>
  <dcterms:modified xsi:type="dcterms:W3CDTF">2023-12-01T02:58:43Z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B2D421B18F634323B83E5B29DAD51740_13</vt:lpwstr>
  </property>
</Properties>
</file>