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景德镇市珠山区人民代表大会办公室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2019年部门预算编制说明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 w:firstLine="3300" w:firstLineChars="11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景德镇市珠山区人大概况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部门主要职责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景德镇市珠山区人大2019年部门预算情况说明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一、2019年珠山区人大部门预算收支情况说明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二、2019年珠山区人大“三公”经费预算情况说明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珠山区人大2019年部门预算表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收支预算表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部门收入总表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部门支出总表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财政拔款收支总表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一般公共预算“三公”经费支出表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政府性基金预算支出表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一、部门主要职责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1、负责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区</w:t>
      </w:r>
      <w:r>
        <w:rPr>
          <w:rFonts w:hint="eastAsia" w:ascii="仿宋" w:hAnsi="仿宋" w:eastAsia="仿宋" w:cs="仿宋"/>
          <w:sz w:val="30"/>
          <w:szCs w:val="30"/>
        </w:rPr>
        <w:t>人民代表大会会议、常委会议、主任会议及其它重要会议筹备、会务、有关文稿起草的有关事务。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2、组织草拟以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区</w:t>
      </w:r>
      <w:r>
        <w:rPr>
          <w:rFonts w:hint="eastAsia" w:ascii="仿宋" w:hAnsi="仿宋" w:eastAsia="仿宋" w:cs="仿宋"/>
          <w:sz w:val="30"/>
          <w:szCs w:val="30"/>
        </w:rPr>
        <w:t>人大常委会和常委会办公室名义制发的文件、常委会主要领导讲话稿。负责常委会和办公室印鉴的使用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管</w:t>
      </w:r>
      <w:r>
        <w:rPr>
          <w:rFonts w:hint="eastAsia" w:ascii="仿宋" w:hAnsi="仿宋" w:eastAsia="仿宋" w:cs="仿宋"/>
          <w:sz w:val="30"/>
          <w:szCs w:val="30"/>
        </w:rPr>
        <w:t>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3、负责协调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区</w:t>
      </w:r>
      <w:r>
        <w:rPr>
          <w:rFonts w:hint="eastAsia" w:ascii="仿宋" w:hAnsi="仿宋" w:eastAsia="仿宋" w:cs="仿宋"/>
          <w:sz w:val="30"/>
          <w:szCs w:val="30"/>
        </w:rPr>
        <w:t>人大各专门委员会、常委会工作部门进行的执法检查。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4、负责协调及督促“一府两院”对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区</w:t>
      </w:r>
      <w:r>
        <w:rPr>
          <w:rFonts w:hint="eastAsia" w:ascii="仿宋" w:hAnsi="仿宋" w:eastAsia="仿宋" w:cs="仿宋"/>
          <w:sz w:val="30"/>
          <w:szCs w:val="30"/>
        </w:rPr>
        <w:t>人大会议、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区</w:t>
      </w:r>
      <w:r>
        <w:rPr>
          <w:rFonts w:hint="eastAsia" w:ascii="仿宋" w:hAnsi="仿宋" w:eastAsia="仿宋" w:cs="仿宋"/>
          <w:sz w:val="30"/>
          <w:szCs w:val="30"/>
        </w:rPr>
        <w:t>人大常委会会议与主任会议作出的决定或有关重大事项的贯彻实施。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5、围绕常委会的工作重点，开展调查研究，为领导决策提供依据、当好参谋。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6、组织和协调开展人大宣传报道工作和人大理论研讨活动。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7、做好网络宣传工作。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8、围绕常委会总体工作安排，负责做好信息的收集、综合、传递反映工作。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9、负责接待处理人民群众来信来访。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10、主管常委会机关财务和财产、安全、卫生等行政事务。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11、负责市内外人大系统来往人员的接待工作。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12、负责机关离、退休人员的服务工作。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13、完成常委会交办的其他事项。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二、</w:t>
      </w:r>
      <w:r>
        <w:rPr>
          <w:rFonts w:hint="eastAsia" w:ascii="仿宋" w:hAnsi="仿宋" w:eastAsia="仿宋" w:cs="仿宋"/>
          <w:sz w:val="30"/>
          <w:szCs w:val="30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本部门共有预算单位1个,即部门本级。编制数为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人,其中行政编制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</w:t>
      </w:r>
      <w:r>
        <w:rPr>
          <w:rFonts w:hint="eastAsia" w:ascii="仿宋" w:hAnsi="仿宋" w:eastAsia="仿宋" w:cs="仿宋"/>
          <w:sz w:val="30"/>
          <w:szCs w:val="30"/>
        </w:rPr>
        <w:t>全额补助事业编制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</w:t>
      </w:r>
      <w:r>
        <w:rPr>
          <w:rFonts w:hint="eastAsia" w:ascii="仿宋" w:hAnsi="仿宋" w:eastAsia="仿宋" w:cs="仿宋"/>
          <w:sz w:val="30"/>
          <w:szCs w:val="30"/>
        </w:rPr>
        <w:t>实有人数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sz w:val="30"/>
          <w:szCs w:val="30"/>
        </w:rPr>
        <w:t>人,其中在职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sz w:val="30"/>
          <w:szCs w:val="30"/>
        </w:rPr>
        <w:t>人,包括行政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人、全额补助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人。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二</w:t>
      </w:r>
      <w:r>
        <w:rPr>
          <w:rFonts w:hint="eastAsia" w:ascii="仿宋" w:hAnsi="仿宋" w:eastAsia="仿宋" w:cs="仿宋"/>
          <w:sz w:val="30"/>
          <w:szCs w:val="30"/>
        </w:rPr>
        <w:t>、2019年部门预算收支情况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（一）收入预算情况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2019年收入预算总额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459.3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,较上年增加4.2万元，主要原因是增资正常增加。</w:t>
      </w:r>
      <w:r>
        <w:rPr>
          <w:rFonts w:hint="eastAsia" w:ascii="仿宋" w:hAnsi="仿宋" w:eastAsia="仿宋" w:cs="仿宋"/>
          <w:sz w:val="30"/>
          <w:szCs w:val="30"/>
        </w:rPr>
        <w:t>按照收入来源划分: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sz w:val="30"/>
          <w:szCs w:val="30"/>
        </w:rPr>
        <w:t>当年公共财政拨款收入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459.3</w:t>
      </w:r>
      <w:r>
        <w:rPr>
          <w:rFonts w:hint="eastAsia" w:ascii="仿宋" w:hAnsi="仿宋" w:eastAsia="仿宋" w:cs="仿宋"/>
          <w:sz w:val="30"/>
          <w:szCs w:val="30"/>
        </w:rPr>
        <w:t>万元,占收入预算总额的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</w:rPr>
        <w:t>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（二）支出预算情况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2019年支出预算总额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459.3</w:t>
      </w:r>
      <w:r>
        <w:rPr>
          <w:rFonts w:hint="eastAsia" w:ascii="仿宋" w:hAnsi="仿宋" w:eastAsia="仿宋" w:cs="仿宋"/>
          <w:sz w:val="30"/>
          <w:szCs w:val="30"/>
        </w:rPr>
        <w:t>万元,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较上年增加4.2万元，主要原因是增资正常增加。</w:t>
      </w:r>
      <w:r>
        <w:rPr>
          <w:rFonts w:hint="eastAsia" w:ascii="仿宋" w:hAnsi="仿宋" w:eastAsia="仿宋" w:cs="仿宋"/>
          <w:sz w:val="30"/>
          <w:szCs w:val="30"/>
        </w:rPr>
        <w:t>按支出项目类别划分: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基本支出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305.26</w:t>
      </w:r>
      <w:r>
        <w:rPr>
          <w:rFonts w:hint="eastAsia" w:ascii="仿宋" w:hAnsi="仿宋" w:eastAsia="仿宋" w:cs="仿宋"/>
          <w:sz w:val="30"/>
          <w:szCs w:val="30"/>
        </w:rPr>
        <w:t>万元,占支出预算总额的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66.46</w:t>
      </w:r>
      <w:r>
        <w:rPr>
          <w:rFonts w:hint="eastAsia" w:ascii="仿宋" w:hAnsi="仿宋" w:eastAsia="仿宋" w:cs="仿宋"/>
          <w:sz w:val="30"/>
          <w:szCs w:val="30"/>
        </w:rPr>
        <w:t>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其中:工资福利支出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252.2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商品和服务支出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33.16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对个人和家庭的补助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19.9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其他资本性支出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2、项目支出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万元,占支出预算总额的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（三）2019年公共财政拨款支出预算情况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596" w:leftChars="284"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2019年公共财政拨款支出预算为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459.3</w:t>
      </w:r>
      <w:r>
        <w:rPr>
          <w:rFonts w:hint="eastAsia" w:ascii="仿宋" w:hAnsi="仿宋" w:eastAsia="仿宋" w:cs="仿宋"/>
          <w:sz w:val="30"/>
          <w:szCs w:val="30"/>
        </w:rPr>
        <w:t>万元,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较上年增加 4.2万元，主要原因是增资及今年公务员增加了补充医疗费用。</w:t>
      </w:r>
      <w:r>
        <w:rPr>
          <w:rFonts w:hint="eastAsia" w:ascii="仿宋" w:hAnsi="仿宋" w:eastAsia="仿宋" w:cs="仿宋"/>
          <w:sz w:val="30"/>
          <w:szCs w:val="30"/>
        </w:rPr>
        <w:t>占支出预算总额的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</w:rPr>
        <w:t>%按支出功能科目分类: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一般公共服务支出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398.82</w:t>
      </w:r>
      <w:r>
        <w:rPr>
          <w:rFonts w:hint="eastAsia" w:ascii="仿宋" w:hAnsi="仿宋" w:eastAsia="仿宋" w:cs="仿宋"/>
          <w:sz w:val="30"/>
          <w:szCs w:val="30"/>
        </w:rPr>
        <w:t>万元,占公共财政拨款支出预算的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86.84</w:t>
      </w:r>
      <w:r>
        <w:rPr>
          <w:rFonts w:hint="eastAsia" w:ascii="仿宋" w:hAnsi="仿宋" w:eastAsia="仿宋" w:cs="仿宋"/>
          <w:sz w:val="30"/>
          <w:szCs w:val="30"/>
        </w:rPr>
        <w:t>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社会保障和就业支出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32.65</w:t>
      </w:r>
      <w:r>
        <w:rPr>
          <w:rFonts w:hint="eastAsia" w:ascii="仿宋" w:hAnsi="仿宋" w:eastAsia="仿宋" w:cs="仿宋"/>
          <w:sz w:val="30"/>
          <w:szCs w:val="30"/>
        </w:rPr>
        <w:t>万元,占公共财政拨款支出预算的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7.1</w:t>
      </w:r>
      <w:r>
        <w:rPr>
          <w:rFonts w:hint="eastAsia" w:ascii="仿宋" w:hAnsi="仿宋" w:eastAsia="仿宋" w:cs="仿宋"/>
          <w:sz w:val="30"/>
          <w:szCs w:val="30"/>
        </w:rPr>
        <w:t>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卫生健康支出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9.15</w:t>
      </w:r>
      <w:r>
        <w:rPr>
          <w:rFonts w:hint="eastAsia" w:ascii="仿宋" w:hAnsi="仿宋" w:eastAsia="仿宋" w:cs="仿宋"/>
          <w:sz w:val="30"/>
          <w:szCs w:val="30"/>
        </w:rPr>
        <w:t>万元,占公共财政拨款支出预算的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1.99</w:t>
      </w:r>
      <w:r>
        <w:rPr>
          <w:rFonts w:hint="eastAsia" w:ascii="仿宋" w:hAnsi="仿宋" w:eastAsia="仿宋" w:cs="仿宋"/>
          <w:sz w:val="30"/>
          <w:szCs w:val="30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住房保障支出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18.68</w:t>
      </w:r>
      <w:r>
        <w:rPr>
          <w:rFonts w:hint="eastAsia" w:ascii="仿宋" w:hAnsi="仿宋" w:eastAsia="仿宋" w:cs="仿宋"/>
          <w:sz w:val="30"/>
          <w:szCs w:val="30"/>
        </w:rPr>
        <w:t>万元,占公共财政拨款支出预算的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4.07</w:t>
      </w:r>
      <w:r>
        <w:rPr>
          <w:rFonts w:hint="eastAsia" w:ascii="仿宋" w:hAnsi="仿宋" w:eastAsia="仿宋" w:cs="仿宋"/>
          <w:sz w:val="30"/>
          <w:szCs w:val="30"/>
        </w:rPr>
        <w:t>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（四）政府采购预算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2019年政府采购预算为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24</w:t>
      </w:r>
      <w:r>
        <w:rPr>
          <w:rFonts w:hint="eastAsia" w:ascii="仿宋" w:hAnsi="仿宋" w:eastAsia="仿宋" w:cs="仿宋"/>
          <w:sz w:val="30"/>
          <w:szCs w:val="30"/>
        </w:rPr>
        <w:t>万元,其中:部门集中采购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24</w:t>
      </w:r>
      <w:r>
        <w:rPr>
          <w:rFonts w:hint="eastAsia" w:ascii="仿宋" w:hAnsi="仿宋" w:eastAsia="仿宋" w:cs="仿宋"/>
          <w:sz w:val="30"/>
          <w:szCs w:val="30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（五）“三公”经费支出预算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2019年安排三公经费支出预算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万元,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较上年减少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1万元，</w:t>
      </w:r>
      <w:r>
        <w:rPr>
          <w:rFonts w:hint="eastAsia" w:ascii="仿宋" w:hAnsi="仿宋" w:eastAsia="仿宋" w:cs="仿宋"/>
          <w:sz w:val="30"/>
          <w:szCs w:val="30"/>
        </w:rPr>
        <w:t>其中:因公出国(境)费用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万元、公务接待费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万元、公务用车购置及运行费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（六）政府基金收支情况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无政府基金收支。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（七）机关运行经费安排情况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2019年单位行政运行经费，办公费9.2万元，公务接待费4万元，其他交通费（车贴）19.96万元，其他对家庭和个人补助支出19.9万元，其他商品服务支出154.04万元。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（八）政府基金收支情况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无政府基金收支。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（九）名词解释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对部门预算中涉及的支出功能分类科目（明细到项级），结合部门实际，参照《</w:t>
      </w: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年政府收支分类科目》的规范说明进行解释。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行政运行（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2010101</w:t>
      </w:r>
      <w:r>
        <w:rPr>
          <w:rFonts w:hint="eastAsia" w:ascii="仿宋_GB2312" w:hAnsi="宋体" w:eastAsia="仿宋_GB2312" w:cs="仿宋_GB2312"/>
          <w:sz w:val="32"/>
          <w:szCs w:val="32"/>
        </w:rPr>
        <w:t>）：用于保障机构正常运行、开展日常工作的基本支出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_GB2312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0E122C64"/>
    <w:multiLevelType w:val="singleLevel"/>
    <w:tmpl w:val="0E122C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A0556"/>
    <w:rsid w:val="006F109C"/>
    <w:rsid w:val="062114FF"/>
    <w:rsid w:val="16C0154B"/>
    <w:rsid w:val="24BA0556"/>
    <w:rsid w:val="465767DF"/>
    <w:rsid w:val="4AAE7F37"/>
    <w:rsid w:val="4C23797D"/>
    <w:rsid w:val="4F7C3962"/>
    <w:rsid w:val="59D43EE5"/>
    <w:rsid w:val="67E80D1D"/>
    <w:rsid w:val="70FA382E"/>
    <w:rsid w:val="70FA61AE"/>
    <w:rsid w:val="70FF035F"/>
    <w:rsid w:val="71111009"/>
    <w:rsid w:val="71967403"/>
    <w:rsid w:val="76DC2F8F"/>
    <w:rsid w:val="775A0B60"/>
    <w:rsid w:val="784435D2"/>
    <w:rsid w:val="7A6C60CD"/>
    <w:rsid w:val="7E0C35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2019-02-26T01:49:00Z</dcterms:created>
  <dc:creator>西西</dc:creator>
  <cp:lastModifiedBy>Administrator</cp:lastModifiedBy>
  <dcterms:modified xsi:type="dcterms:W3CDTF">2019-04-18T03:22:35Z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