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jc w:val="center"/>
        <w:rPr>
          <w:rFonts w:ascii="仿宋_GB2312" w:hAnsi="仿宋" w:eastAsia="仿宋_GB2312" w:cs="仿宋_GB2312"/>
          <w:b/>
          <w:bCs/>
          <w:sz w:val="32"/>
          <w:szCs w:val="32"/>
        </w:rPr>
      </w:pPr>
      <w:r>
        <w:rPr>
          <w:rFonts w:hint="eastAsia" w:ascii="仿宋_GB2312" w:hAnsi="仿宋" w:eastAsia="仿宋_GB2312" w:cs="仿宋_GB2312"/>
          <w:b/>
          <w:bCs/>
          <w:sz w:val="32"/>
          <w:szCs w:val="32"/>
          <w:lang w:eastAsia="zh-CN"/>
        </w:rPr>
        <w:t>景德镇市珠山区人民法院</w:t>
      </w:r>
      <w:r>
        <w:rPr>
          <w:rFonts w:hint="eastAsia" w:ascii="仿宋_GB2312" w:hAnsi="仿宋" w:eastAsia="仿宋_GB2312" w:cs="仿宋_GB2312"/>
          <w:b/>
          <w:bCs/>
          <w:sz w:val="32"/>
          <w:szCs w:val="32"/>
        </w:rPr>
        <w:t>2019年部门预算</w:t>
      </w:r>
    </w:p>
    <w:p>
      <w:pPr>
        <w:spacing w:before="240"/>
        <w:jc w:val="center"/>
        <w:rPr>
          <w:rFonts w:ascii="仿宋_GB2312" w:hAnsi="仿宋" w:eastAsia="仿宋_GB2312" w:cs="Times New Roman"/>
          <w:b/>
          <w:bCs/>
          <w:sz w:val="32"/>
          <w:szCs w:val="32"/>
        </w:rPr>
      </w:pPr>
      <w:r>
        <w:rPr>
          <w:rFonts w:hint="eastAsia" w:ascii="仿宋_GB2312" w:hAnsi="仿宋" w:eastAsia="仿宋_GB2312" w:cs="仿宋_GB2312"/>
          <w:b/>
          <w:bCs/>
          <w:sz w:val="32"/>
          <w:szCs w:val="32"/>
        </w:rPr>
        <w:t>目</w:t>
      </w:r>
      <w:r>
        <w:rPr>
          <w:rFonts w:ascii="仿宋_GB2312" w:hAnsi="仿宋" w:eastAsia="仿宋_GB2312" w:cs="仿宋_GB2312"/>
          <w:b/>
          <w:bCs/>
          <w:sz w:val="32"/>
          <w:szCs w:val="32"/>
        </w:rPr>
        <w:t xml:space="preserve">   </w:t>
      </w:r>
      <w:r>
        <w:rPr>
          <w:rFonts w:hint="eastAsia" w:ascii="仿宋_GB2312" w:hAnsi="仿宋" w:eastAsia="仿宋_GB2312" w:cs="仿宋_GB2312"/>
          <w:b/>
          <w:bCs/>
          <w:sz w:val="32"/>
          <w:szCs w:val="32"/>
        </w:rPr>
        <w:t>录</w:t>
      </w:r>
    </w:p>
    <w:p>
      <w:pPr>
        <w:widowControl/>
        <w:spacing w:before="100" w:beforeAutospacing="1" w:after="100" w:afterAutospacing="1"/>
        <w:jc w:val="left"/>
        <w:rPr>
          <w:rFonts w:ascii="宋体" w:hAnsi="宋体"/>
          <w:b/>
          <w:sz w:val="28"/>
          <w:szCs w:val="28"/>
        </w:rPr>
      </w:pPr>
      <w:r>
        <w:rPr>
          <w:rFonts w:hint="eastAsia" w:ascii="宋体" w:hAnsi="宋体"/>
          <w:b/>
          <w:sz w:val="28"/>
          <w:szCs w:val="28"/>
        </w:rPr>
        <w:t xml:space="preserve">第一部分 </w:t>
      </w:r>
      <w:r>
        <w:rPr>
          <w:rFonts w:hint="eastAsia" w:ascii="宋体" w:hAnsi="宋体"/>
          <w:b/>
          <w:sz w:val="28"/>
          <w:szCs w:val="28"/>
          <w:lang w:eastAsia="zh-CN"/>
        </w:rPr>
        <w:t>景德镇市珠山区人民法院</w:t>
      </w:r>
      <w:r>
        <w:rPr>
          <w:rFonts w:hint="eastAsia" w:ascii="宋体" w:hAnsi="宋体"/>
          <w:b/>
          <w:sz w:val="28"/>
          <w:szCs w:val="28"/>
        </w:rPr>
        <w:t>概况</w:t>
      </w:r>
    </w:p>
    <w:p>
      <w:pPr>
        <w:widowControl/>
        <w:spacing w:before="100" w:beforeAutospacing="1" w:after="100" w:afterAutospacing="1"/>
        <w:ind w:firstLine="1280"/>
        <w:jc w:val="left"/>
        <w:rPr>
          <w:rFonts w:ascii="宋体" w:hAnsi="宋体" w:cs="宋体"/>
          <w:color w:val="4F4F4F"/>
          <w:kern w:val="0"/>
          <w:sz w:val="28"/>
          <w:szCs w:val="28"/>
        </w:rPr>
      </w:pPr>
      <w:r>
        <w:rPr>
          <w:rFonts w:hint="eastAsia" w:ascii="仿宋" w:hAnsi="仿宋" w:eastAsia="仿宋" w:cs="宋体"/>
          <w:color w:val="4F4F4F"/>
          <w:kern w:val="0"/>
          <w:sz w:val="28"/>
          <w:szCs w:val="28"/>
        </w:rPr>
        <w:t>一、部门主要职责</w:t>
      </w:r>
    </w:p>
    <w:p>
      <w:pPr>
        <w:widowControl/>
        <w:spacing w:before="100" w:beforeAutospacing="1" w:after="100" w:afterAutospacing="1"/>
        <w:ind w:firstLine="960"/>
        <w:jc w:val="left"/>
        <w:rPr>
          <w:rFonts w:ascii="仿宋" w:hAnsi="仿宋" w:eastAsia="仿宋" w:cs="宋体"/>
          <w:color w:val="4F4F4F"/>
          <w:kern w:val="0"/>
          <w:sz w:val="28"/>
          <w:szCs w:val="28"/>
        </w:rPr>
      </w:pPr>
      <w:r>
        <w:rPr>
          <w:rFonts w:hint="eastAsia" w:ascii="宋体" w:hAnsi="宋体" w:cs="宋体"/>
          <w:color w:val="4F4F4F"/>
          <w:kern w:val="0"/>
          <w:sz w:val="28"/>
          <w:szCs w:val="28"/>
        </w:rPr>
        <w:t> </w:t>
      </w:r>
      <w:r>
        <w:rPr>
          <w:rFonts w:hint="eastAsia" w:ascii="仿宋" w:hAnsi="仿宋" w:eastAsia="仿宋" w:cs="宋体"/>
          <w:color w:val="4F4F4F"/>
          <w:kern w:val="0"/>
          <w:sz w:val="28"/>
          <w:szCs w:val="28"/>
        </w:rPr>
        <w:t>二、部门基本情况</w:t>
      </w:r>
    </w:p>
    <w:p>
      <w:pPr>
        <w:widowControl/>
        <w:spacing w:before="100" w:beforeAutospacing="1" w:after="100" w:afterAutospacing="1"/>
        <w:jc w:val="left"/>
        <w:rPr>
          <w:rFonts w:ascii="宋体" w:hAnsi="宋体"/>
          <w:b/>
          <w:sz w:val="28"/>
          <w:szCs w:val="28"/>
        </w:rPr>
      </w:pPr>
      <w:r>
        <w:rPr>
          <w:rFonts w:hint="eastAsia" w:ascii="宋体" w:hAnsi="宋体"/>
          <w:b/>
          <w:sz w:val="28"/>
          <w:szCs w:val="28"/>
        </w:rPr>
        <w:t xml:space="preserve">第二部分 </w:t>
      </w:r>
      <w:r>
        <w:rPr>
          <w:rFonts w:hint="eastAsia" w:ascii="宋体" w:hAnsi="宋体"/>
          <w:b/>
          <w:sz w:val="28"/>
          <w:szCs w:val="28"/>
          <w:lang w:eastAsia="zh-CN"/>
        </w:rPr>
        <w:t>景德镇市珠山区人民法院</w:t>
      </w:r>
      <w:r>
        <w:rPr>
          <w:rFonts w:hint="eastAsia" w:ascii="宋体" w:hAnsi="宋体"/>
          <w:b/>
          <w:sz w:val="28"/>
          <w:szCs w:val="28"/>
        </w:rPr>
        <w:t>2019年部门预算情况说明</w:t>
      </w:r>
    </w:p>
    <w:p>
      <w:pPr>
        <w:widowControl/>
        <w:spacing w:before="100" w:beforeAutospacing="1" w:after="100" w:afterAutospacing="1"/>
        <w:ind w:firstLine="1280"/>
        <w:jc w:val="left"/>
        <w:rPr>
          <w:rFonts w:ascii="仿宋" w:hAnsi="仿宋" w:eastAsia="仿宋" w:cs="宋体"/>
          <w:color w:val="4F4F4F"/>
          <w:kern w:val="0"/>
          <w:sz w:val="28"/>
          <w:szCs w:val="28"/>
        </w:rPr>
      </w:pPr>
      <w:r>
        <w:rPr>
          <w:rFonts w:hint="eastAsia" w:ascii="仿宋" w:hAnsi="仿宋" w:eastAsia="仿宋" w:cs="宋体"/>
          <w:color w:val="4F4F4F"/>
          <w:kern w:val="0"/>
          <w:sz w:val="28"/>
          <w:szCs w:val="28"/>
        </w:rPr>
        <w:t>一、2019年部门预算收支情况说明</w:t>
      </w:r>
    </w:p>
    <w:p>
      <w:pPr>
        <w:widowControl/>
        <w:spacing w:before="100" w:beforeAutospacing="1" w:after="100" w:afterAutospacing="1"/>
        <w:ind w:firstLine="1280"/>
        <w:jc w:val="left"/>
        <w:rPr>
          <w:rFonts w:ascii="仿宋" w:hAnsi="仿宋" w:eastAsia="仿宋" w:cs="宋体"/>
          <w:color w:val="4F4F4F"/>
          <w:kern w:val="0"/>
          <w:sz w:val="28"/>
          <w:szCs w:val="28"/>
        </w:rPr>
      </w:pPr>
      <w:r>
        <w:rPr>
          <w:rFonts w:hint="eastAsia" w:ascii="仿宋" w:hAnsi="仿宋" w:eastAsia="仿宋" w:cs="宋体"/>
          <w:color w:val="4F4F4F"/>
          <w:kern w:val="0"/>
          <w:sz w:val="28"/>
          <w:szCs w:val="28"/>
        </w:rPr>
        <w:t>二、2019年“三公”经费预算情况说明</w:t>
      </w:r>
    </w:p>
    <w:p>
      <w:pPr>
        <w:widowControl/>
        <w:spacing w:before="100" w:beforeAutospacing="1" w:after="100" w:afterAutospacing="1"/>
        <w:jc w:val="left"/>
        <w:rPr>
          <w:rFonts w:ascii="宋体" w:hAnsi="宋体" w:cs="宋体"/>
          <w:color w:val="4F4F4F"/>
          <w:kern w:val="0"/>
          <w:sz w:val="28"/>
          <w:szCs w:val="28"/>
        </w:rPr>
      </w:pPr>
      <w:r>
        <w:rPr>
          <w:rFonts w:hint="eastAsia" w:ascii="宋体" w:hAnsi="宋体"/>
          <w:b/>
          <w:sz w:val="28"/>
          <w:szCs w:val="28"/>
        </w:rPr>
        <w:t xml:space="preserve">第三部分 </w:t>
      </w:r>
      <w:r>
        <w:rPr>
          <w:rFonts w:hint="eastAsia" w:ascii="宋体" w:hAnsi="宋体"/>
          <w:b/>
          <w:sz w:val="28"/>
          <w:szCs w:val="28"/>
          <w:lang w:eastAsia="zh-CN"/>
        </w:rPr>
        <w:t>景德镇市珠山区人民法院</w:t>
      </w:r>
      <w:r>
        <w:rPr>
          <w:rFonts w:hint="eastAsia" w:ascii="宋体" w:hAnsi="宋体"/>
          <w:b/>
          <w:sz w:val="28"/>
          <w:szCs w:val="28"/>
        </w:rPr>
        <w:t>2019年部门预算表</w:t>
      </w:r>
    </w:p>
    <w:p>
      <w:pPr>
        <w:widowControl/>
        <w:spacing w:before="100" w:beforeAutospacing="1" w:after="100" w:afterAutospacing="1"/>
        <w:ind w:firstLine="1280"/>
        <w:jc w:val="left"/>
        <w:rPr>
          <w:rFonts w:ascii="仿宋" w:hAnsi="仿宋" w:eastAsia="仿宋" w:cs="宋体"/>
          <w:color w:val="4F4F4F"/>
          <w:kern w:val="0"/>
          <w:sz w:val="28"/>
          <w:szCs w:val="28"/>
        </w:rPr>
      </w:pPr>
      <w:r>
        <w:rPr>
          <w:rFonts w:hint="eastAsia" w:ascii="仿宋" w:hAnsi="仿宋" w:eastAsia="仿宋" w:cs="宋体"/>
          <w:color w:val="4F4F4F"/>
          <w:kern w:val="0"/>
          <w:sz w:val="28"/>
          <w:szCs w:val="28"/>
        </w:rPr>
        <w:t>一、收支预算总表</w:t>
      </w:r>
    </w:p>
    <w:p>
      <w:pPr>
        <w:widowControl/>
        <w:spacing w:before="100" w:beforeAutospacing="1" w:after="100" w:afterAutospacing="1"/>
        <w:ind w:firstLine="1280"/>
        <w:jc w:val="left"/>
        <w:rPr>
          <w:rFonts w:ascii="仿宋" w:hAnsi="仿宋" w:eastAsia="仿宋" w:cs="宋体"/>
          <w:color w:val="4F4F4F"/>
          <w:kern w:val="0"/>
          <w:sz w:val="28"/>
          <w:szCs w:val="28"/>
        </w:rPr>
      </w:pPr>
      <w:r>
        <w:rPr>
          <w:rFonts w:hint="eastAsia" w:ascii="仿宋" w:hAnsi="仿宋" w:eastAsia="仿宋" w:cs="宋体"/>
          <w:color w:val="4F4F4F"/>
          <w:kern w:val="0"/>
          <w:sz w:val="28"/>
          <w:szCs w:val="28"/>
        </w:rPr>
        <w:t>二、部门收入总表</w:t>
      </w:r>
    </w:p>
    <w:p>
      <w:pPr>
        <w:widowControl/>
        <w:spacing w:before="100" w:beforeAutospacing="1" w:after="100" w:afterAutospacing="1"/>
        <w:ind w:firstLine="1280"/>
        <w:jc w:val="left"/>
        <w:rPr>
          <w:rFonts w:ascii="宋体" w:hAnsi="宋体" w:cs="宋体"/>
          <w:color w:val="4F4F4F"/>
          <w:kern w:val="0"/>
          <w:sz w:val="28"/>
          <w:szCs w:val="28"/>
        </w:rPr>
      </w:pPr>
      <w:r>
        <w:rPr>
          <w:rFonts w:hint="eastAsia" w:ascii="仿宋" w:hAnsi="仿宋" w:eastAsia="仿宋" w:cs="宋体"/>
          <w:color w:val="4F4F4F"/>
          <w:kern w:val="0"/>
          <w:sz w:val="28"/>
          <w:szCs w:val="28"/>
        </w:rPr>
        <w:t>三、部门支出总表</w:t>
      </w:r>
    </w:p>
    <w:p>
      <w:pPr>
        <w:widowControl/>
        <w:spacing w:before="100" w:beforeAutospacing="1" w:after="100" w:afterAutospacing="1"/>
        <w:ind w:firstLine="1280"/>
        <w:jc w:val="left"/>
        <w:rPr>
          <w:rFonts w:ascii="仿宋" w:hAnsi="仿宋" w:eastAsia="仿宋" w:cs="宋体"/>
          <w:color w:val="4F4F4F"/>
          <w:kern w:val="0"/>
          <w:sz w:val="28"/>
          <w:szCs w:val="28"/>
        </w:rPr>
      </w:pPr>
      <w:r>
        <w:rPr>
          <w:rFonts w:hint="eastAsia" w:ascii="仿宋" w:hAnsi="仿宋" w:eastAsia="仿宋" w:cs="宋体"/>
          <w:color w:val="4F4F4F"/>
          <w:kern w:val="0"/>
          <w:sz w:val="28"/>
          <w:szCs w:val="28"/>
        </w:rPr>
        <w:t>四、财政拨款收支总表</w:t>
      </w:r>
    </w:p>
    <w:p>
      <w:pPr>
        <w:widowControl/>
        <w:spacing w:before="100" w:beforeAutospacing="1" w:after="100" w:afterAutospacing="1"/>
        <w:ind w:firstLine="1280"/>
        <w:jc w:val="left"/>
        <w:rPr>
          <w:rFonts w:ascii="仿宋" w:hAnsi="仿宋" w:eastAsia="仿宋" w:cs="宋体"/>
          <w:color w:val="4F4F4F"/>
          <w:kern w:val="0"/>
          <w:sz w:val="28"/>
          <w:szCs w:val="28"/>
        </w:rPr>
      </w:pPr>
      <w:r>
        <w:rPr>
          <w:rFonts w:hint="eastAsia" w:ascii="仿宋" w:hAnsi="仿宋" w:eastAsia="仿宋" w:cs="宋体"/>
          <w:color w:val="4F4F4F"/>
          <w:kern w:val="0"/>
          <w:sz w:val="28"/>
          <w:szCs w:val="28"/>
        </w:rPr>
        <w:t>五、一般公共预算支出表</w:t>
      </w:r>
    </w:p>
    <w:p>
      <w:pPr>
        <w:widowControl/>
        <w:spacing w:before="100" w:beforeAutospacing="1" w:after="100" w:afterAutospacing="1"/>
        <w:ind w:firstLine="1280"/>
        <w:jc w:val="left"/>
        <w:rPr>
          <w:rFonts w:ascii="宋体" w:hAnsi="宋体" w:cs="宋体"/>
          <w:color w:val="4F4F4F"/>
          <w:kern w:val="0"/>
          <w:sz w:val="28"/>
          <w:szCs w:val="28"/>
        </w:rPr>
      </w:pPr>
      <w:r>
        <w:rPr>
          <w:rFonts w:hint="eastAsia" w:ascii="仿宋" w:hAnsi="仿宋" w:eastAsia="仿宋" w:cs="宋体"/>
          <w:color w:val="4F4F4F"/>
          <w:kern w:val="0"/>
          <w:sz w:val="28"/>
          <w:szCs w:val="28"/>
        </w:rPr>
        <w:t>六、一般公共预算基本支出表</w:t>
      </w:r>
    </w:p>
    <w:p>
      <w:pPr>
        <w:widowControl/>
        <w:spacing w:before="100" w:beforeAutospacing="1" w:after="100" w:afterAutospacing="1"/>
        <w:ind w:firstLine="640"/>
        <w:jc w:val="left"/>
        <w:rPr>
          <w:rFonts w:ascii="仿宋" w:hAnsi="仿宋" w:eastAsia="仿宋" w:cs="宋体"/>
          <w:color w:val="4F4F4F"/>
          <w:kern w:val="0"/>
          <w:sz w:val="28"/>
          <w:szCs w:val="28"/>
        </w:rPr>
      </w:pPr>
      <w:r>
        <w:rPr>
          <w:rFonts w:hint="eastAsia" w:ascii="仿宋" w:hAnsi="仿宋" w:eastAsia="仿宋" w:cs="宋体"/>
          <w:color w:val="4F4F4F"/>
          <w:kern w:val="0"/>
          <w:sz w:val="28"/>
          <w:szCs w:val="28"/>
        </w:rPr>
        <w:t>　　七、一般公共预算“三公”经费支出表</w:t>
      </w:r>
    </w:p>
    <w:p>
      <w:pPr>
        <w:widowControl/>
        <w:spacing w:before="100" w:beforeAutospacing="1" w:after="100" w:afterAutospacing="1"/>
        <w:ind w:firstLine="1260" w:firstLineChars="450"/>
        <w:jc w:val="left"/>
        <w:rPr>
          <w:rFonts w:ascii="仿宋" w:hAnsi="仿宋" w:eastAsia="仿宋" w:cs="宋体"/>
          <w:color w:val="4F4F4F"/>
          <w:kern w:val="0"/>
          <w:sz w:val="28"/>
          <w:szCs w:val="28"/>
        </w:rPr>
      </w:pPr>
      <w:r>
        <w:rPr>
          <w:rFonts w:hint="eastAsia" w:ascii="仿宋" w:hAnsi="仿宋" w:eastAsia="仿宋" w:cs="宋体"/>
          <w:color w:val="4F4F4F"/>
          <w:kern w:val="0"/>
          <w:sz w:val="28"/>
          <w:szCs w:val="28"/>
        </w:rPr>
        <w:t>八、政府性基金预算支出表</w:t>
      </w:r>
    </w:p>
    <w:p>
      <w:pPr>
        <w:widowControl/>
        <w:spacing w:before="100" w:beforeAutospacing="1" w:after="100" w:afterAutospacing="1"/>
        <w:jc w:val="left"/>
        <w:rPr>
          <w:rFonts w:hint="eastAsia" w:ascii="宋体" w:hAnsi="宋体"/>
          <w:b/>
          <w:sz w:val="28"/>
          <w:szCs w:val="28"/>
        </w:rPr>
      </w:pPr>
      <w:r>
        <w:rPr>
          <w:rFonts w:ascii="仿宋_GB2312" w:hAnsi="宋体" w:eastAsia="仿宋_GB2312" w:cs="仿宋_GB2312"/>
          <w:sz w:val="32"/>
          <w:szCs w:val="32"/>
        </w:rPr>
        <w:t xml:space="preserve"> </w:t>
      </w:r>
      <w:r>
        <w:rPr>
          <w:rFonts w:hint="eastAsia" w:ascii="宋体" w:hAnsi="宋体"/>
          <w:b/>
          <w:sz w:val="28"/>
          <w:szCs w:val="28"/>
        </w:rPr>
        <w:t>第四部分 名词解释</w:t>
      </w:r>
    </w:p>
    <w:p>
      <w:pPr>
        <w:widowControl/>
        <w:spacing w:before="100" w:beforeAutospacing="1" w:after="100" w:afterAutospacing="1"/>
        <w:jc w:val="left"/>
        <w:rPr>
          <w:rFonts w:hint="eastAsia" w:ascii="宋体" w:hAnsi="宋体"/>
          <w:b/>
          <w:sz w:val="28"/>
          <w:szCs w:val="28"/>
        </w:rPr>
      </w:pPr>
    </w:p>
    <w:p>
      <w:pPr>
        <w:widowControl/>
        <w:spacing w:before="100" w:beforeAutospacing="1" w:after="100" w:afterAutospacing="1"/>
        <w:jc w:val="left"/>
        <w:rPr>
          <w:rFonts w:hint="eastAsia" w:ascii="宋体" w:hAnsi="宋体"/>
          <w:b/>
          <w:sz w:val="28"/>
          <w:szCs w:val="28"/>
        </w:rPr>
      </w:pPr>
    </w:p>
    <w:p>
      <w:pPr>
        <w:widowControl/>
        <w:spacing w:before="100" w:beforeAutospacing="1" w:after="100" w:afterAutospacing="1"/>
        <w:jc w:val="left"/>
        <w:rPr>
          <w:rFonts w:hint="eastAsia" w:ascii="宋体" w:hAnsi="宋体"/>
          <w:b/>
          <w:sz w:val="28"/>
          <w:szCs w:val="28"/>
        </w:rPr>
      </w:pPr>
    </w:p>
    <w:p>
      <w:pPr>
        <w:widowControl/>
        <w:spacing w:before="100" w:beforeAutospacing="1" w:after="100" w:afterAutospacing="1"/>
        <w:jc w:val="left"/>
        <w:rPr>
          <w:rFonts w:hint="eastAsia" w:ascii="宋体" w:hAnsi="宋体"/>
          <w:b/>
          <w:sz w:val="28"/>
          <w:szCs w:val="28"/>
        </w:rPr>
      </w:pPr>
    </w:p>
    <w:p>
      <w:pPr>
        <w:widowControl/>
        <w:spacing w:before="100" w:beforeAutospacing="1" w:after="100" w:afterAutospacing="1"/>
        <w:jc w:val="left"/>
        <w:rPr>
          <w:rFonts w:hint="eastAsia" w:ascii="宋体" w:hAnsi="宋体"/>
          <w:b/>
          <w:sz w:val="28"/>
          <w:szCs w:val="28"/>
        </w:rPr>
      </w:pPr>
    </w:p>
    <w:p>
      <w:pPr>
        <w:widowControl/>
        <w:spacing w:before="100" w:beforeAutospacing="1" w:after="100" w:afterAutospacing="1"/>
        <w:jc w:val="left"/>
        <w:rPr>
          <w:rFonts w:hint="eastAsia" w:ascii="宋体" w:hAnsi="宋体"/>
          <w:b/>
          <w:sz w:val="28"/>
          <w:szCs w:val="28"/>
        </w:rPr>
      </w:pPr>
    </w:p>
    <w:p>
      <w:pPr>
        <w:widowControl/>
        <w:spacing w:before="100" w:beforeAutospacing="1" w:after="100" w:afterAutospacing="1"/>
        <w:jc w:val="left"/>
        <w:rPr>
          <w:rFonts w:hint="eastAsia" w:ascii="宋体" w:hAnsi="宋体"/>
          <w:b/>
          <w:sz w:val="28"/>
          <w:szCs w:val="28"/>
        </w:rPr>
      </w:pPr>
    </w:p>
    <w:p>
      <w:pPr>
        <w:widowControl/>
        <w:spacing w:before="100" w:beforeAutospacing="1" w:after="100" w:afterAutospacing="1"/>
        <w:jc w:val="left"/>
        <w:rPr>
          <w:rFonts w:hint="eastAsia" w:ascii="宋体" w:hAnsi="宋体"/>
          <w:b/>
          <w:sz w:val="28"/>
          <w:szCs w:val="28"/>
        </w:rPr>
      </w:pPr>
    </w:p>
    <w:p>
      <w:pPr>
        <w:widowControl/>
        <w:spacing w:before="100" w:beforeAutospacing="1" w:after="100" w:afterAutospacing="1"/>
        <w:jc w:val="left"/>
        <w:rPr>
          <w:rFonts w:hint="eastAsia" w:ascii="宋体" w:hAnsi="宋体"/>
          <w:b/>
          <w:sz w:val="28"/>
          <w:szCs w:val="28"/>
        </w:rPr>
      </w:pPr>
    </w:p>
    <w:p>
      <w:pPr>
        <w:widowControl/>
        <w:spacing w:before="100" w:beforeAutospacing="1" w:after="100" w:afterAutospacing="1"/>
        <w:jc w:val="left"/>
        <w:rPr>
          <w:rFonts w:hint="eastAsia" w:ascii="宋体" w:hAnsi="宋体"/>
          <w:b/>
          <w:sz w:val="28"/>
          <w:szCs w:val="28"/>
        </w:rPr>
      </w:pPr>
    </w:p>
    <w:p>
      <w:pPr>
        <w:widowControl/>
        <w:spacing w:before="100" w:beforeAutospacing="1" w:after="100" w:afterAutospacing="1"/>
        <w:jc w:val="left"/>
        <w:rPr>
          <w:rFonts w:hint="eastAsia" w:ascii="宋体" w:hAnsi="宋体"/>
          <w:b/>
          <w:sz w:val="28"/>
          <w:szCs w:val="28"/>
        </w:rPr>
      </w:pPr>
    </w:p>
    <w:p>
      <w:pPr>
        <w:rPr>
          <w:rFonts w:ascii="仿宋_GB2312" w:eastAsia="仿宋_GB2312" w:cs="Times New Roman"/>
          <w:b/>
          <w:bCs/>
          <w:sz w:val="32"/>
          <w:szCs w:val="32"/>
        </w:rPr>
      </w:pPr>
    </w:p>
    <w:p>
      <w:pPr>
        <w:rPr>
          <w:rFonts w:ascii="仿宋_GB2312" w:eastAsia="仿宋_GB2312" w:cs="Times New Roman"/>
          <w:b/>
          <w:bCs/>
          <w:sz w:val="32"/>
          <w:szCs w:val="32"/>
        </w:rPr>
      </w:pPr>
    </w:p>
    <w:p>
      <w:pPr>
        <w:numPr>
          <w:ilvl w:val="0"/>
          <w:numId w:val="1"/>
        </w:numPr>
        <w:ind w:firstLine="1920" w:firstLineChars="600"/>
        <w:rPr>
          <w:rFonts w:hint="eastAsia" w:ascii="宋体" w:hAnsi="宋体"/>
          <w:b/>
          <w:sz w:val="28"/>
          <w:szCs w:val="28"/>
        </w:rPr>
      </w:pPr>
      <w:r>
        <w:rPr>
          <w:rFonts w:ascii="黑体" w:hAnsi="宋体" w:eastAsia="黑体" w:cs="黑体"/>
          <w:sz w:val="32"/>
          <w:szCs w:val="32"/>
        </w:rPr>
        <w:t xml:space="preserve"> </w:t>
      </w:r>
      <w:r>
        <w:rPr>
          <w:rFonts w:hint="eastAsia" w:ascii="宋体" w:hAnsi="宋体" w:eastAsia="黑体"/>
          <w:b/>
          <w:sz w:val="28"/>
          <w:szCs w:val="28"/>
          <w:lang w:eastAsia="zh-CN"/>
        </w:rPr>
        <w:t>景德镇市珠山区人民法院</w:t>
      </w:r>
      <w:r>
        <w:rPr>
          <w:rFonts w:hint="eastAsia" w:ascii="宋体" w:hAnsi="宋体"/>
          <w:b/>
          <w:sz w:val="28"/>
          <w:szCs w:val="28"/>
        </w:rPr>
        <w:t>概况</w:t>
      </w:r>
    </w:p>
    <w:p>
      <w:pPr>
        <w:numPr>
          <w:ilvl w:val="0"/>
          <w:numId w:val="0"/>
        </w:numPr>
        <w:rPr>
          <w:rFonts w:hint="eastAsia" w:ascii="宋体" w:hAnsi="宋体"/>
          <w:b/>
          <w:sz w:val="28"/>
          <w:szCs w:val="28"/>
        </w:rPr>
      </w:pPr>
    </w:p>
    <w:p>
      <w:pPr>
        <w:spacing w:line="360" w:lineRule="auto"/>
        <w:ind w:firstLine="630"/>
        <w:jc w:val="left"/>
        <w:rPr>
          <w:rFonts w:ascii="宋体" w:hAnsi="宋体"/>
          <w:b/>
          <w:sz w:val="24"/>
        </w:rPr>
      </w:pPr>
      <w:r>
        <w:rPr>
          <w:rFonts w:hint="eastAsia" w:ascii="宋体" w:hAnsi="宋体"/>
          <w:b/>
          <w:sz w:val="24"/>
        </w:rPr>
        <w:t>一、部门主要职责</w:t>
      </w:r>
    </w:p>
    <w:p>
      <w:pPr>
        <w:spacing w:line="360" w:lineRule="auto"/>
        <w:ind w:firstLine="630"/>
        <w:jc w:val="left"/>
        <w:rPr>
          <w:rFonts w:ascii="宋体" w:hAnsi="宋体"/>
        </w:rPr>
      </w:pPr>
      <w:r>
        <w:rPr>
          <w:rFonts w:hint="eastAsia" w:ascii="宋体" w:hAnsi="宋体"/>
          <w:lang w:eastAsia="zh-CN"/>
        </w:rPr>
        <w:t>景德镇市珠山区人民法院</w:t>
      </w:r>
      <w:r>
        <w:rPr>
          <w:rFonts w:hint="eastAsia" w:ascii="宋体" w:hAnsi="宋体"/>
        </w:rPr>
        <w:t>是国家审判机关，担任审判职能。</w:t>
      </w:r>
    </w:p>
    <w:p>
      <w:pPr>
        <w:spacing w:line="360" w:lineRule="auto"/>
        <w:ind w:firstLine="630"/>
        <w:jc w:val="left"/>
        <w:rPr>
          <w:rFonts w:ascii="宋体" w:hAnsi="宋体"/>
          <w:b/>
          <w:sz w:val="24"/>
        </w:rPr>
      </w:pPr>
      <w:r>
        <w:rPr>
          <w:rFonts w:hint="eastAsia" w:ascii="宋体" w:hAnsi="宋体"/>
          <w:b/>
          <w:sz w:val="24"/>
        </w:rPr>
        <w:t>二、部门基本情况</w:t>
      </w:r>
    </w:p>
    <w:p>
      <w:pPr>
        <w:spacing w:line="360" w:lineRule="auto"/>
        <w:ind w:firstLine="630"/>
        <w:jc w:val="left"/>
        <w:rPr>
          <w:rFonts w:ascii="宋体" w:hAnsi="宋体"/>
        </w:rPr>
      </w:pPr>
      <w:r>
        <w:rPr>
          <w:rFonts w:hint="eastAsia" w:ascii="宋体" w:hAnsi="宋体"/>
        </w:rPr>
        <w:t xml:space="preserve">2019年度，纳入本部门决算汇编范围的独立核算单位共1个，即部门本级。 </w:t>
      </w:r>
    </w:p>
    <w:p>
      <w:pPr>
        <w:numPr>
          <w:ilvl w:val="0"/>
          <w:numId w:val="0"/>
        </w:numPr>
        <w:snapToGrid w:val="0"/>
        <w:spacing w:line="520" w:lineRule="exact"/>
        <w:ind w:firstLine="420" w:firstLineChars="200"/>
        <w:rPr>
          <w:rFonts w:hint="eastAsia" w:ascii="仿宋_GB2312" w:hAnsi="仿宋" w:eastAsia="仿宋_GB2312"/>
          <w:sz w:val="32"/>
          <w:szCs w:val="32"/>
        </w:rPr>
      </w:pPr>
      <w:r>
        <w:rPr>
          <w:rFonts w:hint="eastAsia" w:ascii="宋体" w:hAnsi="宋体"/>
        </w:rPr>
        <w:t>人员情况:</w:t>
      </w:r>
      <w:r>
        <w:rPr>
          <w:rFonts w:hint="eastAsia" w:ascii="宋体" w:hAnsi="宋体"/>
          <w:lang w:eastAsia="zh-CN"/>
        </w:rPr>
        <w:t>人员</w:t>
      </w:r>
      <w:r>
        <w:rPr>
          <w:rFonts w:hint="eastAsia" w:ascii="宋体" w:hAnsi="宋体"/>
        </w:rPr>
        <w:t>编制</w:t>
      </w:r>
      <w:r>
        <w:rPr>
          <w:rFonts w:hint="eastAsia" w:ascii="宋体" w:hAnsi="宋体"/>
          <w:lang w:eastAsia="zh-CN"/>
        </w:rPr>
        <w:t>总</w:t>
      </w:r>
      <w:r>
        <w:rPr>
          <w:rFonts w:hint="eastAsia" w:ascii="宋体" w:hAnsi="宋体"/>
        </w:rPr>
        <w:t>数</w:t>
      </w:r>
      <w:r>
        <w:rPr>
          <w:rFonts w:hint="eastAsia" w:ascii="宋体" w:hAnsi="宋体"/>
          <w:lang w:val="en-US" w:eastAsia="zh-CN"/>
        </w:rPr>
        <w:t>81</w:t>
      </w:r>
      <w:r>
        <w:rPr>
          <w:rFonts w:hint="eastAsia" w:ascii="宋体" w:hAnsi="宋体"/>
        </w:rPr>
        <w:t>人，其中行政编制7</w:t>
      </w:r>
      <w:r>
        <w:rPr>
          <w:rFonts w:hint="eastAsia" w:ascii="宋体" w:hAnsi="宋体"/>
          <w:lang w:val="en-US" w:eastAsia="zh-CN"/>
        </w:rPr>
        <w:t>4</w:t>
      </w:r>
      <w:r>
        <w:rPr>
          <w:rFonts w:hint="eastAsia" w:ascii="宋体" w:hAnsi="宋体"/>
        </w:rPr>
        <w:t>人、全部补助事业编制7人</w:t>
      </w:r>
      <w:r>
        <w:rPr>
          <w:rFonts w:hint="eastAsia" w:ascii="宋体" w:hAnsi="宋体"/>
          <w:lang w:eastAsia="zh-CN"/>
        </w:rPr>
        <w:t>；年末</w:t>
      </w:r>
      <w:r>
        <w:rPr>
          <w:rFonts w:hint="eastAsia" w:ascii="宋体" w:hAnsi="宋体"/>
        </w:rPr>
        <w:t>实有人数1</w:t>
      </w:r>
      <w:r>
        <w:rPr>
          <w:rFonts w:hint="eastAsia" w:ascii="宋体" w:hAnsi="宋体"/>
          <w:lang w:val="en-US" w:eastAsia="zh-CN"/>
        </w:rPr>
        <w:t>07</w:t>
      </w:r>
      <w:r>
        <w:rPr>
          <w:rFonts w:hint="eastAsia" w:ascii="宋体" w:hAnsi="宋体"/>
        </w:rPr>
        <w:t>人，其中在职</w:t>
      </w:r>
      <w:r>
        <w:rPr>
          <w:rFonts w:hint="eastAsia" w:ascii="宋体" w:hAnsi="宋体"/>
          <w:lang w:eastAsia="zh-CN"/>
        </w:rPr>
        <w:t>人员</w:t>
      </w:r>
      <w:r>
        <w:rPr>
          <w:rFonts w:hint="eastAsia" w:ascii="宋体" w:hAnsi="宋体"/>
          <w:lang w:val="en-US" w:eastAsia="zh-CN"/>
        </w:rPr>
        <w:t>7</w:t>
      </w:r>
      <w:r>
        <w:rPr>
          <w:rFonts w:hint="eastAsia" w:ascii="宋体" w:hAnsi="宋体"/>
        </w:rPr>
        <w:t>7人;退休</w:t>
      </w:r>
      <w:r>
        <w:rPr>
          <w:rFonts w:hint="eastAsia" w:ascii="宋体" w:hAnsi="宋体"/>
          <w:lang w:val="en-US" w:eastAsia="zh-CN"/>
        </w:rPr>
        <w:t>30</w:t>
      </w:r>
      <w:r>
        <w:rPr>
          <w:rFonts w:hint="eastAsia" w:ascii="宋体" w:hAnsi="宋体"/>
        </w:rPr>
        <w:t>人</w:t>
      </w:r>
      <w:r>
        <w:rPr>
          <w:rFonts w:hint="eastAsia" w:ascii="宋体" w:hAnsi="宋体"/>
          <w:lang w:eastAsia="zh-CN"/>
        </w:rPr>
        <w:t>，本年退休</w:t>
      </w:r>
      <w:r>
        <w:rPr>
          <w:rFonts w:hint="eastAsia" w:ascii="宋体" w:hAnsi="宋体"/>
          <w:lang w:val="en-US" w:eastAsia="zh-CN"/>
        </w:rPr>
        <w:t>6人</w:t>
      </w:r>
      <w:r>
        <w:rPr>
          <w:rFonts w:hint="eastAsia" w:ascii="宋体" w:hAnsi="宋体"/>
        </w:rPr>
        <w:t>。</w:t>
      </w:r>
    </w:p>
    <w:p>
      <w:pPr>
        <w:spacing w:line="360" w:lineRule="auto"/>
        <w:ind w:firstLine="630"/>
        <w:jc w:val="left"/>
        <w:rPr>
          <w:rFonts w:ascii="宋体" w:hAnsi="宋体"/>
        </w:rPr>
      </w:pPr>
    </w:p>
    <w:p>
      <w:pPr>
        <w:jc w:val="center"/>
        <w:rPr>
          <w:rFonts w:hint="eastAsia" w:ascii="宋体" w:hAnsi="宋体"/>
          <w:b/>
          <w:sz w:val="28"/>
          <w:szCs w:val="28"/>
          <w:lang w:eastAsia="zh-CN"/>
        </w:rPr>
      </w:pPr>
      <w:r>
        <w:rPr>
          <w:rFonts w:hint="eastAsia" w:ascii="黑体" w:hAnsi="宋体" w:eastAsia="黑体" w:cs="黑体"/>
          <w:sz w:val="32"/>
          <w:szCs w:val="32"/>
        </w:rPr>
        <w:t xml:space="preserve">第二部分 </w:t>
      </w:r>
      <w:r>
        <w:rPr>
          <w:rFonts w:hint="eastAsia" w:ascii="宋体" w:hAnsi="宋体"/>
          <w:b/>
          <w:sz w:val="28"/>
          <w:szCs w:val="28"/>
          <w:lang w:eastAsia="zh-CN"/>
        </w:rPr>
        <w:t>景德镇市珠山区人民法院2019年部门预算情况说明</w:t>
      </w:r>
    </w:p>
    <w:p>
      <w:pPr>
        <w:jc w:val="center"/>
        <w:rPr>
          <w:rFonts w:hint="eastAsia" w:ascii="宋体" w:hAnsi="宋体"/>
          <w:b/>
          <w:sz w:val="28"/>
          <w:szCs w:val="28"/>
          <w:lang w:eastAsia="zh-CN"/>
        </w:rPr>
      </w:pPr>
    </w:p>
    <w:p>
      <w:pPr>
        <w:ind w:firstLine="643" w:firstLineChars="200"/>
        <w:rPr>
          <w:rFonts w:ascii="仿宋_GB2312" w:eastAsia="仿宋_GB2312" w:cs="Times New Roman"/>
          <w:b/>
          <w:bCs/>
          <w:sz w:val="32"/>
          <w:szCs w:val="32"/>
        </w:rPr>
      </w:pPr>
      <w:r>
        <w:rPr>
          <w:rFonts w:hint="eastAsia" w:ascii="仿宋_GB2312" w:hAnsi="宋体" w:eastAsia="仿宋_GB2312" w:cs="仿宋_GB2312"/>
          <w:b/>
          <w:bCs/>
          <w:sz w:val="32"/>
          <w:szCs w:val="32"/>
        </w:rPr>
        <w:t>一、2019年部门预算收支情况说明</w:t>
      </w:r>
    </w:p>
    <w:p>
      <w:pPr>
        <w:ind w:firstLine="482" w:firstLineChars="150"/>
        <w:rPr>
          <w:rFonts w:ascii="仿宋_GB2312" w:eastAsia="仿宋_GB2312" w:cs="Times New Roman"/>
          <w:b/>
          <w:bCs/>
          <w:sz w:val="32"/>
          <w:szCs w:val="32"/>
        </w:rPr>
      </w:pPr>
      <w:r>
        <w:rPr>
          <w:rFonts w:hint="eastAsia" w:ascii="仿宋_GB2312" w:hAnsi="宋体" w:eastAsia="仿宋_GB2312" w:cs="仿宋_GB2312"/>
          <w:b/>
          <w:bCs/>
          <w:sz w:val="32"/>
          <w:szCs w:val="32"/>
        </w:rPr>
        <w:t>（一）预算收入情况</w:t>
      </w:r>
    </w:p>
    <w:p>
      <w:pPr>
        <w:spacing w:line="360" w:lineRule="auto"/>
        <w:ind w:firstLine="601"/>
        <w:rPr>
          <w:rFonts w:cs="Times New Roman" w:asciiTheme="minorEastAsia" w:hAnsiTheme="minorEastAsia" w:eastAsiaTheme="minorEastAsia"/>
        </w:rPr>
      </w:pPr>
      <w:r>
        <w:rPr>
          <w:rFonts w:cs="仿宋_GB2312" w:asciiTheme="minorEastAsia" w:hAnsiTheme="minorEastAsia" w:eastAsiaTheme="minorEastAsia"/>
        </w:rPr>
        <w:t>2019</w:t>
      </w:r>
      <w:r>
        <w:rPr>
          <w:rFonts w:hint="eastAsia" w:cs="仿宋_GB2312" w:asciiTheme="minorEastAsia" w:hAnsiTheme="minorEastAsia" w:eastAsiaTheme="minorEastAsia"/>
        </w:rPr>
        <w:t>年</w:t>
      </w:r>
      <w:r>
        <w:rPr>
          <w:rFonts w:hint="eastAsia" w:cs="仿宋_GB2312" w:asciiTheme="minorEastAsia" w:hAnsiTheme="minorEastAsia" w:eastAsiaTheme="minorEastAsia"/>
          <w:lang w:eastAsia="zh-CN"/>
        </w:rPr>
        <w:t>景德镇市珠山区人民法院</w:t>
      </w:r>
      <w:r>
        <w:rPr>
          <w:rFonts w:hint="eastAsia" w:cs="仿宋_GB2312" w:asciiTheme="minorEastAsia" w:hAnsiTheme="minorEastAsia" w:eastAsiaTheme="minorEastAsia"/>
        </w:rPr>
        <w:t>收入预算总额为1791.4万元，与上年预算相比</w:t>
      </w:r>
      <w:r>
        <w:rPr>
          <w:rFonts w:hint="eastAsia" w:cs="仿宋_GB2312" w:asciiTheme="minorEastAsia" w:hAnsiTheme="minorEastAsia" w:eastAsiaTheme="minorEastAsia"/>
          <w:lang w:eastAsia="zh-CN"/>
        </w:rPr>
        <w:t>下降</w:t>
      </w:r>
      <w:r>
        <w:rPr>
          <w:rFonts w:hint="eastAsia" w:cs="仿宋_GB2312" w:asciiTheme="minorEastAsia" w:hAnsiTheme="minorEastAsia" w:eastAsiaTheme="minorEastAsia"/>
          <w:lang w:val="en-US" w:eastAsia="zh-CN"/>
        </w:rPr>
        <w:t>5.38</w:t>
      </w:r>
      <w:r>
        <w:rPr>
          <w:rFonts w:hint="eastAsia" w:cs="仿宋_GB2312" w:asciiTheme="minorEastAsia" w:hAnsiTheme="minorEastAsia" w:eastAsiaTheme="minorEastAsia"/>
        </w:rPr>
        <w:t>%</w:t>
      </w:r>
      <w:r>
        <w:rPr>
          <w:rFonts w:hint="eastAsia" w:cs="仿宋_GB2312" w:asciiTheme="minorEastAsia" w:hAnsiTheme="minorEastAsia" w:eastAsiaTheme="minorEastAsia"/>
          <w:lang w:eastAsia="zh-CN"/>
        </w:rPr>
        <w:t>。</w:t>
      </w:r>
      <w:r>
        <w:rPr>
          <w:rFonts w:hint="eastAsia" w:cs="仿宋_GB2312" w:asciiTheme="minorEastAsia" w:hAnsiTheme="minorEastAsia" w:eastAsiaTheme="minorEastAsia"/>
        </w:rPr>
        <w:t>其中：当年公共财政拨款收入1491.4万元，占收入预算总额的</w:t>
      </w:r>
      <w:r>
        <w:rPr>
          <w:rFonts w:hint="eastAsia" w:cs="仿宋_GB2312" w:asciiTheme="minorEastAsia" w:hAnsiTheme="minorEastAsia" w:eastAsiaTheme="minorEastAsia"/>
          <w:lang w:val="en-US" w:eastAsia="zh-CN"/>
        </w:rPr>
        <w:t>83.25</w:t>
      </w:r>
      <w:r>
        <w:rPr>
          <w:rFonts w:cs="仿宋_GB2312" w:asciiTheme="minorEastAsia" w:hAnsiTheme="minorEastAsia" w:eastAsiaTheme="minorEastAsia"/>
        </w:rPr>
        <w:t>%</w:t>
      </w:r>
      <w:r>
        <w:rPr>
          <w:rFonts w:hint="eastAsia" w:cs="仿宋_GB2312" w:asciiTheme="minorEastAsia" w:hAnsiTheme="minorEastAsia" w:eastAsiaTheme="minorEastAsia"/>
        </w:rPr>
        <w:t>；</w:t>
      </w:r>
      <w:r>
        <w:rPr>
          <w:rFonts w:hint="eastAsia" w:cs="仿宋_GB2312" w:asciiTheme="minorEastAsia" w:hAnsiTheme="minorEastAsia" w:eastAsiaTheme="minorEastAsia"/>
          <w:lang w:eastAsia="zh-CN"/>
        </w:rPr>
        <w:t>非税收入</w:t>
      </w:r>
      <w:r>
        <w:rPr>
          <w:rFonts w:hint="eastAsia" w:cs="仿宋_GB2312" w:asciiTheme="minorEastAsia" w:hAnsiTheme="minorEastAsia" w:eastAsiaTheme="minorEastAsia"/>
          <w:lang w:val="en-US" w:eastAsia="zh-CN"/>
        </w:rPr>
        <w:t>300万元，</w:t>
      </w:r>
      <w:r>
        <w:rPr>
          <w:rFonts w:hint="eastAsia" w:cs="仿宋_GB2312" w:asciiTheme="minorEastAsia" w:hAnsiTheme="minorEastAsia" w:eastAsiaTheme="minorEastAsia"/>
        </w:rPr>
        <w:t>占收入预算总额的</w:t>
      </w:r>
      <w:r>
        <w:rPr>
          <w:rFonts w:hint="eastAsia" w:cs="仿宋_GB2312" w:asciiTheme="minorEastAsia" w:hAnsiTheme="minorEastAsia" w:eastAsiaTheme="minorEastAsia"/>
          <w:lang w:val="en-US" w:eastAsia="zh-CN"/>
        </w:rPr>
        <w:t>16.75%</w:t>
      </w:r>
      <w:r>
        <w:rPr>
          <w:rFonts w:hint="eastAsia" w:cs="仿宋_GB2312" w:asciiTheme="minorEastAsia" w:hAnsiTheme="minorEastAsia" w:eastAsiaTheme="minorEastAsia"/>
        </w:rPr>
        <w:t>。</w:t>
      </w:r>
    </w:p>
    <w:p>
      <w:pPr>
        <w:ind w:firstLine="482" w:firstLineChars="150"/>
        <w:rPr>
          <w:rFonts w:ascii="仿宋_GB2312" w:eastAsia="仿宋_GB2312" w:cs="Times New Roman"/>
          <w:b/>
          <w:bCs/>
          <w:sz w:val="32"/>
          <w:szCs w:val="32"/>
        </w:rPr>
      </w:pPr>
      <w:r>
        <w:rPr>
          <w:rFonts w:hint="eastAsia" w:ascii="仿宋_GB2312" w:hAnsi="宋体" w:eastAsia="仿宋_GB2312" w:cs="仿宋_GB2312"/>
          <w:b/>
          <w:bCs/>
          <w:sz w:val="32"/>
          <w:szCs w:val="32"/>
        </w:rPr>
        <w:t>（二）预算支出情况</w:t>
      </w:r>
    </w:p>
    <w:p>
      <w:pPr>
        <w:spacing w:line="360" w:lineRule="auto"/>
        <w:ind w:firstLine="420" w:firstLineChars="200"/>
        <w:rPr>
          <w:rFonts w:cs="仿宋_GB2312" w:asciiTheme="minorEastAsia" w:hAnsiTheme="minorEastAsia" w:eastAsiaTheme="minorEastAsia"/>
        </w:rPr>
      </w:pPr>
      <w:r>
        <w:rPr>
          <w:rFonts w:cs="仿宋_GB2312" w:asciiTheme="minorEastAsia" w:hAnsiTheme="minorEastAsia" w:eastAsiaTheme="minorEastAsia"/>
        </w:rPr>
        <w:t>2019</w:t>
      </w:r>
      <w:r>
        <w:rPr>
          <w:rFonts w:hint="eastAsia" w:cs="仿宋_GB2312" w:asciiTheme="minorEastAsia" w:hAnsiTheme="minorEastAsia" w:eastAsiaTheme="minorEastAsia"/>
        </w:rPr>
        <w:t>年</w:t>
      </w:r>
      <w:r>
        <w:rPr>
          <w:rFonts w:hint="eastAsia" w:cs="仿宋_GB2312" w:asciiTheme="minorEastAsia" w:hAnsiTheme="minorEastAsia" w:eastAsiaTheme="minorEastAsia"/>
          <w:lang w:eastAsia="zh-CN"/>
        </w:rPr>
        <w:t>景德镇市珠山区人民法院财政拨款支出预算数</w:t>
      </w:r>
      <w:r>
        <w:rPr>
          <w:rFonts w:hint="eastAsia" w:cs="仿宋_GB2312" w:asciiTheme="minorEastAsia" w:hAnsiTheme="minorEastAsia" w:eastAsiaTheme="minorEastAsia"/>
          <w:lang w:val="en-US" w:eastAsia="zh-CN"/>
        </w:rPr>
        <w:t>1791.4万元，非税</w:t>
      </w:r>
      <w:r>
        <w:rPr>
          <w:rFonts w:hint="eastAsia" w:cs="仿宋_GB2312" w:asciiTheme="minorEastAsia" w:hAnsiTheme="minorEastAsia" w:eastAsiaTheme="minorEastAsia"/>
          <w:lang w:eastAsia="zh-CN"/>
        </w:rPr>
        <w:t>资金</w:t>
      </w:r>
      <w:r>
        <w:rPr>
          <w:rFonts w:hint="eastAsia" w:cs="仿宋_GB2312" w:asciiTheme="minorEastAsia" w:hAnsiTheme="minorEastAsia" w:eastAsiaTheme="minorEastAsia"/>
          <w:lang w:val="en-US" w:eastAsia="zh-CN"/>
        </w:rPr>
        <w:t>500万元，</w:t>
      </w:r>
      <w:r>
        <w:rPr>
          <w:rFonts w:hint="eastAsia" w:cs="仿宋_GB2312" w:asciiTheme="minorEastAsia" w:hAnsiTheme="minorEastAsia" w:eastAsiaTheme="minorEastAsia"/>
        </w:rPr>
        <w:t>支出预算总额为2291.4万元，与上年预算相比增长</w:t>
      </w:r>
      <w:r>
        <w:rPr>
          <w:rFonts w:hint="eastAsia" w:cs="仿宋_GB2312" w:asciiTheme="minorEastAsia" w:hAnsiTheme="minorEastAsia" w:eastAsiaTheme="minorEastAsia"/>
          <w:lang w:val="en-US" w:eastAsia="zh-CN"/>
        </w:rPr>
        <w:t>21.03</w:t>
      </w:r>
      <w:r>
        <w:rPr>
          <w:rFonts w:hint="eastAsia" w:cs="仿宋_GB2312" w:asciiTheme="minorEastAsia" w:hAnsiTheme="minorEastAsia" w:eastAsiaTheme="minorEastAsia"/>
        </w:rPr>
        <w:t>%</w:t>
      </w:r>
      <w:r>
        <w:rPr>
          <w:rFonts w:hint="eastAsia" w:cs="仿宋_GB2312" w:asciiTheme="minorEastAsia" w:hAnsiTheme="minorEastAsia" w:eastAsiaTheme="minorEastAsia"/>
          <w:lang w:eastAsia="zh-CN"/>
        </w:rPr>
        <w:t>，</w:t>
      </w:r>
      <w:r>
        <w:rPr>
          <w:rFonts w:hint="eastAsia" w:cs="仿宋_GB2312" w:asciiTheme="minorEastAsia" w:hAnsiTheme="minorEastAsia" w:eastAsiaTheme="minorEastAsia"/>
        </w:rPr>
        <w:t>说明情况：</w:t>
      </w:r>
      <w:r>
        <w:rPr>
          <w:rFonts w:hint="eastAsia" w:cs="仿宋_GB2312" w:asciiTheme="minorEastAsia" w:hAnsiTheme="minorEastAsia" w:eastAsiaTheme="minorEastAsia"/>
          <w:lang w:eastAsia="zh-CN"/>
        </w:rPr>
        <w:t>一是</w:t>
      </w:r>
      <w:r>
        <w:rPr>
          <w:rFonts w:hint="eastAsia" w:cs="仿宋_GB2312" w:asciiTheme="minorEastAsia" w:hAnsiTheme="minorEastAsia" w:eastAsiaTheme="minorEastAsia"/>
        </w:rPr>
        <w:t>案件剧增，各项办案业务支出不断</w:t>
      </w:r>
      <w:r>
        <w:rPr>
          <w:rFonts w:hint="eastAsia" w:cs="仿宋_GB2312" w:asciiTheme="minorEastAsia" w:hAnsiTheme="minorEastAsia" w:eastAsiaTheme="minorEastAsia"/>
          <w:lang w:eastAsia="zh-CN"/>
        </w:rPr>
        <w:t>增加；二是</w:t>
      </w:r>
      <w:r>
        <w:rPr>
          <w:rFonts w:hint="eastAsia" w:cs="仿宋_GB2312" w:asciiTheme="minorEastAsia" w:hAnsiTheme="minorEastAsia" w:eastAsiaTheme="minorEastAsia"/>
        </w:rPr>
        <w:t>人员数量增加、</w:t>
      </w:r>
      <w:r>
        <w:rPr>
          <w:rFonts w:hint="eastAsia" w:ascii="宋体" w:hAnsi="宋体" w:cs="仿宋_GB2312"/>
        </w:rPr>
        <w:t>工资改革</w:t>
      </w:r>
      <w:r>
        <w:rPr>
          <w:rFonts w:hint="eastAsia" w:cs="仿宋_GB2312" w:asciiTheme="minorEastAsia" w:hAnsiTheme="minorEastAsia" w:eastAsiaTheme="minorEastAsia"/>
        </w:rPr>
        <w:t>、工资调增，</w:t>
      </w:r>
      <w:r>
        <w:rPr>
          <w:rFonts w:hint="eastAsia" w:cs="仿宋_GB2312" w:asciiTheme="minorEastAsia" w:hAnsiTheme="minorEastAsia" w:eastAsiaTheme="minorEastAsia"/>
          <w:lang w:eastAsia="zh-CN"/>
        </w:rPr>
        <w:t>导致</w:t>
      </w:r>
      <w:r>
        <w:rPr>
          <w:rFonts w:hint="eastAsia" w:cs="仿宋_GB2312" w:asciiTheme="minorEastAsia" w:hAnsiTheme="minorEastAsia" w:eastAsiaTheme="minorEastAsia"/>
        </w:rPr>
        <w:t>相应的社保费用增加</w:t>
      </w:r>
      <w:r>
        <w:rPr>
          <w:rFonts w:hint="eastAsia" w:cs="仿宋_GB2312" w:asciiTheme="minorEastAsia" w:hAnsiTheme="minorEastAsia" w:eastAsiaTheme="minorEastAsia"/>
          <w:lang w:eastAsia="zh-CN"/>
        </w:rPr>
        <w:t>。</w:t>
      </w:r>
      <w:r>
        <w:rPr>
          <w:rFonts w:hint="eastAsia" w:cs="仿宋_GB2312" w:asciiTheme="minorEastAsia" w:hAnsiTheme="minorEastAsia" w:eastAsiaTheme="minorEastAsia"/>
        </w:rPr>
        <w:t>其中：按支出项目类别划分：基本支出1956.09万元，占支出预算总额的</w:t>
      </w:r>
      <w:r>
        <w:rPr>
          <w:rFonts w:hint="eastAsia" w:cs="仿宋_GB2312" w:asciiTheme="minorEastAsia" w:hAnsiTheme="minorEastAsia" w:eastAsiaTheme="minorEastAsia"/>
          <w:lang w:val="en-US" w:eastAsia="zh-CN"/>
        </w:rPr>
        <w:t>85.37</w:t>
      </w:r>
      <w:r>
        <w:rPr>
          <w:rFonts w:cs="仿宋_GB2312" w:asciiTheme="minorEastAsia" w:hAnsiTheme="minorEastAsia" w:eastAsiaTheme="minorEastAsia"/>
        </w:rPr>
        <w:t>%</w:t>
      </w:r>
      <w:r>
        <w:rPr>
          <w:rFonts w:hint="eastAsia" w:cs="仿宋_GB2312" w:asciiTheme="minorEastAsia" w:hAnsiTheme="minorEastAsia" w:eastAsiaTheme="minorEastAsia"/>
        </w:rPr>
        <w:t>，包括工资福利支出1117.8万元、商品和服务支出776.89万元、对个人和家庭的补助61.4万元；项目支出335.31万元，占支出预算总额的</w:t>
      </w:r>
      <w:r>
        <w:rPr>
          <w:rFonts w:hint="eastAsia" w:cs="仿宋_GB2312" w:asciiTheme="minorEastAsia" w:hAnsiTheme="minorEastAsia" w:eastAsiaTheme="minorEastAsia"/>
          <w:lang w:val="en-US" w:eastAsia="zh-CN"/>
        </w:rPr>
        <w:t>14.63</w:t>
      </w:r>
      <w:r>
        <w:rPr>
          <w:rFonts w:cs="仿宋_GB2312" w:asciiTheme="minorEastAsia" w:hAnsiTheme="minorEastAsia" w:eastAsiaTheme="minorEastAsia"/>
        </w:rPr>
        <w:t>%</w:t>
      </w:r>
      <w:r>
        <w:rPr>
          <w:rFonts w:hint="eastAsia" w:cs="仿宋_GB2312" w:asciiTheme="minorEastAsia" w:hAnsiTheme="minorEastAsia" w:eastAsiaTheme="minorEastAsia"/>
        </w:rPr>
        <w:t>，包括商品和服务支出</w:t>
      </w:r>
      <w:r>
        <w:rPr>
          <w:rFonts w:hint="eastAsia" w:cs="仿宋_GB2312" w:asciiTheme="minorEastAsia" w:hAnsiTheme="minorEastAsia" w:eastAsiaTheme="minorEastAsia"/>
          <w:lang w:val="en-US" w:eastAsia="zh-CN"/>
        </w:rPr>
        <w:t>335.31</w:t>
      </w:r>
      <w:r>
        <w:rPr>
          <w:rFonts w:hint="eastAsia" w:cs="仿宋_GB2312" w:asciiTheme="minorEastAsia" w:hAnsiTheme="minorEastAsia" w:eastAsiaTheme="minorEastAsia"/>
        </w:rPr>
        <w:t>万元。</w:t>
      </w:r>
    </w:p>
    <w:p>
      <w:pPr>
        <w:spacing w:line="360" w:lineRule="auto"/>
        <w:ind w:firstLine="420" w:firstLineChars="200"/>
        <w:rPr>
          <w:rFonts w:cs="仿宋_GB2312" w:asciiTheme="minorEastAsia" w:hAnsiTheme="minorEastAsia" w:eastAsiaTheme="minorEastAsia"/>
        </w:rPr>
      </w:pPr>
      <w:r>
        <w:rPr>
          <w:rFonts w:hint="eastAsia" w:cs="仿宋_GB2312" w:asciiTheme="minorEastAsia" w:hAnsiTheme="minorEastAsia" w:eastAsiaTheme="minorEastAsia"/>
        </w:rPr>
        <w:t>按支出功能项目科目划分：公共安全支出</w:t>
      </w:r>
      <w:r>
        <w:rPr>
          <w:rFonts w:hint="eastAsia" w:cs="仿宋_GB2312" w:asciiTheme="minorEastAsia" w:hAnsiTheme="minorEastAsia" w:eastAsiaTheme="minorEastAsia"/>
          <w:lang w:val="en-US" w:eastAsia="zh-CN"/>
        </w:rPr>
        <w:t>2041.98</w:t>
      </w:r>
      <w:r>
        <w:rPr>
          <w:rFonts w:hint="eastAsia" w:cs="仿宋_GB2312" w:asciiTheme="minorEastAsia" w:hAnsiTheme="minorEastAsia" w:eastAsiaTheme="minorEastAsia"/>
        </w:rPr>
        <w:t>万元，占支出预算总额的</w:t>
      </w:r>
      <w:r>
        <w:rPr>
          <w:rFonts w:hint="eastAsia" w:cs="仿宋_GB2312" w:asciiTheme="minorEastAsia" w:hAnsiTheme="minorEastAsia" w:eastAsiaTheme="minorEastAsia"/>
          <w:lang w:val="en-US" w:eastAsia="zh-CN"/>
        </w:rPr>
        <w:t>89.11</w:t>
      </w:r>
      <w:r>
        <w:rPr>
          <w:rFonts w:cs="仿宋_GB2312" w:asciiTheme="minorEastAsia" w:hAnsiTheme="minorEastAsia" w:eastAsiaTheme="minorEastAsia"/>
        </w:rPr>
        <w:t>%</w:t>
      </w:r>
      <w:r>
        <w:rPr>
          <w:rFonts w:hint="eastAsia" w:cs="仿宋_GB2312" w:asciiTheme="minorEastAsia" w:hAnsiTheme="minorEastAsia" w:eastAsiaTheme="minorEastAsia"/>
        </w:rPr>
        <w:t>；社会保障和就业支出</w:t>
      </w:r>
      <w:r>
        <w:rPr>
          <w:rFonts w:hint="eastAsia" w:cs="仿宋_GB2312" w:asciiTheme="minorEastAsia" w:hAnsiTheme="minorEastAsia" w:eastAsiaTheme="minorEastAsia"/>
          <w:lang w:val="en-US" w:eastAsia="zh-CN"/>
        </w:rPr>
        <w:t>136.58</w:t>
      </w:r>
      <w:r>
        <w:rPr>
          <w:rFonts w:hint="eastAsia" w:cs="仿宋_GB2312" w:asciiTheme="minorEastAsia" w:hAnsiTheme="minorEastAsia" w:eastAsiaTheme="minorEastAsia"/>
        </w:rPr>
        <w:t>万元，占支出预算总额的</w:t>
      </w:r>
      <w:r>
        <w:rPr>
          <w:rFonts w:hint="eastAsia" w:cs="仿宋_GB2312" w:asciiTheme="minorEastAsia" w:hAnsiTheme="minorEastAsia" w:eastAsiaTheme="minorEastAsia"/>
          <w:lang w:val="en-US" w:eastAsia="zh-CN"/>
        </w:rPr>
        <w:t>5.96</w:t>
      </w:r>
      <w:r>
        <w:rPr>
          <w:rFonts w:cs="仿宋_GB2312" w:asciiTheme="minorEastAsia" w:hAnsiTheme="minorEastAsia" w:eastAsiaTheme="minorEastAsia"/>
        </w:rPr>
        <w:t>%</w:t>
      </w:r>
      <w:r>
        <w:rPr>
          <w:rFonts w:hint="eastAsia" w:cs="仿宋_GB2312" w:asciiTheme="minorEastAsia" w:hAnsiTheme="minorEastAsia" w:eastAsiaTheme="minorEastAsia"/>
        </w:rPr>
        <w:t>；卫生健康支出</w:t>
      </w:r>
      <w:r>
        <w:rPr>
          <w:rFonts w:hint="eastAsia" w:cs="仿宋_GB2312" w:asciiTheme="minorEastAsia" w:hAnsiTheme="minorEastAsia" w:eastAsiaTheme="minorEastAsia"/>
          <w:lang w:val="en-US" w:eastAsia="zh-CN"/>
        </w:rPr>
        <w:t>32.04</w:t>
      </w:r>
      <w:r>
        <w:rPr>
          <w:rFonts w:hint="eastAsia" w:cs="仿宋_GB2312" w:asciiTheme="minorEastAsia" w:hAnsiTheme="minorEastAsia" w:eastAsiaTheme="minorEastAsia"/>
        </w:rPr>
        <w:t>万元，占支出预算总额的</w:t>
      </w:r>
      <w:r>
        <w:rPr>
          <w:rFonts w:hint="eastAsia" w:cs="仿宋_GB2312" w:asciiTheme="minorEastAsia" w:hAnsiTheme="minorEastAsia" w:eastAsiaTheme="minorEastAsia"/>
          <w:lang w:val="en-US" w:eastAsia="zh-CN"/>
        </w:rPr>
        <w:t>1.4</w:t>
      </w:r>
      <w:r>
        <w:rPr>
          <w:rFonts w:cs="仿宋_GB2312" w:asciiTheme="minorEastAsia" w:hAnsiTheme="minorEastAsia" w:eastAsiaTheme="minorEastAsia"/>
        </w:rPr>
        <w:t>%</w:t>
      </w:r>
      <w:r>
        <w:rPr>
          <w:rFonts w:hint="eastAsia" w:cs="仿宋_GB2312" w:asciiTheme="minorEastAsia" w:hAnsiTheme="minorEastAsia" w:eastAsiaTheme="minorEastAsia"/>
        </w:rPr>
        <w:t>；住房保障支出</w:t>
      </w:r>
      <w:r>
        <w:rPr>
          <w:rFonts w:hint="eastAsia" w:cs="仿宋_GB2312" w:asciiTheme="minorEastAsia" w:hAnsiTheme="minorEastAsia" w:eastAsiaTheme="minorEastAsia"/>
          <w:lang w:val="en-US" w:eastAsia="zh-CN"/>
        </w:rPr>
        <w:t>80.8</w:t>
      </w:r>
      <w:r>
        <w:rPr>
          <w:rFonts w:hint="eastAsia" w:cs="仿宋_GB2312" w:asciiTheme="minorEastAsia" w:hAnsiTheme="minorEastAsia" w:eastAsiaTheme="minorEastAsia"/>
        </w:rPr>
        <w:t>万元，占支出预算总额的</w:t>
      </w:r>
      <w:r>
        <w:rPr>
          <w:rFonts w:hint="eastAsia" w:cs="仿宋_GB2312" w:asciiTheme="minorEastAsia" w:hAnsiTheme="minorEastAsia" w:eastAsiaTheme="minorEastAsia"/>
          <w:lang w:val="en-US" w:eastAsia="zh-CN"/>
        </w:rPr>
        <w:t>3.53</w:t>
      </w:r>
      <w:r>
        <w:rPr>
          <w:rFonts w:cs="仿宋_GB2312" w:asciiTheme="minorEastAsia" w:hAnsiTheme="minorEastAsia" w:eastAsiaTheme="minorEastAsia"/>
        </w:rPr>
        <w:t>%</w:t>
      </w:r>
      <w:r>
        <w:rPr>
          <w:rFonts w:hint="eastAsia" w:cs="仿宋_GB2312" w:asciiTheme="minorEastAsia" w:hAnsiTheme="minorEastAsia" w:eastAsiaTheme="minorEastAsia"/>
        </w:rPr>
        <w:t>。</w:t>
      </w:r>
    </w:p>
    <w:p>
      <w:pPr>
        <w:spacing w:line="360" w:lineRule="auto"/>
        <w:ind w:firstLine="420" w:firstLineChars="200"/>
        <w:rPr>
          <w:rFonts w:cs="仿宋_GB2312" w:asciiTheme="minorEastAsia" w:hAnsiTheme="minorEastAsia" w:eastAsiaTheme="minorEastAsia"/>
        </w:rPr>
      </w:pPr>
      <w:r>
        <w:rPr>
          <w:rFonts w:hint="eastAsia" w:cs="仿宋_GB2312" w:asciiTheme="minorEastAsia" w:hAnsiTheme="minorEastAsia" w:eastAsiaTheme="minorEastAsia"/>
        </w:rPr>
        <w:t>按支出经济分类划分：工资福利支出</w:t>
      </w:r>
      <w:r>
        <w:rPr>
          <w:rFonts w:hint="eastAsia" w:cs="仿宋_GB2312" w:asciiTheme="minorEastAsia" w:hAnsiTheme="minorEastAsia" w:eastAsiaTheme="minorEastAsia"/>
          <w:lang w:val="en-US" w:eastAsia="zh-CN"/>
        </w:rPr>
        <w:t>1117.8</w:t>
      </w:r>
      <w:r>
        <w:rPr>
          <w:rFonts w:hint="eastAsia" w:cs="仿宋_GB2312" w:asciiTheme="minorEastAsia" w:hAnsiTheme="minorEastAsia" w:eastAsiaTheme="minorEastAsia"/>
        </w:rPr>
        <w:t>万元，占支出预算总额的</w:t>
      </w:r>
      <w:r>
        <w:rPr>
          <w:rFonts w:hint="eastAsia" w:cs="仿宋_GB2312" w:asciiTheme="minorEastAsia" w:hAnsiTheme="minorEastAsia" w:eastAsiaTheme="minorEastAsia"/>
          <w:lang w:val="en-US" w:eastAsia="zh-CN"/>
        </w:rPr>
        <w:t>48.79</w:t>
      </w:r>
      <w:r>
        <w:rPr>
          <w:rFonts w:cs="仿宋_GB2312" w:asciiTheme="minorEastAsia" w:hAnsiTheme="minorEastAsia" w:eastAsiaTheme="minorEastAsia"/>
        </w:rPr>
        <w:t>%</w:t>
      </w:r>
      <w:r>
        <w:rPr>
          <w:rFonts w:hint="eastAsia" w:cs="仿宋_GB2312" w:asciiTheme="minorEastAsia" w:hAnsiTheme="minorEastAsia" w:eastAsiaTheme="minorEastAsia"/>
        </w:rPr>
        <w:t>；商品和服务支出</w:t>
      </w:r>
      <w:r>
        <w:rPr>
          <w:rFonts w:hint="eastAsia" w:cs="仿宋_GB2312" w:asciiTheme="minorEastAsia" w:hAnsiTheme="minorEastAsia" w:eastAsiaTheme="minorEastAsia"/>
          <w:lang w:val="en-US" w:eastAsia="zh-CN"/>
        </w:rPr>
        <w:t>776.89</w:t>
      </w:r>
      <w:r>
        <w:rPr>
          <w:rFonts w:hint="eastAsia" w:cs="仿宋_GB2312" w:asciiTheme="minorEastAsia" w:hAnsiTheme="minorEastAsia" w:eastAsiaTheme="minorEastAsia"/>
        </w:rPr>
        <w:t>万元，占支出预算总额的</w:t>
      </w:r>
      <w:r>
        <w:rPr>
          <w:rFonts w:hint="eastAsia" w:cs="仿宋_GB2312" w:asciiTheme="minorEastAsia" w:hAnsiTheme="minorEastAsia" w:eastAsiaTheme="minorEastAsia"/>
          <w:lang w:val="en-US" w:eastAsia="zh-CN"/>
        </w:rPr>
        <w:t>33.9</w:t>
      </w:r>
      <w:r>
        <w:rPr>
          <w:rFonts w:cs="仿宋_GB2312" w:asciiTheme="minorEastAsia" w:hAnsiTheme="minorEastAsia" w:eastAsiaTheme="minorEastAsia"/>
        </w:rPr>
        <w:t>%</w:t>
      </w:r>
      <w:r>
        <w:rPr>
          <w:rFonts w:hint="eastAsia" w:cs="仿宋_GB2312" w:asciiTheme="minorEastAsia" w:hAnsiTheme="minorEastAsia" w:eastAsiaTheme="minorEastAsia"/>
        </w:rPr>
        <w:t>；对个人和家庭的补助</w:t>
      </w:r>
      <w:r>
        <w:rPr>
          <w:rFonts w:hint="eastAsia" w:cs="仿宋_GB2312" w:asciiTheme="minorEastAsia" w:hAnsiTheme="minorEastAsia" w:eastAsiaTheme="minorEastAsia"/>
          <w:lang w:val="en-US" w:eastAsia="zh-CN"/>
        </w:rPr>
        <w:t>61.4</w:t>
      </w:r>
      <w:r>
        <w:rPr>
          <w:rFonts w:hint="eastAsia" w:cs="仿宋_GB2312" w:asciiTheme="minorEastAsia" w:hAnsiTheme="minorEastAsia" w:eastAsiaTheme="minorEastAsia"/>
        </w:rPr>
        <w:t>万元，占支出预算总额的</w:t>
      </w:r>
      <w:r>
        <w:rPr>
          <w:rFonts w:hint="eastAsia" w:cs="仿宋_GB2312" w:asciiTheme="minorEastAsia" w:hAnsiTheme="minorEastAsia" w:eastAsiaTheme="minorEastAsia"/>
          <w:lang w:val="en-US" w:eastAsia="zh-CN"/>
        </w:rPr>
        <w:t>2.68</w:t>
      </w:r>
      <w:r>
        <w:rPr>
          <w:rFonts w:cs="仿宋_GB2312" w:asciiTheme="minorEastAsia" w:hAnsiTheme="minorEastAsia" w:eastAsiaTheme="minorEastAsia"/>
        </w:rPr>
        <w:t>%</w:t>
      </w:r>
      <w:r>
        <w:rPr>
          <w:rFonts w:hint="eastAsia" w:cs="仿宋_GB2312" w:asciiTheme="minorEastAsia" w:hAnsiTheme="minorEastAsia" w:eastAsiaTheme="minorEastAsia"/>
        </w:rPr>
        <w:t>；项目支出335.31万元，占支出</w:t>
      </w:r>
      <w:r>
        <w:rPr>
          <w:rFonts w:hint="eastAsia" w:cs="仿宋_GB2312" w:asciiTheme="minorEastAsia" w:hAnsiTheme="minorEastAsia" w:eastAsiaTheme="minorEastAsia"/>
          <w:lang w:eastAsia="zh-CN"/>
        </w:rPr>
        <w:t>预算</w:t>
      </w:r>
      <w:r>
        <w:rPr>
          <w:rFonts w:hint="eastAsia" w:cs="仿宋_GB2312" w:asciiTheme="minorEastAsia" w:hAnsiTheme="minorEastAsia" w:eastAsiaTheme="minorEastAsia"/>
        </w:rPr>
        <w:t>总额的</w:t>
      </w:r>
      <w:r>
        <w:rPr>
          <w:rFonts w:hint="eastAsia" w:cs="仿宋_GB2312" w:asciiTheme="minorEastAsia" w:hAnsiTheme="minorEastAsia" w:eastAsiaTheme="minorEastAsia"/>
          <w:lang w:val="en-US" w:eastAsia="zh-CN"/>
        </w:rPr>
        <w:t>14.63</w:t>
      </w:r>
      <w:r>
        <w:rPr>
          <w:rFonts w:cs="仿宋_GB2312" w:asciiTheme="minorEastAsia" w:hAnsiTheme="minorEastAsia" w:eastAsiaTheme="minorEastAsia"/>
        </w:rPr>
        <w:t>%</w:t>
      </w:r>
      <w:r>
        <w:rPr>
          <w:rFonts w:hint="eastAsia" w:cs="仿宋_GB2312" w:asciiTheme="minorEastAsia" w:hAnsiTheme="minorEastAsia" w:eastAsiaTheme="minorEastAsia"/>
        </w:rPr>
        <w:t>。</w:t>
      </w:r>
    </w:p>
    <w:p>
      <w:pPr>
        <w:ind w:firstLine="643" w:firstLineChars="200"/>
        <w:rPr>
          <w:rFonts w:ascii="仿宋_GB2312" w:eastAsia="仿宋_GB2312" w:cs="Times New Roman"/>
          <w:color w:val="auto"/>
          <w:sz w:val="32"/>
          <w:szCs w:val="32"/>
        </w:rPr>
      </w:pPr>
      <w:r>
        <w:rPr>
          <w:rFonts w:hint="eastAsia" w:ascii="仿宋_GB2312" w:hAnsi="宋体" w:eastAsia="仿宋_GB2312" w:cs="仿宋_GB2312"/>
          <w:b/>
          <w:bCs/>
          <w:color w:val="auto"/>
          <w:sz w:val="32"/>
          <w:szCs w:val="32"/>
        </w:rPr>
        <w:t>（三）经费拨款支出情况</w:t>
      </w:r>
    </w:p>
    <w:p>
      <w:pPr>
        <w:spacing w:line="360" w:lineRule="auto"/>
        <w:ind w:firstLine="420" w:firstLineChars="200"/>
        <w:rPr>
          <w:rFonts w:cs="仿宋_GB2312" w:asciiTheme="minorEastAsia" w:hAnsiTheme="minorEastAsia" w:eastAsiaTheme="minorEastAsia"/>
          <w:color w:val="auto"/>
        </w:rPr>
      </w:pPr>
      <w:r>
        <w:rPr>
          <w:rFonts w:cs="仿宋_GB2312" w:asciiTheme="minorEastAsia" w:hAnsiTheme="minorEastAsia" w:eastAsiaTheme="minorEastAsia"/>
          <w:color w:val="auto"/>
        </w:rPr>
        <w:t>2019</w:t>
      </w:r>
      <w:r>
        <w:rPr>
          <w:rFonts w:hint="eastAsia" w:cs="仿宋_GB2312" w:asciiTheme="minorEastAsia" w:hAnsiTheme="minorEastAsia" w:eastAsiaTheme="minorEastAsia"/>
          <w:color w:val="auto"/>
        </w:rPr>
        <w:t>年</w:t>
      </w:r>
      <w:r>
        <w:rPr>
          <w:rFonts w:hint="eastAsia" w:cs="仿宋_GB2312" w:asciiTheme="minorEastAsia" w:hAnsiTheme="minorEastAsia" w:eastAsiaTheme="minorEastAsia"/>
          <w:color w:val="auto"/>
          <w:lang w:eastAsia="zh-CN"/>
        </w:rPr>
        <w:t>景德镇市珠山区人民法院</w:t>
      </w:r>
      <w:r>
        <w:rPr>
          <w:rFonts w:hint="eastAsia" w:cs="仿宋_GB2312" w:asciiTheme="minorEastAsia" w:hAnsiTheme="minorEastAsia" w:eastAsiaTheme="minorEastAsia"/>
          <w:color w:val="auto"/>
        </w:rPr>
        <w:t>经费拨款支出预算</w:t>
      </w:r>
      <w:r>
        <w:rPr>
          <w:rFonts w:hint="eastAsia" w:cs="仿宋_GB2312" w:asciiTheme="minorEastAsia" w:hAnsiTheme="minorEastAsia" w:eastAsiaTheme="minorEastAsia"/>
          <w:color w:val="auto"/>
          <w:lang w:eastAsia="zh-CN"/>
        </w:rPr>
        <w:t>总额</w:t>
      </w:r>
      <w:r>
        <w:rPr>
          <w:rFonts w:hint="eastAsia" w:cs="仿宋_GB2312" w:asciiTheme="minorEastAsia" w:hAnsiTheme="minorEastAsia" w:eastAsiaTheme="minorEastAsia"/>
          <w:color w:val="auto"/>
        </w:rPr>
        <w:t>1491.4</w:t>
      </w:r>
      <w:r>
        <w:rPr>
          <w:rFonts w:cs="仿宋_GB2312" w:asciiTheme="minorEastAsia" w:hAnsiTheme="minorEastAsia" w:eastAsiaTheme="minorEastAsia"/>
          <w:color w:val="auto"/>
        </w:rPr>
        <w:t xml:space="preserve"> </w:t>
      </w:r>
      <w:r>
        <w:rPr>
          <w:rFonts w:hint="eastAsia" w:cs="仿宋_GB2312" w:asciiTheme="minorEastAsia" w:hAnsiTheme="minorEastAsia" w:eastAsiaTheme="minorEastAsia"/>
          <w:color w:val="auto"/>
        </w:rPr>
        <w:t>万元，占支出预算总额的</w:t>
      </w:r>
      <w:r>
        <w:rPr>
          <w:rFonts w:hint="eastAsia" w:cs="仿宋_GB2312" w:asciiTheme="minorEastAsia" w:hAnsiTheme="minorEastAsia" w:eastAsiaTheme="minorEastAsia"/>
          <w:color w:val="auto"/>
          <w:lang w:val="en-US" w:eastAsia="zh-CN"/>
        </w:rPr>
        <w:t>65.09</w:t>
      </w:r>
      <w:r>
        <w:rPr>
          <w:rFonts w:cs="仿宋_GB2312" w:asciiTheme="minorEastAsia" w:hAnsiTheme="minorEastAsia" w:eastAsiaTheme="minorEastAsia"/>
          <w:color w:val="auto"/>
        </w:rPr>
        <w:t>%</w:t>
      </w:r>
      <w:r>
        <w:rPr>
          <w:rFonts w:hint="eastAsia" w:cs="仿宋_GB2312" w:asciiTheme="minorEastAsia" w:hAnsiTheme="minorEastAsia" w:eastAsiaTheme="minorEastAsia"/>
          <w:color w:val="auto"/>
        </w:rPr>
        <w:t>，与上年预算相比</w:t>
      </w:r>
      <w:r>
        <w:rPr>
          <w:rFonts w:hint="eastAsia" w:cs="仿宋_GB2312" w:asciiTheme="minorEastAsia" w:hAnsiTheme="minorEastAsia" w:eastAsiaTheme="minorEastAsia"/>
          <w:color w:val="auto"/>
          <w:lang w:eastAsia="zh-CN"/>
        </w:rPr>
        <w:t>下降</w:t>
      </w:r>
      <w:r>
        <w:rPr>
          <w:rFonts w:hint="eastAsia" w:cs="仿宋_GB2312" w:asciiTheme="minorEastAsia" w:hAnsiTheme="minorEastAsia" w:eastAsiaTheme="minorEastAsia"/>
          <w:color w:val="auto"/>
          <w:lang w:val="en-US" w:eastAsia="zh-CN"/>
        </w:rPr>
        <w:t>21.22</w:t>
      </w:r>
      <w:r>
        <w:rPr>
          <w:rFonts w:hint="eastAsia" w:cs="仿宋_GB2312" w:asciiTheme="minorEastAsia" w:hAnsiTheme="minorEastAsia" w:eastAsiaTheme="minorEastAsia"/>
          <w:color w:val="auto"/>
        </w:rPr>
        <w:t>%。具体支出情况是：公共安全支出1241.98万元，占经费拨款支出</w:t>
      </w:r>
      <w:r>
        <w:rPr>
          <w:rFonts w:hint="eastAsia" w:cs="仿宋_GB2312" w:asciiTheme="minorEastAsia" w:hAnsiTheme="minorEastAsia" w:eastAsiaTheme="minorEastAsia"/>
          <w:color w:val="auto"/>
          <w:lang w:val="en-US" w:eastAsia="zh-CN"/>
        </w:rPr>
        <w:t>83.28</w:t>
      </w:r>
      <w:r>
        <w:rPr>
          <w:rFonts w:cs="仿宋_GB2312" w:asciiTheme="minorEastAsia" w:hAnsiTheme="minorEastAsia" w:eastAsiaTheme="minorEastAsia"/>
          <w:color w:val="auto"/>
        </w:rPr>
        <w:t>%</w:t>
      </w:r>
      <w:r>
        <w:rPr>
          <w:rFonts w:hint="eastAsia" w:cs="仿宋_GB2312" w:asciiTheme="minorEastAsia" w:hAnsiTheme="minorEastAsia" w:eastAsiaTheme="minorEastAsia"/>
          <w:color w:val="auto"/>
        </w:rPr>
        <w:t>；社会保障和就业136.58万元，占经费拨款支出9.16</w:t>
      </w:r>
      <w:r>
        <w:rPr>
          <w:rFonts w:cs="仿宋_GB2312" w:asciiTheme="minorEastAsia" w:hAnsiTheme="minorEastAsia" w:eastAsiaTheme="minorEastAsia"/>
          <w:color w:val="auto"/>
        </w:rPr>
        <w:t>%</w:t>
      </w:r>
      <w:r>
        <w:rPr>
          <w:rFonts w:hint="eastAsia" w:cs="仿宋_GB2312" w:asciiTheme="minorEastAsia" w:hAnsiTheme="minorEastAsia" w:eastAsiaTheme="minorEastAsia"/>
          <w:color w:val="auto"/>
        </w:rPr>
        <w:t>；卫生健康支出32.04万元，占经费拨款支出</w:t>
      </w:r>
      <w:r>
        <w:rPr>
          <w:rFonts w:hint="eastAsia" w:cs="仿宋_GB2312" w:asciiTheme="minorEastAsia" w:hAnsiTheme="minorEastAsia" w:eastAsiaTheme="minorEastAsia"/>
          <w:color w:val="auto"/>
          <w:lang w:val="en-US" w:eastAsia="zh-CN"/>
        </w:rPr>
        <w:t>2.14</w:t>
      </w:r>
      <w:r>
        <w:rPr>
          <w:rFonts w:cs="仿宋_GB2312" w:asciiTheme="minorEastAsia" w:hAnsiTheme="minorEastAsia" w:eastAsiaTheme="minorEastAsia"/>
          <w:color w:val="auto"/>
        </w:rPr>
        <w:t>%</w:t>
      </w:r>
      <w:r>
        <w:rPr>
          <w:rFonts w:hint="eastAsia" w:cs="仿宋_GB2312" w:asciiTheme="minorEastAsia" w:hAnsiTheme="minorEastAsia" w:eastAsiaTheme="minorEastAsia"/>
          <w:color w:val="auto"/>
        </w:rPr>
        <w:t>；住房保障支出80.8万元，占经费拨款支出5.</w:t>
      </w:r>
      <w:r>
        <w:rPr>
          <w:rFonts w:hint="eastAsia" w:cs="仿宋_GB2312" w:asciiTheme="minorEastAsia" w:hAnsiTheme="minorEastAsia" w:eastAsiaTheme="minorEastAsia"/>
          <w:color w:val="auto"/>
          <w:lang w:val="en-US" w:eastAsia="zh-CN"/>
        </w:rPr>
        <w:t>42</w:t>
      </w:r>
      <w:r>
        <w:rPr>
          <w:rFonts w:cs="仿宋_GB2312" w:asciiTheme="minorEastAsia" w:hAnsiTheme="minorEastAsia" w:eastAsiaTheme="minorEastAsia"/>
          <w:color w:val="auto"/>
        </w:rPr>
        <w:t>%</w:t>
      </w:r>
      <w:r>
        <w:rPr>
          <w:rFonts w:hint="eastAsia" w:cs="仿宋_GB2312" w:asciiTheme="minorEastAsia" w:hAnsiTheme="minorEastAsia" w:eastAsiaTheme="minorEastAsia"/>
          <w:color w:val="auto"/>
        </w:rPr>
        <w:t>。</w:t>
      </w:r>
      <w:r>
        <w:rPr>
          <w:rFonts w:cs="仿宋_GB2312" w:asciiTheme="minorEastAsia" w:hAnsiTheme="minorEastAsia" w:eastAsiaTheme="minorEastAsia"/>
          <w:color w:val="auto"/>
        </w:rPr>
        <w:t xml:space="preserve"> </w:t>
      </w:r>
    </w:p>
    <w:p>
      <w:pPr>
        <w:numPr>
          <w:ilvl w:val="0"/>
          <w:numId w:val="2"/>
        </w:numPr>
        <w:ind w:left="540"/>
        <w:rPr>
          <w:rFonts w:ascii="仿宋_GB2312" w:eastAsia="仿宋_GB2312" w:cs="Times New Roman"/>
          <w:b/>
          <w:bCs/>
          <w:sz w:val="32"/>
          <w:szCs w:val="32"/>
        </w:rPr>
      </w:pPr>
      <w:r>
        <w:rPr>
          <w:rFonts w:hint="eastAsia" w:ascii="仿宋_GB2312" w:hAnsi="宋体" w:eastAsia="仿宋_GB2312" w:cs="仿宋_GB2312"/>
          <w:b/>
          <w:bCs/>
          <w:sz w:val="32"/>
          <w:szCs w:val="32"/>
        </w:rPr>
        <w:t>政府采购预算情况</w:t>
      </w:r>
    </w:p>
    <w:p>
      <w:pPr>
        <w:spacing w:line="360" w:lineRule="auto"/>
        <w:ind w:firstLine="420" w:firstLineChars="200"/>
        <w:rPr>
          <w:rFonts w:cs="仿宋_GB2312" w:asciiTheme="minorEastAsia" w:hAnsiTheme="minorEastAsia" w:eastAsiaTheme="minorEastAsia"/>
        </w:rPr>
      </w:pPr>
      <w:r>
        <w:rPr>
          <w:rFonts w:cs="仿宋_GB2312" w:asciiTheme="minorEastAsia" w:hAnsiTheme="minorEastAsia" w:eastAsiaTheme="minorEastAsia"/>
        </w:rPr>
        <w:t>2019</w:t>
      </w:r>
      <w:r>
        <w:rPr>
          <w:rFonts w:hint="eastAsia" w:cs="仿宋_GB2312" w:asciiTheme="minorEastAsia" w:hAnsiTheme="minorEastAsia" w:eastAsiaTheme="minorEastAsia"/>
        </w:rPr>
        <w:t>年</w:t>
      </w:r>
      <w:r>
        <w:rPr>
          <w:rFonts w:hint="eastAsia" w:cs="仿宋_GB2312" w:asciiTheme="minorEastAsia" w:hAnsiTheme="minorEastAsia" w:eastAsiaTheme="minorEastAsia"/>
          <w:lang w:eastAsia="zh-CN"/>
        </w:rPr>
        <w:t>景德镇市珠山区人民法院</w:t>
      </w:r>
      <w:r>
        <w:rPr>
          <w:rFonts w:hint="eastAsia" w:cs="仿宋_GB2312" w:asciiTheme="minorEastAsia" w:hAnsiTheme="minorEastAsia" w:eastAsiaTheme="minorEastAsia"/>
        </w:rPr>
        <w:t>政府采购支出预算546万元，其中：部门集中采购546万元，占支出预算总额100%，与上年预算对比</w:t>
      </w:r>
      <w:r>
        <w:rPr>
          <w:rFonts w:hint="eastAsia" w:cs="仿宋_GB2312" w:asciiTheme="minorEastAsia" w:hAnsiTheme="minorEastAsia" w:eastAsiaTheme="minorEastAsia"/>
          <w:lang w:eastAsia="zh-CN"/>
        </w:rPr>
        <w:t>下降</w:t>
      </w:r>
      <w:r>
        <w:rPr>
          <w:rFonts w:hint="eastAsia" w:cs="仿宋_GB2312" w:asciiTheme="minorEastAsia" w:hAnsiTheme="minorEastAsia" w:eastAsiaTheme="minorEastAsia"/>
          <w:lang w:val="en-US" w:eastAsia="zh-CN"/>
        </w:rPr>
        <w:t>15.22</w:t>
      </w:r>
      <w:r>
        <w:rPr>
          <w:rFonts w:hint="eastAsia" w:cs="仿宋_GB2312" w:asciiTheme="minorEastAsia" w:hAnsiTheme="minorEastAsia" w:eastAsiaTheme="minorEastAsia"/>
        </w:rPr>
        <w:t>%，说明原因：</w:t>
      </w:r>
      <w:r>
        <w:rPr>
          <w:rFonts w:hint="eastAsia" w:cs="仿宋_GB2312" w:asciiTheme="minorEastAsia" w:hAnsiTheme="minorEastAsia" w:eastAsiaTheme="minorEastAsia"/>
          <w:lang w:val="en-US" w:eastAsia="zh-CN"/>
        </w:rPr>
        <w:t>2019年度政府采购需求较上年略有下降</w:t>
      </w:r>
      <w:r>
        <w:rPr>
          <w:rFonts w:hint="eastAsia" w:cs="仿宋_GB2312" w:asciiTheme="minorEastAsia" w:hAnsiTheme="minorEastAsia" w:eastAsiaTheme="minorEastAsia"/>
        </w:rPr>
        <w:t>。</w:t>
      </w:r>
    </w:p>
    <w:p>
      <w:pPr>
        <w:tabs>
          <w:tab w:val="left" w:pos="1162"/>
        </w:tabs>
        <w:ind w:left="420" w:leftChars="200" w:firstLine="321" w:firstLineChars="100"/>
        <w:rPr>
          <w:rFonts w:ascii="仿宋_GB2312" w:eastAsia="仿宋_GB2312" w:cs="Times New Roman"/>
          <w:b/>
          <w:bCs/>
          <w:sz w:val="32"/>
          <w:szCs w:val="32"/>
        </w:rPr>
      </w:pPr>
      <w:r>
        <w:rPr>
          <w:rFonts w:hint="eastAsia" w:ascii="仿宋_GB2312" w:hAnsi="宋体" w:eastAsia="仿宋_GB2312" w:cs="仿宋_GB2312"/>
          <w:b/>
          <w:bCs/>
          <w:sz w:val="32"/>
          <w:szCs w:val="32"/>
        </w:rPr>
        <w:t>（五）政府基金收支情况</w:t>
      </w:r>
    </w:p>
    <w:p>
      <w:pPr>
        <w:ind w:firstLine="420" w:firstLineChars="200"/>
        <w:rPr>
          <w:rFonts w:cs="仿宋_GB2312" w:asciiTheme="minorEastAsia" w:hAnsiTheme="minorEastAsia" w:eastAsiaTheme="minorEastAsia"/>
        </w:rPr>
      </w:pPr>
      <w:r>
        <w:rPr>
          <w:rFonts w:hint="eastAsia" w:cs="仿宋_GB2312" w:asciiTheme="minorEastAsia" w:hAnsiTheme="minorEastAsia" w:eastAsiaTheme="minorEastAsia"/>
        </w:rPr>
        <w:t>无政府基金收支。</w:t>
      </w:r>
    </w:p>
    <w:p>
      <w:pPr>
        <w:numPr>
          <w:ilvl w:val="0"/>
          <w:numId w:val="3"/>
        </w:numPr>
        <w:ind w:firstLine="643" w:firstLineChars="200"/>
        <w:rPr>
          <w:rFonts w:ascii="仿宋_GB2312" w:eastAsia="仿宋_GB2312" w:cs="Times New Roman"/>
          <w:b/>
          <w:bCs/>
          <w:color w:val="auto"/>
          <w:sz w:val="32"/>
          <w:szCs w:val="32"/>
        </w:rPr>
      </w:pPr>
      <w:r>
        <w:rPr>
          <w:rFonts w:hint="eastAsia" w:ascii="仿宋_GB2312" w:hAnsi="宋体" w:eastAsia="仿宋_GB2312" w:cs="仿宋_GB2312"/>
          <w:b/>
          <w:bCs/>
          <w:color w:val="auto"/>
          <w:sz w:val="32"/>
          <w:szCs w:val="32"/>
        </w:rPr>
        <w:t>机关运行经费安排情况</w:t>
      </w:r>
    </w:p>
    <w:p>
      <w:pPr>
        <w:spacing w:line="360" w:lineRule="auto"/>
        <w:ind w:firstLine="420" w:firstLineChars="200"/>
        <w:jc w:val="left"/>
        <w:rPr>
          <w:rFonts w:ascii="仿宋_GB2312" w:eastAsia="仿宋_GB2312" w:cs="Times New Roman"/>
          <w:color w:val="auto"/>
          <w:sz w:val="32"/>
          <w:szCs w:val="32"/>
        </w:rPr>
      </w:pPr>
      <w:r>
        <w:rPr>
          <w:rFonts w:hint="eastAsia" w:ascii="宋体" w:hAnsi="宋体"/>
          <w:color w:val="auto"/>
        </w:rPr>
        <w:t>2019年</w:t>
      </w:r>
      <w:r>
        <w:rPr>
          <w:rFonts w:hint="eastAsia" w:ascii="宋体" w:hAnsi="宋体"/>
          <w:color w:val="auto"/>
          <w:lang w:eastAsia="zh-CN"/>
        </w:rPr>
        <w:t>景德镇市珠山区人民法院</w:t>
      </w:r>
      <w:r>
        <w:rPr>
          <w:rFonts w:hint="eastAsia" w:ascii="宋体" w:hAnsi="宋体"/>
          <w:color w:val="auto"/>
        </w:rPr>
        <w:t>机关运行费支出预算安排</w:t>
      </w:r>
      <w:r>
        <w:rPr>
          <w:rFonts w:hint="eastAsia" w:ascii="宋体" w:hAnsi="宋体"/>
          <w:color w:val="auto"/>
          <w:lang w:val="en-US" w:eastAsia="zh-CN"/>
        </w:rPr>
        <w:t>776.89</w:t>
      </w:r>
      <w:r>
        <w:rPr>
          <w:rFonts w:hint="eastAsia" w:ascii="宋体" w:hAnsi="宋体"/>
          <w:color w:val="auto"/>
        </w:rPr>
        <w:t>万元，较上年</w:t>
      </w:r>
      <w:r>
        <w:rPr>
          <w:rFonts w:hint="eastAsia" w:ascii="宋体" w:hAnsi="宋体"/>
          <w:color w:val="auto"/>
          <w:lang w:eastAsia="zh-CN"/>
        </w:rPr>
        <w:t>略下降</w:t>
      </w:r>
      <w:r>
        <w:rPr>
          <w:rFonts w:hint="eastAsia" w:ascii="宋体" w:hAnsi="宋体"/>
          <w:color w:val="auto"/>
          <w:lang w:val="en-US" w:eastAsia="zh-CN"/>
        </w:rPr>
        <w:t>6.91</w:t>
      </w:r>
      <w:r>
        <w:rPr>
          <w:rFonts w:hint="eastAsia" w:ascii="宋体" w:hAnsi="宋体"/>
          <w:color w:val="auto"/>
        </w:rPr>
        <w:t>%。</w:t>
      </w:r>
    </w:p>
    <w:p>
      <w:pPr>
        <w:tabs>
          <w:tab w:val="left" w:pos="1113"/>
        </w:tabs>
        <w:ind w:firstLine="643" w:firstLineChars="200"/>
        <w:rPr>
          <w:rFonts w:ascii="仿宋_GB2312" w:eastAsia="仿宋_GB2312" w:cs="Times New Roman"/>
          <w:b/>
          <w:bCs/>
          <w:sz w:val="32"/>
          <w:szCs w:val="32"/>
        </w:rPr>
      </w:pPr>
      <w:r>
        <w:rPr>
          <w:rFonts w:hint="eastAsia" w:ascii="仿宋_GB2312" w:hAnsi="宋体" w:eastAsia="仿宋_GB2312" w:cs="仿宋_GB2312"/>
          <w:b/>
          <w:bCs/>
          <w:sz w:val="32"/>
          <w:szCs w:val="32"/>
        </w:rPr>
        <w:t>二、2019年“三公”经费预算情况说明</w:t>
      </w:r>
    </w:p>
    <w:p>
      <w:pPr>
        <w:spacing w:line="360" w:lineRule="auto"/>
        <w:ind w:firstLine="420" w:firstLineChars="200"/>
        <w:rPr>
          <w:rFonts w:cs="Times New Roman" w:asciiTheme="minorEastAsia" w:hAnsiTheme="minorEastAsia" w:eastAsiaTheme="minorEastAsia"/>
        </w:rPr>
      </w:pPr>
      <w:r>
        <w:rPr>
          <w:rFonts w:hint="eastAsia" w:asciiTheme="minorEastAsia" w:hAnsiTheme="minorEastAsia" w:eastAsiaTheme="minorEastAsia"/>
        </w:rPr>
        <w:t>2019年</w:t>
      </w:r>
      <w:r>
        <w:rPr>
          <w:rFonts w:hint="eastAsia" w:asciiTheme="minorEastAsia" w:hAnsiTheme="minorEastAsia" w:eastAsiaTheme="minorEastAsia"/>
          <w:lang w:eastAsia="zh-CN"/>
        </w:rPr>
        <w:t>景德镇市珠山区人民法院</w:t>
      </w:r>
      <w:r>
        <w:rPr>
          <w:rFonts w:hint="eastAsia" w:cs="仿宋_GB2312" w:asciiTheme="minorEastAsia" w:hAnsiTheme="minorEastAsia" w:eastAsiaTheme="minorEastAsia"/>
        </w:rPr>
        <w:t>“三公”经费年初支出预算安排</w:t>
      </w:r>
      <w:r>
        <w:rPr>
          <w:rFonts w:hint="eastAsia" w:cs="仿宋_GB2312" w:asciiTheme="minorEastAsia" w:hAnsiTheme="minorEastAsia" w:eastAsiaTheme="minorEastAsia"/>
          <w:lang w:val="en-US" w:eastAsia="zh-CN"/>
        </w:rPr>
        <w:t>43.12</w:t>
      </w:r>
      <w:r>
        <w:rPr>
          <w:rFonts w:hint="eastAsia" w:cs="仿宋_GB2312" w:asciiTheme="minorEastAsia" w:hAnsiTheme="minorEastAsia" w:eastAsiaTheme="minorEastAsia"/>
        </w:rPr>
        <w:t>万元。其中：因公出国（境）费</w:t>
      </w:r>
      <w:r>
        <w:rPr>
          <w:rFonts w:hint="eastAsia" w:cs="仿宋_GB2312" w:asciiTheme="minorEastAsia" w:hAnsiTheme="minorEastAsia" w:eastAsiaTheme="minorEastAsia"/>
          <w:lang w:val="en-US" w:eastAsia="zh-CN"/>
        </w:rPr>
        <w:t>0</w:t>
      </w:r>
      <w:r>
        <w:rPr>
          <w:rFonts w:hint="eastAsia" w:cs="仿宋_GB2312" w:asciiTheme="minorEastAsia" w:hAnsiTheme="minorEastAsia" w:eastAsiaTheme="minorEastAsia"/>
        </w:rPr>
        <w:t>万元，</w:t>
      </w:r>
      <w:r>
        <w:rPr>
          <w:rFonts w:hint="eastAsia" w:asciiTheme="minorEastAsia" w:hAnsiTheme="minorEastAsia" w:eastAsiaTheme="minorEastAsia"/>
        </w:rPr>
        <w:t>与上年预算数一致。</w:t>
      </w:r>
    </w:p>
    <w:p>
      <w:pPr>
        <w:spacing w:line="360" w:lineRule="auto"/>
        <w:ind w:firstLine="420" w:firstLineChars="200"/>
        <w:rPr>
          <w:rFonts w:cs="Times New Roman" w:asciiTheme="minorEastAsia" w:hAnsiTheme="minorEastAsia" w:eastAsiaTheme="minorEastAsia"/>
        </w:rPr>
      </w:pPr>
      <w:r>
        <w:rPr>
          <w:rFonts w:hint="eastAsia" w:cs="仿宋_GB2312" w:asciiTheme="minorEastAsia" w:hAnsiTheme="minorEastAsia" w:eastAsiaTheme="minorEastAsia"/>
        </w:rPr>
        <w:t>公务接待费</w:t>
      </w:r>
      <w:r>
        <w:rPr>
          <w:rFonts w:hint="eastAsia" w:cs="仿宋_GB2312" w:asciiTheme="minorEastAsia" w:hAnsiTheme="minorEastAsia" w:eastAsiaTheme="minorEastAsia"/>
          <w:lang w:val="en-US" w:eastAsia="zh-CN"/>
        </w:rPr>
        <w:t>6.86</w:t>
      </w:r>
      <w:r>
        <w:rPr>
          <w:rFonts w:hint="eastAsia" w:cs="仿宋_GB2312" w:asciiTheme="minorEastAsia" w:hAnsiTheme="minorEastAsia" w:eastAsiaTheme="minorEastAsia"/>
        </w:rPr>
        <w:t>万元，比上年</w:t>
      </w:r>
      <w:r>
        <w:rPr>
          <w:rFonts w:hint="eastAsia" w:cs="仿宋_GB2312" w:asciiTheme="minorEastAsia" w:hAnsiTheme="minorEastAsia" w:eastAsiaTheme="minorEastAsia"/>
          <w:color w:val="auto"/>
        </w:rPr>
        <w:t>减少</w:t>
      </w:r>
      <w:r>
        <w:rPr>
          <w:rFonts w:hint="eastAsia" w:cs="仿宋_GB2312" w:asciiTheme="minorEastAsia" w:hAnsiTheme="minorEastAsia" w:eastAsiaTheme="minorEastAsia"/>
          <w:color w:val="auto"/>
          <w:lang w:val="en-US" w:eastAsia="zh-CN"/>
        </w:rPr>
        <w:t>0.14</w:t>
      </w:r>
      <w:r>
        <w:rPr>
          <w:rFonts w:hint="eastAsia" w:cs="仿宋_GB2312" w:asciiTheme="minorEastAsia" w:hAnsiTheme="minorEastAsia" w:eastAsiaTheme="minorEastAsia"/>
          <w:color w:val="auto"/>
        </w:rPr>
        <w:t>万元，主要</w:t>
      </w:r>
      <w:r>
        <w:rPr>
          <w:rFonts w:hint="eastAsia" w:cs="仿宋_GB2312" w:asciiTheme="minorEastAsia" w:hAnsiTheme="minorEastAsia" w:eastAsiaTheme="minorEastAsia"/>
        </w:rPr>
        <w:t>原因：</w:t>
      </w:r>
      <w:r>
        <w:rPr>
          <w:rFonts w:hint="eastAsia" w:asciiTheme="minorEastAsia" w:hAnsiTheme="minorEastAsia" w:eastAsiaTheme="minorEastAsia"/>
        </w:rPr>
        <w:t>继续严格贯彻中央“八项规定”，严格执行党政机关厉行节约反对浪费、国内公务接待等制度规定</w:t>
      </w:r>
      <w:r>
        <w:rPr>
          <w:rFonts w:hint="eastAsia" w:cs="仿宋_GB2312" w:asciiTheme="minorEastAsia" w:hAnsiTheme="minorEastAsia" w:eastAsiaTheme="minorEastAsia"/>
        </w:rPr>
        <w:t>。</w:t>
      </w:r>
    </w:p>
    <w:p>
      <w:pPr>
        <w:spacing w:line="360" w:lineRule="auto"/>
        <w:ind w:firstLine="420" w:firstLineChars="200"/>
        <w:rPr>
          <w:rFonts w:hint="eastAsia" w:cs="仿宋_GB2312" w:asciiTheme="minorEastAsia" w:hAnsiTheme="minorEastAsia" w:eastAsiaTheme="minorEastAsia"/>
        </w:rPr>
      </w:pPr>
      <w:r>
        <w:rPr>
          <w:rFonts w:hint="eastAsia" w:cs="仿宋_GB2312" w:asciiTheme="minorEastAsia" w:hAnsiTheme="minorEastAsia" w:eastAsiaTheme="minorEastAsia"/>
        </w:rPr>
        <w:t>公务用车运行维护</w:t>
      </w:r>
      <w:r>
        <w:rPr>
          <w:rFonts w:hint="eastAsia" w:cs="仿宋_GB2312" w:asciiTheme="minorEastAsia" w:hAnsiTheme="minorEastAsia" w:eastAsiaTheme="minorEastAsia"/>
          <w:lang w:eastAsia="zh-CN"/>
        </w:rPr>
        <w:t>及购置费</w:t>
      </w:r>
      <w:r>
        <w:rPr>
          <w:rFonts w:hint="eastAsia" w:cs="仿宋_GB2312" w:asciiTheme="minorEastAsia" w:hAnsiTheme="minorEastAsia" w:eastAsiaTheme="minorEastAsia"/>
          <w:lang w:val="en-US" w:eastAsia="zh-CN"/>
        </w:rPr>
        <w:t>36.26</w:t>
      </w:r>
      <w:r>
        <w:rPr>
          <w:rFonts w:hint="eastAsia" w:cs="仿宋_GB2312" w:asciiTheme="minorEastAsia" w:hAnsiTheme="minorEastAsia" w:eastAsiaTheme="minorEastAsia"/>
        </w:rPr>
        <w:t>万元，</w:t>
      </w:r>
      <w:r>
        <w:rPr>
          <w:rFonts w:hint="eastAsia" w:asciiTheme="minorEastAsia" w:hAnsiTheme="minorEastAsia" w:eastAsiaTheme="minorEastAsia"/>
        </w:rPr>
        <w:t>与上年预算数一致</w:t>
      </w:r>
      <w:r>
        <w:rPr>
          <w:rFonts w:hint="eastAsia" w:cs="仿宋_GB2312" w:asciiTheme="minorEastAsia" w:hAnsiTheme="minorEastAsia" w:eastAsiaTheme="minorEastAsia"/>
        </w:rPr>
        <w:t>。</w:t>
      </w:r>
    </w:p>
    <w:p>
      <w:pPr>
        <w:spacing w:line="360" w:lineRule="auto"/>
        <w:ind w:firstLine="420" w:firstLineChars="200"/>
        <w:rPr>
          <w:rFonts w:hint="eastAsia" w:cs="仿宋_GB2312" w:asciiTheme="minorEastAsia" w:hAnsiTheme="minorEastAsia" w:eastAsiaTheme="minorEastAsia"/>
        </w:rPr>
      </w:pPr>
    </w:p>
    <w:p>
      <w:pPr>
        <w:jc w:val="center"/>
        <w:rPr>
          <w:rFonts w:ascii="黑体" w:hAnsi="宋体" w:eastAsia="黑体" w:cs="黑体"/>
          <w:b/>
          <w:sz w:val="32"/>
          <w:szCs w:val="32"/>
        </w:rPr>
      </w:pPr>
      <w:r>
        <w:rPr>
          <w:rFonts w:hint="eastAsia" w:ascii="黑体" w:hAnsi="宋体" w:eastAsia="黑体" w:cs="黑体"/>
          <w:sz w:val="32"/>
          <w:szCs w:val="32"/>
        </w:rPr>
        <w:t>第三部分</w:t>
      </w:r>
      <w:r>
        <w:rPr>
          <w:rFonts w:ascii="黑体" w:hAnsi="宋体" w:eastAsia="黑体" w:cs="黑体"/>
          <w:sz w:val="32"/>
          <w:szCs w:val="32"/>
        </w:rPr>
        <w:t xml:space="preserve">  </w:t>
      </w:r>
      <w:r>
        <w:rPr>
          <w:rFonts w:hint="eastAsia" w:ascii="黑体" w:hAnsi="宋体" w:eastAsia="黑体" w:cs="黑体"/>
          <w:b/>
          <w:sz w:val="32"/>
          <w:szCs w:val="32"/>
          <w:lang w:eastAsia="zh-CN"/>
        </w:rPr>
        <w:t>景德镇市珠山区人民法院</w:t>
      </w:r>
      <w:r>
        <w:rPr>
          <w:rFonts w:hint="eastAsia" w:ascii="黑体" w:hAnsi="宋体" w:eastAsia="黑体" w:cs="黑体"/>
          <w:b/>
          <w:sz w:val="32"/>
          <w:szCs w:val="32"/>
        </w:rPr>
        <w:t>2019年部门预算表</w:t>
      </w:r>
    </w:p>
    <w:p>
      <w:pPr>
        <w:rPr>
          <w:rFonts w:hint="eastAsia" w:ascii="黑体" w:eastAsia="黑体" w:cs="Times New Roman"/>
          <w:sz w:val="32"/>
          <w:szCs w:val="32"/>
          <w:lang w:eastAsia="zh-CN"/>
        </w:rPr>
      </w:pPr>
      <w:r>
        <w:rPr>
          <w:rFonts w:hint="eastAsia" w:ascii="黑体" w:eastAsia="黑体" w:cs="Times New Roman"/>
          <w:sz w:val="32"/>
          <w:szCs w:val="32"/>
          <w:lang w:eastAsia="zh-CN"/>
        </w:rPr>
        <w:drawing>
          <wp:inline distT="0" distB="0" distL="114300" distR="114300">
            <wp:extent cx="5272405" cy="3091815"/>
            <wp:effectExtent l="0" t="0" r="4445" b="13335"/>
            <wp:docPr id="2" name="图片 2" descr="155600270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1556002706(1)"/>
                    <pic:cNvPicPr>
                      <a:picLocks noChangeAspect="1"/>
                    </pic:cNvPicPr>
                  </pic:nvPicPr>
                  <pic:blipFill>
                    <a:blip r:embed="rId5"/>
                    <a:stretch>
                      <a:fillRect/>
                    </a:stretch>
                  </pic:blipFill>
                  <pic:spPr>
                    <a:xfrm>
                      <a:off x="0" y="0"/>
                      <a:ext cx="5272405" cy="3091815"/>
                    </a:xfrm>
                    <a:prstGeom prst="rect">
                      <a:avLst/>
                    </a:prstGeom>
                  </pic:spPr>
                </pic:pic>
              </a:graphicData>
            </a:graphic>
          </wp:inline>
        </w:drawing>
      </w:r>
    </w:p>
    <w:p>
      <w:pPr>
        <w:rPr>
          <w:rFonts w:hint="eastAsia" w:ascii="黑体" w:eastAsia="黑体" w:cs="Times New Roman"/>
          <w:sz w:val="32"/>
          <w:szCs w:val="32"/>
          <w:lang w:eastAsia="zh-CN"/>
        </w:rPr>
      </w:pPr>
      <w:r>
        <w:rPr>
          <w:rFonts w:hint="eastAsia" w:ascii="黑体" w:eastAsia="黑体" w:cs="Times New Roman"/>
          <w:sz w:val="32"/>
          <w:szCs w:val="32"/>
          <w:lang w:eastAsia="zh-CN"/>
        </w:rPr>
        <w:drawing>
          <wp:inline distT="0" distB="0" distL="114300" distR="114300">
            <wp:extent cx="5267325" cy="1676400"/>
            <wp:effectExtent l="0" t="0" r="9525" b="0"/>
            <wp:docPr id="3" name="图片 3" descr="155600278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1556002784(1)"/>
                    <pic:cNvPicPr>
                      <a:picLocks noChangeAspect="1"/>
                    </pic:cNvPicPr>
                  </pic:nvPicPr>
                  <pic:blipFill>
                    <a:blip r:embed="rId6"/>
                    <a:stretch>
                      <a:fillRect/>
                    </a:stretch>
                  </pic:blipFill>
                  <pic:spPr>
                    <a:xfrm>
                      <a:off x="0" y="0"/>
                      <a:ext cx="5267325" cy="1676400"/>
                    </a:xfrm>
                    <a:prstGeom prst="rect">
                      <a:avLst/>
                    </a:prstGeom>
                  </pic:spPr>
                </pic:pic>
              </a:graphicData>
            </a:graphic>
          </wp:inline>
        </w:drawing>
      </w:r>
    </w:p>
    <w:p>
      <w:pPr>
        <w:rPr>
          <w:rFonts w:hint="eastAsia" w:ascii="黑体" w:eastAsia="黑体" w:cs="Times New Roman"/>
          <w:sz w:val="32"/>
          <w:szCs w:val="32"/>
          <w:lang w:eastAsia="zh-CN"/>
        </w:rPr>
      </w:pPr>
      <w:r>
        <w:rPr>
          <w:rFonts w:hint="eastAsia" w:ascii="黑体" w:eastAsia="黑体" w:cs="Times New Roman"/>
          <w:sz w:val="32"/>
          <w:szCs w:val="32"/>
          <w:lang w:eastAsia="zh-CN"/>
        </w:rPr>
        <w:drawing>
          <wp:inline distT="0" distB="0" distL="114300" distR="114300">
            <wp:extent cx="5549265" cy="1645920"/>
            <wp:effectExtent l="0" t="0" r="13335" b="11430"/>
            <wp:docPr id="4" name="图片 4" descr="155600284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556002847(1)"/>
                    <pic:cNvPicPr>
                      <a:picLocks noChangeAspect="1"/>
                    </pic:cNvPicPr>
                  </pic:nvPicPr>
                  <pic:blipFill>
                    <a:blip r:embed="rId7"/>
                    <a:stretch>
                      <a:fillRect/>
                    </a:stretch>
                  </pic:blipFill>
                  <pic:spPr>
                    <a:xfrm>
                      <a:off x="0" y="0"/>
                      <a:ext cx="5549265" cy="1645920"/>
                    </a:xfrm>
                    <a:prstGeom prst="rect">
                      <a:avLst/>
                    </a:prstGeom>
                  </pic:spPr>
                </pic:pic>
              </a:graphicData>
            </a:graphic>
          </wp:inline>
        </w:drawing>
      </w:r>
    </w:p>
    <w:p>
      <w:pPr>
        <w:rPr>
          <w:rFonts w:hint="eastAsia" w:ascii="黑体" w:eastAsia="黑体" w:cs="Times New Roman"/>
          <w:sz w:val="32"/>
          <w:szCs w:val="32"/>
        </w:rPr>
      </w:pPr>
    </w:p>
    <w:p>
      <w:pPr>
        <w:rPr>
          <w:rFonts w:hint="eastAsia" w:ascii="黑体" w:eastAsia="黑体" w:cs="Times New Roman"/>
          <w:sz w:val="32"/>
          <w:szCs w:val="32"/>
          <w:lang w:eastAsia="zh-CN"/>
        </w:rPr>
      </w:pPr>
      <w:r>
        <w:rPr>
          <w:rFonts w:hint="eastAsia" w:ascii="黑体" w:eastAsia="黑体" w:cs="Times New Roman"/>
          <w:sz w:val="32"/>
          <w:szCs w:val="32"/>
          <w:lang w:eastAsia="zh-CN"/>
        </w:rPr>
        <w:drawing>
          <wp:inline distT="0" distB="0" distL="114300" distR="114300">
            <wp:extent cx="5270500" cy="3139440"/>
            <wp:effectExtent l="0" t="0" r="6350" b="3810"/>
            <wp:docPr id="5" name="图片 5" descr="15560029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1556002917(1)"/>
                    <pic:cNvPicPr>
                      <a:picLocks noChangeAspect="1"/>
                    </pic:cNvPicPr>
                  </pic:nvPicPr>
                  <pic:blipFill>
                    <a:blip r:embed="rId8"/>
                    <a:stretch>
                      <a:fillRect/>
                    </a:stretch>
                  </pic:blipFill>
                  <pic:spPr>
                    <a:xfrm>
                      <a:off x="0" y="0"/>
                      <a:ext cx="5270500" cy="3139440"/>
                    </a:xfrm>
                    <a:prstGeom prst="rect">
                      <a:avLst/>
                    </a:prstGeom>
                  </pic:spPr>
                </pic:pic>
              </a:graphicData>
            </a:graphic>
          </wp:inline>
        </w:drawing>
      </w:r>
    </w:p>
    <w:p>
      <w:pPr>
        <w:rPr>
          <w:rFonts w:hint="eastAsia" w:ascii="黑体" w:eastAsia="黑体" w:cs="Times New Roman"/>
          <w:sz w:val="32"/>
          <w:szCs w:val="32"/>
          <w:lang w:eastAsia="zh-CN"/>
        </w:rPr>
      </w:pPr>
      <w:r>
        <w:rPr>
          <w:rFonts w:hint="eastAsia" w:ascii="黑体" w:eastAsia="黑体" w:cs="Times New Roman"/>
          <w:sz w:val="32"/>
          <w:szCs w:val="32"/>
          <w:lang w:eastAsia="zh-CN"/>
        </w:rPr>
        <w:drawing>
          <wp:inline distT="0" distB="0" distL="114300" distR="114300">
            <wp:extent cx="5262880" cy="1910715"/>
            <wp:effectExtent l="0" t="0" r="13970" b="13335"/>
            <wp:docPr id="6" name="图片 6" descr="155600299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1556002998(1)"/>
                    <pic:cNvPicPr>
                      <a:picLocks noChangeAspect="1"/>
                    </pic:cNvPicPr>
                  </pic:nvPicPr>
                  <pic:blipFill>
                    <a:blip r:embed="rId9"/>
                    <a:stretch>
                      <a:fillRect/>
                    </a:stretch>
                  </pic:blipFill>
                  <pic:spPr>
                    <a:xfrm>
                      <a:off x="0" y="0"/>
                      <a:ext cx="5262880" cy="1910715"/>
                    </a:xfrm>
                    <a:prstGeom prst="rect">
                      <a:avLst/>
                    </a:prstGeom>
                  </pic:spPr>
                </pic:pic>
              </a:graphicData>
            </a:graphic>
          </wp:inline>
        </w:drawing>
      </w:r>
    </w:p>
    <w:p>
      <w:pPr>
        <w:rPr>
          <w:rFonts w:hint="eastAsia" w:ascii="黑体" w:eastAsia="黑体" w:cs="Times New Roman"/>
          <w:sz w:val="32"/>
          <w:szCs w:val="32"/>
          <w:lang w:eastAsia="zh-CN"/>
        </w:rPr>
      </w:pPr>
      <w:r>
        <w:rPr>
          <w:rFonts w:hint="eastAsia" w:ascii="黑体" w:eastAsia="黑体" w:cs="Times New Roman"/>
          <w:sz w:val="32"/>
          <w:szCs w:val="32"/>
          <w:lang w:eastAsia="zh-CN"/>
        </w:rPr>
        <w:drawing>
          <wp:inline distT="0" distB="0" distL="114300" distR="114300">
            <wp:extent cx="5564505" cy="1613535"/>
            <wp:effectExtent l="0" t="0" r="17145" b="5715"/>
            <wp:docPr id="8" name="图片 8" descr="155599207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1555992072(1)"/>
                    <pic:cNvPicPr>
                      <a:picLocks noChangeAspect="1"/>
                    </pic:cNvPicPr>
                  </pic:nvPicPr>
                  <pic:blipFill>
                    <a:blip r:embed="rId10"/>
                    <a:stretch>
                      <a:fillRect/>
                    </a:stretch>
                  </pic:blipFill>
                  <pic:spPr>
                    <a:xfrm>
                      <a:off x="0" y="0"/>
                      <a:ext cx="5564505" cy="1613535"/>
                    </a:xfrm>
                    <a:prstGeom prst="rect">
                      <a:avLst/>
                    </a:prstGeom>
                  </pic:spPr>
                </pic:pic>
              </a:graphicData>
            </a:graphic>
          </wp:inline>
        </w:drawing>
      </w:r>
    </w:p>
    <w:p>
      <w:pPr>
        <w:rPr>
          <w:rFonts w:hint="eastAsia" w:ascii="黑体" w:eastAsia="黑体" w:cs="Times New Roman"/>
          <w:sz w:val="32"/>
          <w:szCs w:val="32"/>
          <w:lang w:eastAsia="zh-CN"/>
        </w:rPr>
      </w:pPr>
      <w:r>
        <w:rPr>
          <w:rFonts w:hint="eastAsia" w:ascii="黑体" w:eastAsia="黑体" w:cs="Times New Roman"/>
          <w:sz w:val="32"/>
          <w:szCs w:val="32"/>
          <w:lang w:eastAsia="zh-CN"/>
        </w:rPr>
        <w:drawing>
          <wp:inline distT="0" distB="0" distL="114300" distR="114300">
            <wp:extent cx="5264150" cy="1612265"/>
            <wp:effectExtent l="0" t="0" r="12700" b="6985"/>
            <wp:docPr id="7" name="图片 7" descr="155600307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1556003072(1)"/>
                    <pic:cNvPicPr>
                      <a:picLocks noChangeAspect="1"/>
                    </pic:cNvPicPr>
                  </pic:nvPicPr>
                  <pic:blipFill>
                    <a:blip r:embed="rId11"/>
                    <a:stretch>
                      <a:fillRect/>
                    </a:stretch>
                  </pic:blipFill>
                  <pic:spPr>
                    <a:xfrm>
                      <a:off x="0" y="0"/>
                      <a:ext cx="5264150" cy="1612265"/>
                    </a:xfrm>
                    <a:prstGeom prst="rect">
                      <a:avLst/>
                    </a:prstGeom>
                  </pic:spPr>
                </pic:pic>
              </a:graphicData>
            </a:graphic>
          </wp:inline>
        </w:drawing>
      </w:r>
      <w:bookmarkStart w:id="0" w:name="_GoBack"/>
      <w:bookmarkEnd w:id="0"/>
    </w:p>
    <w:p>
      <w:pPr>
        <w:rPr>
          <w:rFonts w:hint="eastAsia" w:ascii="黑体" w:eastAsia="黑体" w:cs="Times New Roman"/>
          <w:sz w:val="32"/>
          <w:szCs w:val="32"/>
          <w:lang w:eastAsia="zh-CN"/>
        </w:rPr>
      </w:pPr>
      <w:r>
        <w:rPr>
          <w:rFonts w:hint="eastAsia" w:ascii="黑体" w:eastAsia="黑体" w:cs="Times New Roman"/>
          <w:sz w:val="32"/>
          <w:szCs w:val="32"/>
          <w:lang w:eastAsia="zh-CN"/>
        </w:rPr>
        <w:drawing>
          <wp:inline distT="0" distB="0" distL="114300" distR="114300">
            <wp:extent cx="5669280" cy="1490345"/>
            <wp:effectExtent l="0" t="0" r="7620" b="14605"/>
            <wp:docPr id="9" name="图片 9" descr="155599214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1555992148(1)"/>
                    <pic:cNvPicPr>
                      <a:picLocks noChangeAspect="1"/>
                    </pic:cNvPicPr>
                  </pic:nvPicPr>
                  <pic:blipFill>
                    <a:blip r:embed="rId12"/>
                    <a:stretch>
                      <a:fillRect/>
                    </a:stretch>
                  </pic:blipFill>
                  <pic:spPr>
                    <a:xfrm>
                      <a:off x="0" y="0"/>
                      <a:ext cx="5669280" cy="1490345"/>
                    </a:xfrm>
                    <a:prstGeom prst="rect">
                      <a:avLst/>
                    </a:prstGeom>
                  </pic:spPr>
                </pic:pic>
              </a:graphicData>
            </a:graphic>
          </wp:inline>
        </w:drawing>
      </w:r>
    </w:p>
    <w:p>
      <w:pPr>
        <w:jc w:val="center"/>
        <w:rPr>
          <w:rFonts w:ascii="仿宋_GB2312" w:eastAsia="仿宋_GB2312" w:cs="Times New Roman"/>
          <w:b/>
          <w:bCs/>
          <w:sz w:val="32"/>
          <w:szCs w:val="32"/>
        </w:rPr>
      </w:pPr>
      <w:r>
        <w:rPr>
          <w:rFonts w:hint="eastAsia" w:ascii="黑体" w:hAnsi="宋体" w:eastAsia="黑体" w:cs="黑体"/>
          <w:sz w:val="32"/>
          <w:szCs w:val="32"/>
        </w:rPr>
        <w:t>第四部分</w:t>
      </w:r>
      <w:r>
        <w:rPr>
          <w:rFonts w:ascii="黑体" w:hAnsi="宋体" w:eastAsia="黑体" w:cs="黑体"/>
          <w:sz w:val="32"/>
          <w:szCs w:val="32"/>
        </w:rPr>
        <w:t xml:space="preserve">  </w:t>
      </w:r>
      <w:r>
        <w:rPr>
          <w:rFonts w:hint="eastAsia" w:ascii="黑体" w:hAnsi="宋体" w:eastAsia="黑体" w:cs="黑体"/>
          <w:sz w:val="32"/>
          <w:szCs w:val="32"/>
        </w:rPr>
        <w:t>名词解释</w:t>
      </w:r>
    </w:p>
    <w:p>
      <w:pPr>
        <w:pStyle w:val="14"/>
        <w:shd w:val="clear" w:color="auto" w:fill="FFFFFF"/>
        <w:spacing w:before="0" w:beforeAutospacing="0" w:after="0" w:afterAutospacing="0" w:line="360" w:lineRule="auto"/>
        <w:rPr>
          <w:rFonts w:cs="仿宋_GB2312" w:asciiTheme="minorEastAsia" w:hAnsiTheme="minorEastAsia" w:eastAsiaTheme="minorEastAsia"/>
          <w:kern w:val="2"/>
          <w:sz w:val="21"/>
          <w:szCs w:val="21"/>
        </w:rPr>
      </w:pPr>
      <w:r>
        <w:rPr>
          <w:rFonts w:hint="eastAsia" w:cs="仿宋_GB2312" w:asciiTheme="minorEastAsia" w:hAnsiTheme="minorEastAsia" w:eastAsiaTheme="minorEastAsia"/>
          <w:kern w:val="2"/>
          <w:sz w:val="21"/>
          <w:szCs w:val="21"/>
        </w:rPr>
        <w:t>1、经济科目：指政府支出按经济性质和具体用途所作的一种分类科目，具体设类、款两级。</w:t>
      </w:r>
    </w:p>
    <w:p>
      <w:pPr>
        <w:pStyle w:val="14"/>
        <w:shd w:val="clear" w:color="auto" w:fill="FFFFFF"/>
        <w:spacing w:before="0" w:beforeAutospacing="0" w:after="0" w:afterAutospacing="0" w:line="360" w:lineRule="auto"/>
        <w:rPr>
          <w:rFonts w:cs="仿宋_GB2312" w:asciiTheme="minorEastAsia" w:hAnsiTheme="minorEastAsia" w:eastAsiaTheme="minorEastAsia"/>
          <w:kern w:val="2"/>
          <w:sz w:val="21"/>
          <w:szCs w:val="21"/>
        </w:rPr>
      </w:pPr>
      <w:r>
        <w:rPr>
          <w:rFonts w:hint="eastAsia" w:cs="仿宋_GB2312" w:asciiTheme="minorEastAsia" w:hAnsiTheme="minorEastAsia" w:eastAsiaTheme="minorEastAsia"/>
          <w:kern w:val="2"/>
          <w:sz w:val="21"/>
          <w:szCs w:val="21"/>
        </w:rPr>
        <w:t>2、功能科目：指政府支出按其主要职能活动所作的一种分类科目，主要反映政府活动的不同功能和政策目标，具体设类、款、项三级。</w:t>
      </w:r>
    </w:p>
    <w:p>
      <w:pPr>
        <w:pStyle w:val="14"/>
        <w:shd w:val="clear" w:color="auto" w:fill="FFFFFF"/>
        <w:spacing w:before="0" w:beforeAutospacing="0" w:after="0" w:afterAutospacing="0" w:line="360" w:lineRule="auto"/>
        <w:rPr>
          <w:rFonts w:cs="仿宋_GB2312" w:asciiTheme="minorEastAsia" w:hAnsiTheme="minorEastAsia" w:eastAsiaTheme="minorEastAsia"/>
          <w:kern w:val="2"/>
          <w:sz w:val="21"/>
          <w:szCs w:val="21"/>
        </w:rPr>
      </w:pPr>
      <w:r>
        <w:rPr>
          <w:rFonts w:hint="eastAsia" w:cs="仿宋_GB2312" w:asciiTheme="minorEastAsia" w:hAnsiTheme="minorEastAsia" w:eastAsiaTheme="minorEastAsia"/>
          <w:kern w:val="2"/>
          <w:sz w:val="21"/>
          <w:szCs w:val="21"/>
        </w:rPr>
        <w:t>3、基本支出：指行政事业单位为保障其机构正常运转、完成日常工作任务而编制的年度基本支出计划，内容包括人员经费和日常公用经费两部分。</w:t>
      </w:r>
    </w:p>
    <w:p>
      <w:pPr>
        <w:pStyle w:val="14"/>
        <w:shd w:val="clear" w:color="auto" w:fill="FFFFFF"/>
        <w:spacing w:before="0" w:beforeAutospacing="0" w:after="0" w:afterAutospacing="0" w:line="360" w:lineRule="auto"/>
        <w:rPr>
          <w:rFonts w:cs="仿宋_GB2312" w:asciiTheme="minorEastAsia" w:hAnsiTheme="minorEastAsia" w:eastAsiaTheme="minorEastAsia"/>
          <w:kern w:val="2"/>
          <w:sz w:val="21"/>
          <w:szCs w:val="21"/>
        </w:rPr>
      </w:pPr>
      <w:r>
        <w:rPr>
          <w:rFonts w:hint="eastAsia" w:cs="仿宋_GB2312" w:asciiTheme="minorEastAsia" w:hAnsiTheme="minorEastAsia" w:eastAsiaTheme="minorEastAsia"/>
          <w:kern w:val="2"/>
          <w:sz w:val="21"/>
          <w:szCs w:val="21"/>
        </w:rPr>
        <w:t>4、机关运行经费：是指为保障行政单位（包括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及其他费用。</w:t>
      </w:r>
    </w:p>
    <w:p>
      <w:pPr>
        <w:pStyle w:val="14"/>
        <w:shd w:val="clear" w:color="auto" w:fill="FFFFFF"/>
        <w:spacing w:before="0" w:beforeAutospacing="0" w:after="0" w:afterAutospacing="0" w:line="360" w:lineRule="auto"/>
        <w:rPr>
          <w:rFonts w:cs="仿宋_GB2312" w:asciiTheme="minorEastAsia" w:hAnsiTheme="minorEastAsia" w:eastAsiaTheme="minorEastAsia"/>
          <w:kern w:val="2"/>
          <w:sz w:val="21"/>
          <w:szCs w:val="21"/>
        </w:rPr>
      </w:pPr>
      <w:r>
        <w:rPr>
          <w:rFonts w:hint="eastAsia" w:cs="仿宋_GB2312" w:asciiTheme="minorEastAsia" w:hAnsiTheme="minorEastAsia" w:eastAsiaTheme="minorEastAsia"/>
          <w:kern w:val="2"/>
          <w:sz w:val="21"/>
          <w:szCs w:val="21"/>
        </w:rPr>
        <w:t>5、一般公共预算收入：一般公共预算收入是指政府凭借国家政治权力，以社会管理者身份筹集以税收为主体的财政收入，主要用于保障和改善民生、维持国家行政职能正常运转、保障国家安全等方面。包括税收收入和非税收入，其中：税收收入主要包括增值税、营业税、企业所得税、个人所得税等，非税收入主要包括纳入预算管理的行政性收费、罚没收入、专项收入、国有资源（资产）有偿使用收入等。</w:t>
      </w:r>
    </w:p>
    <w:p>
      <w:pPr>
        <w:pStyle w:val="14"/>
        <w:shd w:val="clear" w:color="auto" w:fill="FFFFFF"/>
        <w:spacing w:before="0" w:beforeAutospacing="0" w:after="0" w:afterAutospacing="0" w:line="360" w:lineRule="auto"/>
        <w:rPr>
          <w:rFonts w:cs="仿宋_GB2312" w:asciiTheme="minorEastAsia" w:hAnsiTheme="minorEastAsia" w:eastAsiaTheme="minorEastAsia"/>
          <w:kern w:val="2"/>
          <w:sz w:val="21"/>
          <w:szCs w:val="21"/>
        </w:rPr>
      </w:pPr>
      <w:r>
        <w:rPr>
          <w:rFonts w:hint="eastAsia" w:cs="仿宋_GB2312" w:asciiTheme="minorEastAsia" w:hAnsiTheme="minorEastAsia" w:eastAsiaTheme="minorEastAsia"/>
          <w:kern w:val="2"/>
          <w:sz w:val="21"/>
          <w:szCs w:val="21"/>
        </w:rPr>
        <w:t>6、一般公共预算支出：一般公共预算支出是指通过一般公共预算收入统筹安排的支出。其功能分类范围主要包括：一般公共服务、公共安全、教育、科学技术、文化体育与传媒、社会保障和就业、医疗卫生、节能环保、城乡社区事务、农林水事务、交通运输、商业服务业等事务、国土资源气象等事物、住房保障支出等。</w:t>
      </w:r>
    </w:p>
    <w:p>
      <w:pPr>
        <w:pStyle w:val="14"/>
        <w:shd w:val="clear" w:color="auto" w:fill="FFFFFF"/>
        <w:spacing w:before="0" w:beforeAutospacing="0" w:after="0" w:afterAutospacing="0" w:line="360" w:lineRule="auto"/>
        <w:rPr>
          <w:rFonts w:cs="仿宋_GB2312" w:asciiTheme="minorEastAsia" w:hAnsiTheme="minorEastAsia" w:eastAsiaTheme="minorEastAsia"/>
          <w:kern w:val="2"/>
          <w:sz w:val="21"/>
          <w:szCs w:val="21"/>
        </w:rPr>
      </w:pPr>
      <w:r>
        <w:rPr>
          <w:rFonts w:hint="eastAsia" w:cs="仿宋_GB2312" w:asciiTheme="minorEastAsia" w:hAnsiTheme="minorEastAsia" w:eastAsiaTheme="minorEastAsia"/>
          <w:kern w:val="2"/>
          <w:sz w:val="21"/>
          <w:szCs w:val="21"/>
        </w:rPr>
        <w:t>7、三公经费：“三公”经费预算数是指各部门从年初预算安排用于因公出国（境）费用、公务用车购置及运行维护费、公务接待费用的预算数。其中，因公出国（境）费，指单位工作人员公务出国（境）的住宿费、差旅费、伙食补助费、杂费、培训费等支出；公务用车购置及运行维护费，指单位公务用车购置费及租用费、燃料费、维修费、过路过桥费、保险费等支出；公务接待费，指单位按规定开支的各类公务接待支出。</w:t>
      </w:r>
    </w:p>
    <w:p>
      <w:pPr>
        <w:pStyle w:val="14"/>
        <w:shd w:val="clear" w:color="auto" w:fill="FFFFFF"/>
        <w:spacing w:before="0" w:beforeAutospacing="0" w:after="0" w:afterAutospacing="0" w:line="360" w:lineRule="auto"/>
        <w:rPr>
          <w:rFonts w:hint="eastAsia" w:cs="仿宋_GB2312" w:asciiTheme="minorEastAsia" w:hAnsiTheme="minorEastAsia" w:eastAsiaTheme="minorEastAsia"/>
          <w:kern w:val="2"/>
          <w:sz w:val="21"/>
          <w:szCs w:val="21"/>
        </w:rPr>
      </w:pPr>
      <w:r>
        <w:rPr>
          <w:rFonts w:hint="eastAsia" w:cs="仿宋_GB2312" w:asciiTheme="minorEastAsia" w:hAnsiTheme="minorEastAsia" w:eastAsiaTheme="minorEastAsia"/>
          <w:kern w:val="2"/>
          <w:sz w:val="21"/>
          <w:szCs w:val="21"/>
        </w:rPr>
        <w:t>8、政府采购：也称公共采购，是指各级国家机关、实行预算管理的事业单位和社会团体，采取竞争、择优、公开的形式，使用财政性资金，以购买、租赁、委托或雇佣等方法取得货物、工程和服务的行为。</w:t>
      </w:r>
    </w:p>
    <w:p>
      <w:pPr>
        <w:pStyle w:val="14"/>
        <w:shd w:val="clear" w:color="auto" w:fill="FFFFFF"/>
        <w:spacing w:before="0" w:beforeAutospacing="0" w:after="0" w:afterAutospacing="0" w:line="360" w:lineRule="auto"/>
        <w:rPr>
          <w:rFonts w:hint="eastAsia" w:ascii="Tahoma" w:hAnsi="Tahoma" w:cs="Tahoma"/>
          <w:color w:val="383838"/>
          <w:sz w:val="21"/>
          <w:szCs w:val="21"/>
          <w:shd w:val="clear" w:color="auto" w:fill="FFFFFF"/>
        </w:rPr>
      </w:pPr>
      <w:r>
        <w:rPr>
          <w:rFonts w:hint="eastAsia" w:cs="仿宋_GB2312" w:asciiTheme="minorEastAsia" w:hAnsiTheme="minorEastAsia" w:eastAsiaTheme="minorEastAsia"/>
          <w:kern w:val="2"/>
          <w:sz w:val="21"/>
          <w:szCs w:val="21"/>
        </w:rPr>
        <w:t>9、</w:t>
      </w:r>
      <w:r>
        <w:rPr>
          <w:rFonts w:ascii="Tahoma" w:hAnsi="Tahoma" w:cs="Tahoma"/>
          <w:color w:val="383838"/>
          <w:sz w:val="21"/>
          <w:szCs w:val="21"/>
          <w:shd w:val="clear" w:color="auto" w:fill="FFFFFF"/>
        </w:rPr>
        <w:t>一般公共安全(类)法院(款)</w:t>
      </w:r>
    </w:p>
    <w:p>
      <w:pPr>
        <w:pStyle w:val="14"/>
        <w:shd w:val="clear" w:color="auto" w:fill="FFFFFF"/>
        <w:spacing w:before="0" w:beforeAutospacing="0" w:after="0" w:afterAutospacing="0" w:line="360" w:lineRule="auto"/>
        <w:rPr>
          <w:rFonts w:hint="eastAsia" w:ascii="Tahoma" w:hAnsi="Tahoma" w:cs="Tahoma"/>
          <w:color w:val="383838"/>
          <w:sz w:val="21"/>
          <w:szCs w:val="21"/>
          <w:shd w:val="clear" w:color="auto" w:fill="FFFFFF"/>
        </w:rPr>
      </w:pPr>
      <w:r>
        <w:rPr>
          <w:rFonts w:ascii="Tahoma" w:hAnsi="Tahoma" w:cs="Tahoma"/>
          <w:color w:val="383838"/>
          <w:sz w:val="21"/>
          <w:szCs w:val="21"/>
          <w:shd w:val="clear" w:color="auto" w:fill="FFFFFF"/>
        </w:rPr>
        <w:t>行政运行(项)：指用于保障机构正常运行、开展日常工作的基本支出。</w:t>
      </w:r>
    </w:p>
    <w:p>
      <w:pPr>
        <w:pStyle w:val="14"/>
        <w:shd w:val="clear" w:color="auto" w:fill="FFFFFF"/>
        <w:spacing w:before="0" w:beforeAutospacing="0" w:after="0" w:afterAutospacing="0" w:line="360" w:lineRule="auto"/>
        <w:rPr>
          <w:rFonts w:hint="eastAsia" w:ascii="Tahoma" w:hAnsi="Tahoma" w:cs="Tahoma"/>
          <w:color w:val="383838"/>
          <w:sz w:val="21"/>
          <w:szCs w:val="21"/>
          <w:shd w:val="clear" w:color="auto" w:fill="FFFFFF"/>
        </w:rPr>
      </w:pPr>
      <w:r>
        <w:rPr>
          <w:rFonts w:ascii="Tahoma" w:hAnsi="Tahoma" w:cs="Tahoma"/>
          <w:color w:val="383838"/>
          <w:sz w:val="21"/>
          <w:szCs w:val="21"/>
          <w:shd w:val="clear" w:color="auto" w:fill="FFFFFF"/>
        </w:rPr>
        <w:t>其他法院支出(项)：指反映除上述项目以外其他拥有法院方面的支出。</w:t>
      </w:r>
    </w:p>
    <w:p>
      <w:pPr>
        <w:pStyle w:val="14"/>
        <w:shd w:val="clear" w:color="auto" w:fill="FFFFFF"/>
        <w:spacing w:before="0" w:beforeAutospacing="0" w:after="0" w:afterAutospacing="0" w:line="360" w:lineRule="auto"/>
        <w:rPr>
          <w:rFonts w:hint="eastAsia" w:ascii="Tahoma" w:hAnsi="Tahoma" w:cs="Tahoma"/>
          <w:color w:val="383838"/>
          <w:sz w:val="21"/>
          <w:szCs w:val="21"/>
          <w:shd w:val="clear" w:color="auto" w:fill="FFFFFF"/>
        </w:rPr>
      </w:pPr>
      <w:r>
        <w:rPr>
          <w:rFonts w:hint="eastAsia" w:ascii="Tahoma" w:hAnsi="Tahoma" w:cs="Tahoma"/>
          <w:color w:val="383838"/>
          <w:sz w:val="21"/>
          <w:szCs w:val="21"/>
          <w:shd w:val="clear" w:color="auto" w:fill="FFFFFF"/>
        </w:rPr>
        <w:t>10、</w:t>
      </w:r>
      <w:r>
        <w:rPr>
          <w:rFonts w:ascii="Tahoma" w:hAnsi="Tahoma" w:cs="Tahoma"/>
          <w:color w:val="383838"/>
          <w:sz w:val="21"/>
          <w:szCs w:val="21"/>
          <w:shd w:val="clear" w:color="auto" w:fill="FFFFFF"/>
        </w:rPr>
        <w:t>社会保障和就业支出(类)行政事业单位离退休(款)</w:t>
      </w:r>
    </w:p>
    <w:p>
      <w:pPr>
        <w:pStyle w:val="14"/>
        <w:shd w:val="clear" w:color="auto" w:fill="FFFFFF"/>
        <w:spacing w:before="0" w:beforeAutospacing="0" w:after="0" w:afterAutospacing="0" w:line="360" w:lineRule="auto"/>
        <w:rPr>
          <w:rFonts w:hint="eastAsia" w:ascii="Tahoma" w:hAnsi="Tahoma" w:cs="Tahoma"/>
          <w:color w:val="383838"/>
          <w:sz w:val="21"/>
          <w:szCs w:val="21"/>
          <w:shd w:val="clear" w:color="auto" w:fill="FFFFFF"/>
        </w:rPr>
      </w:pPr>
      <w:r>
        <w:rPr>
          <w:rFonts w:ascii="Tahoma" w:hAnsi="Tahoma" w:cs="Tahoma"/>
          <w:color w:val="383838"/>
          <w:sz w:val="21"/>
          <w:szCs w:val="21"/>
          <w:shd w:val="clear" w:color="auto" w:fill="FFFFFF"/>
        </w:rPr>
        <w:t>机关事业单位基本养老保险缴费支出(项)：指反映机关事业单位实施养老保险制度由单位缴纳的基本养老保险费支出。</w:t>
      </w:r>
    </w:p>
    <w:p>
      <w:pPr>
        <w:pStyle w:val="14"/>
        <w:shd w:val="clear" w:color="auto" w:fill="FFFFFF"/>
        <w:spacing w:before="0" w:beforeAutospacing="0" w:after="0" w:afterAutospacing="0" w:line="360" w:lineRule="auto"/>
        <w:rPr>
          <w:rFonts w:hint="eastAsia" w:ascii="Tahoma" w:hAnsi="Tahoma" w:cs="Tahoma"/>
          <w:color w:val="383838"/>
          <w:sz w:val="21"/>
          <w:szCs w:val="21"/>
          <w:shd w:val="clear" w:color="auto" w:fill="FFFFFF"/>
        </w:rPr>
      </w:pPr>
      <w:r>
        <w:rPr>
          <w:rFonts w:hint="eastAsia" w:ascii="Tahoma" w:hAnsi="Tahoma" w:cs="Tahoma"/>
          <w:color w:val="383838"/>
          <w:sz w:val="21"/>
          <w:szCs w:val="21"/>
          <w:shd w:val="clear" w:color="auto" w:fill="FFFFFF"/>
        </w:rPr>
        <w:t>11、</w:t>
      </w:r>
      <w:r>
        <w:rPr>
          <w:rFonts w:ascii="Tahoma" w:hAnsi="Tahoma" w:cs="Tahoma"/>
          <w:color w:val="383838"/>
          <w:sz w:val="21"/>
          <w:szCs w:val="21"/>
          <w:shd w:val="clear" w:color="auto" w:fill="FFFFFF"/>
        </w:rPr>
        <w:t>卫生健康支出支出(类)行政事业单位医疗(款)</w:t>
      </w:r>
    </w:p>
    <w:p>
      <w:pPr>
        <w:pStyle w:val="14"/>
        <w:shd w:val="clear" w:color="auto" w:fill="FFFFFF"/>
        <w:spacing w:before="0" w:beforeAutospacing="0" w:after="0" w:afterAutospacing="0" w:line="360" w:lineRule="auto"/>
        <w:rPr>
          <w:rFonts w:hint="eastAsia" w:ascii="Tahoma" w:hAnsi="Tahoma" w:cs="Tahoma"/>
          <w:color w:val="383838"/>
          <w:sz w:val="21"/>
          <w:szCs w:val="21"/>
        </w:rPr>
      </w:pPr>
      <w:r>
        <w:rPr>
          <w:rFonts w:hint="eastAsia" w:ascii="Tahoma" w:hAnsi="Tahoma" w:cs="Tahoma"/>
          <w:color w:val="383838"/>
          <w:sz w:val="21"/>
          <w:szCs w:val="21"/>
          <w:shd w:val="clear" w:color="auto" w:fill="FFFFFF"/>
        </w:rPr>
        <w:t>其他</w:t>
      </w:r>
      <w:r>
        <w:rPr>
          <w:rFonts w:ascii="Tahoma" w:hAnsi="Tahoma" w:cs="Tahoma"/>
          <w:color w:val="383838"/>
          <w:sz w:val="21"/>
          <w:szCs w:val="21"/>
          <w:shd w:val="clear" w:color="auto" w:fill="FFFFFF"/>
        </w:rPr>
        <w:t>行政</w:t>
      </w:r>
      <w:r>
        <w:rPr>
          <w:rFonts w:hint="eastAsia" w:ascii="Tahoma" w:hAnsi="Tahoma" w:cs="Tahoma"/>
          <w:color w:val="383838"/>
          <w:sz w:val="21"/>
          <w:szCs w:val="21"/>
          <w:shd w:val="clear" w:color="auto" w:fill="FFFFFF"/>
        </w:rPr>
        <w:t>事业</w:t>
      </w:r>
      <w:r>
        <w:rPr>
          <w:rFonts w:ascii="Tahoma" w:hAnsi="Tahoma" w:cs="Tahoma"/>
          <w:color w:val="383838"/>
          <w:sz w:val="21"/>
          <w:szCs w:val="21"/>
          <w:shd w:val="clear" w:color="auto" w:fill="FFFFFF"/>
        </w:rPr>
        <w:t>单位医疗</w:t>
      </w:r>
      <w:r>
        <w:rPr>
          <w:rFonts w:hint="eastAsia" w:ascii="Tahoma" w:hAnsi="Tahoma" w:cs="Tahoma"/>
          <w:color w:val="383838"/>
          <w:sz w:val="21"/>
          <w:szCs w:val="21"/>
          <w:shd w:val="clear" w:color="auto" w:fill="FFFFFF"/>
        </w:rPr>
        <w:t>支出</w:t>
      </w:r>
      <w:r>
        <w:rPr>
          <w:rFonts w:ascii="Tahoma" w:hAnsi="Tahoma" w:cs="Tahoma"/>
          <w:color w:val="383838"/>
          <w:sz w:val="21"/>
          <w:szCs w:val="21"/>
          <w:shd w:val="clear" w:color="auto" w:fill="FFFFFF"/>
        </w:rPr>
        <w:t>(项)：指反映财政部门集中安排的行政单位基本医疗保险缴费经费，未参加医疗保险的行政单位的公费医疗经费，按国家规定享受离休人员、红军战士待遇人员的医疗经费。</w:t>
      </w:r>
    </w:p>
    <w:p>
      <w:pPr>
        <w:pStyle w:val="14"/>
        <w:shd w:val="clear" w:color="auto" w:fill="FFFFFF"/>
        <w:spacing w:before="0" w:beforeAutospacing="0" w:after="0" w:afterAutospacing="0" w:line="360" w:lineRule="auto"/>
        <w:rPr>
          <w:rFonts w:hint="eastAsia" w:ascii="Tahoma" w:hAnsi="Tahoma" w:cs="Tahoma"/>
          <w:color w:val="383838"/>
          <w:sz w:val="21"/>
          <w:szCs w:val="21"/>
          <w:shd w:val="clear" w:color="auto" w:fill="FFFFFF"/>
        </w:rPr>
      </w:pPr>
      <w:r>
        <w:rPr>
          <w:rFonts w:hint="eastAsia" w:ascii="Tahoma" w:hAnsi="Tahoma" w:cs="Tahoma"/>
          <w:color w:val="383838"/>
          <w:sz w:val="21"/>
          <w:szCs w:val="21"/>
        </w:rPr>
        <w:t>12、</w:t>
      </w:r>
      <w:r>
        <w:rPr>
          <w:rFonts w:ascii="Tahoma" w:hAnsi="Tahoma" w:cs="Tahoma"/>
          <w:color w:val="383838"/>
          <w:sz w:val="21"/>
          <w:szCs w:val="21"/>
          <w:shd w:val="clear" w:color="auto" w:fill="FFFFFF"/>
        </w:rPr>
        <w:t>住房保障支出(类)住房改革支出(款)</w:t>
      </w:r>
    </w:p>
    <w:p>
      <w:pPr>
        <w:pStyle w:val="14"/>
        <w:shd w:val="clear" w:color="auto" w:fill="FFFFFF"/>
        <w:spacing w:before="0" w:beforeAutospacing="0" w:after="0" w:afterAutospacing="0" w:line="360" w:lineRule="auto"/>
        <w:rPr>
          <w:rFonts w:cs="仿宋_GB2312" w:asciiTheme="minorEastAsia" w:hAnsiTheme="minorEastAsia" w:eastAsiaTheme="minorEastAsia"/>
          <w:kern w:val="2"/>
          <w:sz w:val="21"/>
          <w:szCs w:val="21"/>
        </w:rPr>
      </w:pPr>
      <w:r>
        <w:rPr>
          <w:rFonts w:ascii="Tahoma" w:hAnsi="Tahoma" w:cs="Tahoma"/>
          <w:color w:val="383838"/>
          <w:sz w:val="21"/>
          <w:szCs w:val="21"/>
          <w:shd w:val="clear" w:color="auto" w:fill="FFFFFF"/>
        </w:rPr>
        <w:t>住房公积金(项)：指反映行政事业单位按人力资源和社会保障部、财政部规定的基本工资和津贴补贴以及规定比例为职工缴纳的住房公积金。</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Fonts w:cs="Times New Roman"/>
      </w:rPr>
    </w:pPr>
    <w:r>
      <w:rPr>
        <w:rStyle w:val="8"/>
      </w:rPr>
      <w:fldChar w:fldCharType="begin"/>
    </w:r>
    <w:r>
      <w:rPr>
        <w:rStyle w:val="8"/>
      </w:rPr>
      <w:instrText xml:space="preserve">PAGE  </w:instrText>
    </w:r>
    <w:r>
      <w:rPr>
        <w:rStyle w:val="8"/>
      </w:rPr>
      <w:fldChar w:fldCharType="separate"/>
    </w:r>
    <w:r>
      <w:rPr>
        <w:rStyle w:val="8"/>
      </w:rPr>
      <w:t>3</w:t>
    </w:r>
    <w:r>
      <w:rPr>
        <w:rStyle w:val="8"/>
      </w:rPr>
      <w:fldChar w:fldCharType="end"/>
    </w:r>
  </w:p>
  <w:p>
    <w:pPr>
      <w:pStyle w:val="4"/>
      <w:rPr>
        <w:rFonts w:cs="Times New Roman"/>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5EDD66"/>
    <w:multiLevelType w:val="singleLevel"/>
    <w:tmpl w:val="0E5EDD66"/>
    <w:lvl w:ilvl="0" w:tentative="0">
      <w:start w:val="1"/>
      <w:numFmt w:val="chineseCounting"/>
      <w:suff w:val="space"/>
      <w:lvlText w:val="第%1部分"/>
      <w:lvlJc w:val="left"/>
      <w:rPr>
        <w:rFonts w:hint="eastAsia"/>
      </w:rPr>
    </w:lvl>
  </w:abstractNum>
  <w:abstractNum w:abstractNumId="1">
    <w:nsid w:val="59A778CA"/>
    <w:multiLevelType w:val="singleLevel"/>
    <w:tmpl w:val="59A778CA"/>
    <w:lvl w:ilvl="0" w:tentative="0">
      <w:start w:val="4"/>
      <w:numFmt w:val="chineseCounting"/>
      <w:suff w:val="nothing"/>
      <w:lvlText w:val="（%1）"/>
      <w:lvlJc w:val="left"/>
    </w:lvl>
  </w:abstractNum>
  <w:abstractNum w:abstractNumId="2">
    <w:nsid w:val="59ACAF5F"/>
    <w:multiLevelType w:val="singleLevel"/>
    <w:tmpl w:val="59ACAF5F"/>
    <w:lvl w:ilvl="0" w:tentative="0">
      <w:start w:val="6"/>
      <w:numFmt w:val="chineseCounting"/>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076E1D"/>
    <w:rsid w:val="000168D4"/>
    <w:rsid w:val="00030B08"/>
    <w:rsid w:val="000429DB"/>
    <w:rsid w:val="000452E0"/>
    <w:rsid w:val="00053270"/>
    <w:rsid w:val="000548D0"/>
    <w:rsid w:val="00066060"/>
    <w:rsid w:val="000A4208"/>
    <w:rsid w:val="000C5C3C"/>
    <w:rsid w:val="00101E89"/>
    <w:rsid w:val="00135475"/>
    <w:rsid w:val="001C4A0A"/>
    <w:rsid w:val="002326CF"/>
    <w:rsid w:val="002D642E"/>
    <w:rsid w:val="00395FF8"/>
    <w:rsid w:val="003E7F7D"/>
    <w:rsid w:val="005118EF"/>
    <w:rsid w:val="0051581A"/>
    <w:rsid w:val="00567697"/>
    <w:rsid w:val="00575704"/>
    <w:rsid w:val="00582C25"/>
    <w:rsid w:val="005B10F0"/>
    <w:rsid w:val="005D5E9E"/>
    <w:rsid w:val="00642C46"/>
    <w:rsid w:val="00650BFA"/>
    <w:rsid w:val="00716DE7"/>
    <w:rsid w:val="008110CC"/>
    <w:rsid w:val="00887CA3"/>
    <w:rsid w:val="00897B9A"/>
    <w:rsid w:val="008C1AAE"/>
    <w:rsid w:val="00904B77"/>
    <w:rsid w:val="00955435"/>
    <w:rsid w:val="00970DE2"/>
    <w:rsid w:val="00983A28"/>
    <w:rsid w:val="009C69C4"/>
    <w:rsid w:val="00A02BF8"/>
    <w:rsid w:val="00A83E44"/>
    <w:rsid w:val="00AD7E25"/>
    <w:rsid w:val="00B56B85"/>
    <w:rsid w:val="00B669AA"/>
    <w:rsid w:val="00B8539C"/>
    <w:rsid w:val="00BB7A57"/>
    <w:rsid w:val="00BC23F2"/>
    <w:rsid w:val="00C04C9A"/>
    <w:rsid w:val="00C16BC1"/>
    <w:rsid w:val="00C34581"/>
    <w:rsid w:val="00C56839"/>
    <w:rsid w:val="00CB427A"/>
    <w:rsid w:val="00CF10CA"/>
    <w:rsid w:val="00D118FE"/>
    <w:rsid w:val="00D4534A"/>
    <w:rsid w:val="00D9556C"/>
    <w:rsid w:val="00DE79F0"/>
    <w:rsid w:val="00DF2B22"/>
    <w:rsid w:val="00E46F07"/>
    <w:rsid w:val="00E57106"/>
    <w:rsid w:val="00F45E47"/>
    <w:rsid w:val="00F500B9"/>
    <w:rsid w:val="00F6253D"/>
    <w:rsid w:val="022502CD"/>
    <w:rsid w:val="02AB6097"/>
    <w:rsid w:val="04B70C9F"/>
    <w:rsid w:val="08EE0B31"/>
    <w:rsid w:val="0FCB58D0"/>
    <w:rsid w:val="11427CB1"/>
    <w:rsid w:val="139E3D52"/>
    <w:rsid w:val="162B4B72"/>
    <w:rsid w:val="19076E1D"/>
    <w:rsid w:val="1EBD751D"/>
    <w:rsid w:val="1F117155"/>
    <w:rsid w:val="2DBB222D"/>
    <w:rsid w:val="37DE417C"/>
    <w:rsid w:val="475A0798"/>
    <w:rsid w:val="53B64535"/>
    <w:rsid w:val="57CC144D"/>
    <w:rsid w:val="62B03358"/>
    <w:rsid w:val="62B20F12"/>
    <w:rsid w:val="641E7445"/>
    <w:rsid w:val="7B4102B0"/>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2"/>
    <w:basedOn w:val="1"/>
    <w:next w:val="1"/>
    <w:link w:val="9"/>
    <w:qFormat/>
    <w:uiPriority w:val="99"/>
    <w:pPr>
      <w:keepNext/>
      <w:keepLines/>
      <w:spacing w:line="416" w:lineRule="auto"/>
      <w:outlineLvl w:val="1"/>
    </w:pPr>
    <w:rPr>
      <w:rFonts w:ascii="Arial" w:hAnsi="Arial" w:eastAsia="黑体" w:cs="Arial"/>
      <w:b/>
      <w:bCs/>
      <w:sz w:val="32"/>
      <w:szCs w:val="32"/>
    </w:rPr>
  </w:style>
  <w:style w:type="character" w:default="1" w:styleId="7">
    <w:name w:val="Default Paragraph Font"/>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3">
    <w:name w:val="Balloon Text"/>
    <w:basedOn w:val="1"/>
    <w:link w:val="12"/>
    <w:semiHidden/>
    <w:unhideWhenUsed/>
    <w:qFormat/>
    <w:uiPriority w:val="99"/>
    <w:rPr>
      <w:sz w:val="18"/>
      <w:szCs w:val="18"/>
    </w:rPr>
  </w:style>
  <w:style w:type="paragraph" w:styleId="4">
    <w:name w:val="footer"/>
    <w:basedOn w:val="1"/>
    <w:link w:val="10"/>
    <w:qFormat/>
    <w:uiPriority w:val="99"/>
    <w:pPr>
      <w:tabs>
        <w:tab w:val="center" w:pos="4153"/>
        <w:tab w:val="right" w:pos="8306"/>
      </w:tabs>
      <w:snapToGrid w:val="0"/>
      <w:jc w:val="left"/>
    </w:pPr>
    <w:rPr>
      <w:sz w:val="18"/>
      <w:szCs w:val="18"/>
    </w:rPr>
  </w:style>
  <w:style w:type="paragraph" w:styleId="5">
    <w:name w:val="header"/>
    <w:basedOn w:val="1"/>
    <w:link w:val="11"/>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page number"/>
    <w:basedOn w:val="7"/>
    <w:qFormat/>
    <w:uiPriority w:val="99"/>
  </w:style>
  <w:style w:type="character" w:customStyle="1" w:styleId="9">
    <w:name w:val="标题 2 Char"/>
    <w:basedOn w:val="7"/>
    <w:link w:val="2"/>
    <w:semiHidden/>
    <w:qFormat/>
    <w:locked/>
    <w:uiPriority w:val="99"/>
    <w:rPr>
      <w:rFonts w:ascii="Cambria" w:hAnsi="Cambria" w:eastAsia="宋体" w:cs="Cambria"/>
      <w:b/>
      <w:bCs/>
      <w:sz w:val="32"/>
      <w:szCs w:val="32"/>
    </w:rPr>
  </w:style>
  <w:style w:type="character" w:customStyle="1" w:styleId="10">
    <w:name w:val="页脚 Char"/>
    <w:basedOn w:val="7"/>
    <w:link w:val="4"/>
    <w:semiHidden/>
    <w:qFormat/>
    <w:locked/>
    <w:uiPriority w:val="99"/>
    <w:rPr>
      <w:sz w:val="18"/>
      <w:szCs w:val="18"/>
    </w:rPr>
  </w:style>
  <w:style w:type="character" w:customStyle="1" w:styleId="11">
    <w:name w:val="页眉 Char"/>
    <w:basedOn w:val="7"/>
    <w:link w:val="5"/>
    <w:semiHidden/>
    <w:qFormat/>
    <w:uiPriority w:val="99"/>
    <w:rPr>
      <w:rFonts w:cs="Calibri"/>
      <w:sz w:val="18"/>
      <w:szCs w:val="18"/>
    </w:rPr>
  </w:style>
  <w:style w:type="character" w:customStyle="1" w:styleId="12">
    <w:name w:val="批注框文本 Char"/>
    <w:basedOn w:val="7"/>
    <w:link w:val="3"/>
    <w:semiHidden/>
    <w:qFormat/>
    <w:uiPriority w:val="99"/>
    <w:rPr>
      <w:rFonts w:cs="Calibri"/>
      <w:sz w:val="18"/>
      <w:szCs w:val="18"/>
    </w:rPr>
  </w:style>
  <w:style w:type="paragraph" w:styleId="13">
    <w:name w:val="List Paragraph"/>
    <w:basedOn w:val="1"/>
    <w:qFormat/>
    <w:uiPriority w:val="34"/>
    <w:pPr>
      <w:ind w:firstLine="420" w:firstLineChars="200"/>
    </w:pPr>
  </w:style>
  <w:style w:type="paragraph" w:customStyle="1" w:styleId="14">
    <w:name w:val="p20"/>
    <w:basedOn w:val="1"/>
    <w:qFormat/>
    <w:uiPriority w:val="0"/>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9</Pages>
  <Words>546</Words>
  <Characters>3117</Characters>
  <Lines>25</Lines>
  <Paragraphs>7</Paragraphs>
  <TotalTime>10</TotalTime>
  <ScaleCrop>false</ScaleCrop>
  <LinksUpToDate>false</LinksUpToDate>
  <CharactersWithSpaces>3656</CharactersWithSpaces>
  <Application>WPS Office_11.1.0.8612_F1E327BC-269C-435d-A152-05C5408002CA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2019-02-26T06:51:00Z</dcterms:created>
  <dc:creator>Administrator</dc:creator>
  <cp:lastModifiedBy>Administrator</cp:lastModifiedBy>
  <cp:lastPrinted>2019-02-01T02:49:00Z</cp:lastPrinted>
  <dcterms:modified xsi:type="dcterms:W3CDTF">2019-04-23T07:07:01Z</dcterms:modified>
  <dc:title>附件2：2018年市级部门预算说明和预算公开表</dc:title>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