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5F1C7">
      <w:pPr>
        <w:pStyle w:val="17"/>
        <w:bidi w:val="0"/>
        <w:rPr>
          <w:rFonts w:hint="eastAsia"/>
        </w:rPr>
      </w:pPr>
      <w:r>
        <w:rPr>
          <w:rFonts w:hint="eastAsia"/>
          <w:lang w:eastAsia="zh-CN"/>
        </w:rPr>
        <w:t>景德镇市珠山区里村街道办事处2026</w:t>
      </w:r>
      <w:r>
        <w:rPr>
          <w:rFonts w:hint="eastAsia"/>
        </w:rPr>
        <w:t>年</w:t>
      </w:r>
      <w:r>
        <w:rPr>
          <w:rFonts w:hint="eastAsia"/>
          <w:lang w:val="en-US" w:eastAsia="zh-CN"/>
        </w:rPr>
        <w:t>部门</w:t>
      </w:r>
      <w:r>
        <w:rPr>
          <w:rFonts w:hint="eastAsia"/>
        </w:rPr>
        <w:t>预算</w:t>
      </w:r>
    </w:p>
    <w:p w14:paraId="389D8C9E">
      <w:pPr>
        <w:pStyle w:val="14"/>
        <w:spacing w:line="600" w:lineRule="atLeast"/>
        <w:jc w:val="center"/>
        <w:rPr>
          <w:rFonts w:ascii="黑体" w:hAnsi="黑体" w:eastAsia="黑体"/>
          <w:color w:val="000000"/>
          <w:sz w:val="32"/>
          <w:szCs w:val="32"/>
        </w:rPr>
      </w:pPr>
    </w:p>
    <w:p w14:paraId="02C7BDE1">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34115D0">
      <w:pPr>
        <w:pStyle w:val="14"/>
        <w:rPr>
          <w:rFonts w:ascii="宋体" w:hAnsi="宋体"/>
          <w:color w:val="000000"/>
        </w:rPr>
      </w:pPr>
    </w:p>
    <w:p w14:paraId="48B1BAAC">
      <w:pPr>
        <w:pStyle w:val="18"/>
        <w:numPr>
          <w:ilvl w:val="0"/>
          <w:numId w:val="0"/>
        </w:numPr>
        <w:bidi w:val="0"/>
        <w:ind w:left="420" w:leftChars="200"/>
        <w:jc w:val="left"/>
        <w:rPr>
          <w:rFonts w:hint="eastAsia"/>
          <w:lang w:eastAsia="zh-CN"/>
        </w:rPr>
      </w:pPr>
      <w:r>
        <w:rPr>
          <w:rFonts w:hint="eastAsia"/>
          <w:lang w:val="en-US" w:eastAsia="zh-CN"/>
        </w:rPr>
        <w:t>第一部分  景德镇市珠山区里村街道办事处概况</w:t>
      </w:r>
    </w:p>
    <w:p w14:paraId="55626438">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部门</w:t>
      </w:r>
      <w:r>
        <w:rPr>
          <w:rFonts w:hint="eastAsia" w:ascii="仿宋_GB2312" w:hAnsi="仿宋_GB2312" w:eastAsia="仿宋_GB2312" w:cs="仿宋_GB2312"/>
        </w:rPr>
        <w:t>主要职责</w:t>
      </w:r>
    </w:p>
    <w:p w14:paraId="69985B4B">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052C3DC">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景德镇市珠山区里村街道办事处2026</w:t>
      </w:r>
      <w:r>
        <w:rPr>
          <w:rFonts w:hint="eastAsia"/>
        </w:rPr>
        <w:t>年</w:t>
      </w:r>
      <w:r>
        <w:rPr>
          <w:rFonts w:hint="eastAsia"/>
          <w:lang w:val="en-US" w:eastAsia="zh-CN"/>
        </w:rPr>
        <w:t>部门</w:t>
      </w:r>
      <w:r>
        <w:rPr>
          <w:rFonts w:hint="eastAsia"/>
        </w:rPr>
        <w:t>预算表</w:t>
      </w:r>
    </w:p>
    <w:p w14:paraId="3B5DC484">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930A452">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8167F27">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A8F6100">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A451852">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FE5471F">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21FFB27C">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C6FC2CE">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10E0F9B">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542A537">
      <w:pPr>
        <w:pStyle w:val="19"/>
        <w:bidi w:val="0"/>
      </w:pPr>
      <w:r>
        <w:rPr>
          <w:spacing w:val="7"/>
        </w:rPr>
        <w:t>十、《部门整体支出绩效目标表》</w:t>
      </w:r>
    </w:p>
    <w:p w14:paraId="7417AFD2">
      <w:pPr>
        <w:pStyle w:val="4"/>
        <w:spacing w:before="252" w:line="222" w:lineRule="auto"/>
        <w:ind w:firstLine="648" w:firstLineChars="200"/>
      </w:pPr>
      <w:r>
        <w:rPr>
          <w:spacing w:val="7"/>
        </w:rPr>
        <w:t>十一、《项目支出绩效目标表》</w:t>
      </w:r>
    </w:p>
    <w:p w14:paraId="456006DB">
      <w:pPr>
        <w:pStyle w:val="19"/>
        <w:bidi w:val="0"/>
        <w:ind w:left="0" w:leftChars="0" w:firstLine="0" w:firstLineChars="0"/>
        <w:rPr>
          <w:rFonts w:hint="eastAsia" w:ascii="仿宋_GB2312" w:hAnsi="仿宋_GB2312" w:eastAsia="仿宋_GB2312" w:cs="仿宋_GB2312"/>
        </w:rPr>
      </w:pPr>
    </w:p>
    <w:p w14:paraId="72467DAE">
      <w:pPr>
        <w:pStyle w:val="18"/>
        <w:numPr>
          <w:ilvl w:val="0"/>
          <w:numId w:val="0"/>
        </w:numPr>
        <w:bidi w:val="0"/>
        <w:ind w:left="420" w:leftChars="200"/>
        <w:jc w:val="left"/>
        <w:rPr>
          <w:rFonts w:hint="eastAsia"/>
          <w:lang w:eastAsia="zh-CN"/>
        </w:rPr>
      </w:pPr>
      <w:r>
        <w:rPr>
          <w:rFonts w:hint="eastAsia"/>
          <w:lang w:eastAsia="zh-CN"/>
        </w:rPr>
        <w:t>第三部分 景德镇市珠山区里村街道办事处 2026年</w:t>
      </w:r>
      <w:r>
        <w:rPr>
          <w:rFonts w:hint="eastAsia"/>
          <w:lang w:val="en-US" w:eastAsia="zh-CN"/>
        </w:rPr>
        <w:t>部门</w:t>
      </w:r>
      <w:r>
        <w:rPr>
          <w:rFonts w:hint="eastAsia"/>
          <w:lang w:eastAsia="zh-CN"/>
        </w:rPr>
        <w:t>情况说明</w:t>
      </w:r>
    </w:p>
    <w:p w14:paraId="3E33715D">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部门</w:t>
      </w:r>
      <w:r>
        <w:rPr>
          <w:rFonts w:hint="eastAsia" w:ascii="仿宋_GB2312" w:hAnsi="仿宋_GB2312" w:eastAsia="仿宋_GB2312" w:cs="仿宋_GB2312"/>
        </w:rPr>
        <w:t>预算收支情况说明</w:t>
      </w:r>
    </w:p>
    <w:p w14:paraId="7BC0078D">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41B143B">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bookmarkStart w:id="0" w:name="_GoBack"/>
      <w:bookmarkEnd w:id="0"/>
    </w:p>
    <w:p w14:paraId="224AD23C">
      <w:pPr>
        <w:pStyle w:val="18"/>
        <w:numPr>
          <w:ilvl w:val="0"/>
          <w:numId w:val="0"/>
        </w:numPr>
        <w:bidi w:val="0"/>
        <w:ind w:left="420" w:leftChars="200"/>
        <w:jc w:val="left"/>
        <w:rPr>
          <w:rFonts w:hint="eastAsia"/>
          <w:lang w:eastAsia="zh-CN"/>
        </w:rPr>
      </w:pPr>
      <w:r>
        <w:rPr>
          <w:rFonts w:hint="eastAsia"/>
          <w:lang w:eastAsia="zh-CN"/>
        </w:rPr>
        <w:t>第四部分  名词解释</w:t>
      </w:r>
    </w:p>
    <w:p w14:paraId="0DDF3ADF">
      <w:pPr>
        <w:widowControl/>
        <w:spacing w:line="580" w:lineRule="exact"/>
        <w:jc w:val="center"/>
        <w:rPr>
          <w:rFonts w:ascii="仿宋_GB2312" w:eastAsia="仿宋_GB2312"/>
          <w:b/>
          <w:sz w:val="32"/>
          <w:szCs w:val="30"/>
        </w:rPr>
      </w:pPr>
    </w:p>
    <w:p w14:paraId="3030E9EA">
      <w:pPr>
        <w:widowControl/>
        <w:spacing w:line="580" w:lineRule="exact"/>
        <w:jc w:val="center"/>
        <w:rPr>
          <w:rFonts w:ascii="仿宋_GB2312" w:eastAsia="仿宋_GB2312"/>
          <w:b/>
          <w:sz w:val="32"/>
          <w:szCs w:val="30"/>
        </w:rPr>
      </w:pPr>
    </w:p>
    <w:p w14:paraId="0E162ABA">
      <w:pPr>
        <w:pStyle w:val="18"/>
        <w:numPr>
          <w:ilvl w:val="0"/>
          <w:numId w:val="0"/>
        </w:numPr>
        <w:bidi w:val="0"/>
        <w:ind w:left="420" w:leftChars="200"/>
        <w:jc w:val="center"/>
        <w:rPr>
          <w:rFonts w:hint="eastAsia"/>
          <w:lang w:eastAsia="zh-CN"/>
        </w:rPr>
      </w:pPr>
      <w:r>
        <w:rPr>
          <w:rFonts w:hint="eastAsia"/>
          <w:lang w:eastAsia="zh-CN"/>
        </w:rPr>
        <w:t>第一部分  景德镇市珠山区里村街道办事处概况</w:t>
      </w:r>
    </w:p>
    <w:p w14:paraId="5D690543">
      <w:pPr>
        <w:widowControl/>
        <w:spacing w:line="580" w:lineRule="exact"/>
        <w:jc w:val="left"/>
        <w:rPr>
          <w:rFonts w:asciiTheme="minorEastAsia" w:hAnsiTheme="minorEastAsia"/>
          <w:b/>
          <w:sz w:val="36"/>
          <w:szCs w:val="36"/>
        </w:rPr>
      </w:pPr>
    </w:p>
    <w:p w14:paraId="3B85E15B">
      <w:pPr>
        <w:pStyle w:val="18"/>
        <w:numPr>
          <w:ilvl w:val="0"/>
          <w:numId w:val="3"/>
        </w:numPr>
        <w:bidi w:val="0"/>
        <w:ind w:left="420" w:leftChars="200" w:firstLine="320" w:firstLineChars="100"/>
        <w:rPr>
          <w:rFonts w:hint="eastAsia"/>
        </w:rPr>
      </w:pPr>
      <w:r>
        <w:rPr>
          <w:rFonts w:hint="eastAsia"/>
          <w:lang w:val="en-US" w:eastAsia="zh-CN"/>
        </w:rPr>
        <w:t>部门</w:t>
      </w:r>
      <w:r>
        <w:rPr>
          <w:rFonts w:hint="eastAsia"/>
        </w:rPr>
        <w:t>主要职责</w:t>
      </w:r>
    </w:p>
    <w:p w14:paraId="2F70F897">
      <w:pPr>
        <w:pStyle w:val="4"/>
        <w:spacing w:before="231" w:line="360" w:lineRule="auto"/>
        <w:ind w:left="34" w:right="25" w:firstLine="633"/>
        <w:jc w:val="both"/>
        <w:rPr>
          <w:rFonts w:hint="eastAsia"/>
          <w:spacing w:val="-3"/>
          <w:sz w:val="32"/>
          <w:szCs w:val="32"/>
          <w:lang w:val="en-US" w:eastAsia="zh-CN"/>
        </w:rPr>
      </w:pPr>
      <w:r>
        <w:rPr>
          <w:rFonts w:hint="eastAsia"/>
          <w:spacing w:val="-3"/>
          <w:sz w:val="32"/>
          <w:szCs w:val="32"/>
          <w:lang w:val="en-US" w:eastAsia="zh-CN"/>
        </w:rPr>
        <w:t>（一）</w:t>
      </w:r>
      <w:r>
        <w:rPr>
          <w:rFonts w:hint="eastAsia"/>
          <w:spacing w:val="-3"/>
          <w:sz w:val="32"/>
          <w:szCs w:val="32"/>
          <w:lang w:eastAsia="zh-CN"/>
        </w:rPr>
        <w:t>加强党的建设。落实集成党建工作责任制，全面加强党对各领域各方面工作的领导，着力夯实基层基础，切实抓好本区域党组织建设。落实党风廉政建设责任制，强化“两个责任”，坚持正风肃纪，推进全面从严治党。落实意识形态工作责任制，全面加强基层宣传思想文化工作，弘扬时代新风，强化党建引领基层治理。</w:t>
      </w:r>
    </w:p>
    <w:p w14:paraId="3274D95E">
      <w:pPr>
        <w:pStyle w:val="4"/>
        <w:spacing w:before="231" w:line="360" w:lineRule="auto"/>
        <w:ind w:left="34" w:right="25" w:firstLine="633"/>
        <w:jc w:val="both"/>
        <w:rPr>
          <w:rFonts w:hint="eastAsia"/>
          <w:spacing w:val="-3"/>
          <w:sz w:val="32"/>
          <w:szCs w:val="32"/>
          <w:lang w:eastAsia="zh-CN"/>
        </w:rPr>
      </w:pPr>
      <w:r>
        <w:rPr>
          <w:rFonts w:hint="eastAsia"/>
          <w:spacing w:val="-3"/>
          <w:sz w:val="32"/>
          <w:szCs w:val="32"/>
          <w:lang w:val="en-US" w:eastAsia="zh-CN"/>
        </w:rPr>
        <w:t>（二）</w:t>
      </w:r>
      <w:r>
        <w:rPr>
          <w:rFonts w:hint="eastAsia"/>
          <w:spacing w:val="-3"/>
          <w:sz w:val="32"/>
          <w:szCs w:val="32"/>
          <w:lang w:eastAsia="zh-CN"/>
        </w:rPr>
        <w:t>统筹区域发展。贯彻落实上级重大决策和建设规划，研究制定并组织实施本区域中长期发展规划和年度计划，全面实施区域振兴战略，统筹推进经济社会全面发展。承担优化发展环境、采集企业信息、服务商贸企业、推进项目建设等工作。</w:t>
      </w:r>
    </w:p>
    <w:p w14:paraId="151B2DB3">
      <w:pPr>
        <w:pStyle w:val="4"/>
        <w:spacing w:before="231" w:line="360" w:lineRule="auto"/>
        <w:ind w:left="34" w:right="25" w:firstLine="633"/>
        <w:jc w:val="both"/>
        <w:rPr>
          <w:rFonts w:hint="eastAsia"/>
          <w:spacing w:val="-3"/>
          <w:sz w:val="32"/>
          <w:szCs w:val="32"/>
          <w:lang w:eastAsia="zh-CN"/>
        </w:rPr>
      </w:pPr>
      <w:r>
        <w:rPr>
          <w:rFonts w:hint="eastAsia"/>
          <w:spacing w:val="-3"/>
          <w:sz w:val="32"/>
          <w:szCs w:val="32"/>
          <w:lang w:eastAsia="zh-CN"/>
        </w:rPr>
        <w:t>（三）实施公共管理。负责辖区综合性管理工作，承担组织领导和综合协调辖区社会管理、生态环境保护、市场监管、人口管理等工作。加强社会治理制度建设，领导基层自治工作，完善党委领导、政府负责、社会协同、公众参与、法治保障的社会治理体制，健全自治为基、法治为本、德治为先得基层治理体系。</w:t>
      </w:r>
    </w:p>
    <w:p w14:paraId="2242458A">
      <w:pPr>
        <w:pStyle w:val="4"/>
        <w:spacing w:before="231" w:line="360" w:lineRule="auto"/>
        <w:ind w:left="34" w:right="25" w:firstLine="633"/>
        <w:jc w:val="both"/>
        <w:rPr>
          <w:rFonts w:hint="eastAsia"/>
          <w:spacing w:val="-3"/>
          <w:sz w:val="32"/>
          <w:szCs w:val="32"/>
          <w:lang w:eastAsia="zh-CN"/>
        </w:rPr>
      </w:pPr>
      <w:r>
        <w:rPr>
          <w:rFonts w:hint="eastAsia"/>
          <w:spacing w:val="-3"/>
          <w:sz w:val="32"/>
          <w:szCs w:val="32"/>
          <w:lang w:eastAsia="zh-CN"/>
        </w:rPr>
        <w:t>（四）组织公共服务。组织实施与群众生活密切相关的各项公共服务，落实人力资源和社会保障、民政、教育、科技、文化、体育、卫生健康等领域和退役军人、妇女儿童、老年人、残疾人等方面的相关政策，不断提高公共服务质量。拓宽服务渠道，改进政务服务方式，完善便民服务平台，提高政务服务和政务公开水平，提升群众在享受公共服务方面的获得感和幸福感。</w:t>
      </w:r>
    </w:p>
    <w:p w14:paraId="4E270758">
      <w:pPr>
        <w:pStyle w:val="4"/>
        <w:spacing w:before="231" w:line="360" w:lineRule="auto"/>
        <w:ind w:left="34" w:right="25" w:firstLine="633"/>
        <w:jc w:val="both"/>
        <w:rPr>
          <w:rFonts w:hint="eastAsia"/>
          <w:spacing w:val="-3"/>
          <w:sz w:val="32"/>
          <w:szCs w:val="32"/>
          <w:lang w:eastAsia="zh-CN"/>
        </w:rPr>
      </w:pPr>
      <w:r>
        <w:rPr>
          <w:rFonts w:hint="eastAsia"/>
          <w:spacing w:val="-3"/>
          <w:sz w:val="32"/>
          <w:szCs w:val="32"/>
          <w:lang w:eastAsia="zh-CN"/>
        </w:rPr>
        <w:t>（五）维护公共安全。负责辖区内应急管理工作，构建公共安全防控体系，建立应对突发紧急事件的处理预案，在区直有关部门的指导下做好区域内生产经营单位安全生产和广大群众食品药品、道路交通安全监督检查工作，承担区域内防汛抗旱、森林防火、疫病防控以及其他气象、地质等自然灾害防御等应急管理工作。负责辖区社会治安综合治理工作，接待群众来信来访，建立多元纠纷解决机制，综合发挥人民调解、行政调解和司法调解的作用，及时化解辖区社会矛盾，确保社会稳定。</w:t>
      </w:r>
    </w:p>
    <w:p w14:paraId="0D601F4F">
      <w:pPr>
        <w:pStyle w:val="4"/>
        <w:spacing w:before="231" w:line="360" w:lineRule="auto"/>
        <w:ind w:left="34" w:right="25" w:firstLine="633"/>
        <w:jc w:val="both"/>
        <w:rPr>
          <w:rFonts w:hint="eastAsia"/>
          <w:spacing w:val="-3"/>
          <w:sz w:val="32"/>
          <w:szCs w:val="32"/>
          <w:lang w:eastAsia="zh-CN"/>
        </w:rPr>
      </w:pPr>
      <w:r>
        <w:rPr>
          <w:rFonts w:hint="eastAsia"/>
          <w:spacing w:val="-3"/>
          <w:sz w:val="32"/>
          <w:szCs w:val="32"/>
          <w:lang w:eastAsia="zh-CN"/>
        </w:rPr>
        <w:t>（六）贯彻执行相关法律法规，落实党和国家的方针、政策，承担上级交办的其他事项。</w:t>
      </w:r>
    </w:p>
    <w:p w14:paraId="77194ED8">
      <w:pPr>
        <w:numPr>
          <w:ilvl w:val="0"/>
          <w:numId w:val="0"/>
        </w:numPr>
        <w:rPr>
          <w:rFonts w:hint="eastAsia"/>
        </w:rPr>
      </w:pPr>
    </w:p>
    <w:p w14:paraId="0D7321A2">
      <w:pPr>
        <w:pStyle w:val="19"/>
        <w:bidi w:val="0"/>
        <w:rPr>
          <w:rFonts w:hint="eastAsia" w:ascii="仿宋_GB2312" w:hAnsi="仿宋_GB2312" w:eastAsia="仿宋_GB2312" w:cs="仿宋_GB2312"/>
        </w:rPr>
      </w:pPr>
    </w:p>
    <w:p w14:paraId="6993DB9C">
      <w:pPr>
        <w:pStyle w:val="18"/>
        <w:numPr>
          <w:ilvl w:val="0"/>
          <w:numId w:val="0"/>
        </w:numPr>
        <w:bidi w:val="0"/>
        <w:ind w:left="420" w:leftChars="200" w:firstLine="320" w:firstLineChars="100"/>
        <w:rPr>
          <w:rFonts w:hint="eastAsia"/>
        </w:rPr>
      </w:pPr>
      <w:r>
        <w:rPr>
          <w:rFonts w:hint="eastAsia"/>
        </w:rPr>
        <w:t>二、机构设置及人员情况</w:t>
      </w:r>
    </w:p>
    <w:p w14:paraId="78CF083E">
      <w:pPr>
        <w:pStyle w:val="19"/>
        <w:bidi w:val="0"/>
        <w:rPr>
          <w:rFonts w:hint="eastAsia"/>
          <w:spacing w:val="-3"/>
          <w:sz w:val="32"/>
          <w:szCs w:val="32"/>
          <w:lang w:val="en-US" w:eastAsia="zh-CN"/>
        </w:rPr>
      </w:pPr>
      <w:r>
        <w:rPr>
          <w:rFonts w:hint="eastAsia" w:ascii="仿宋_GB2312" w:hAnsi="仿宋_GB2312" w:eastAsia="仿宋_GB2312" w:cs="仿宋_GB2312"/>
          <w:lang w:eastAsia="zh-CN"/>
        </w:rPr>
        <w:t>景德镇市珠山区里村街道办事处内设处室</w:t>
      </w:r>
      <w:r>
        <w:rPr>
          <w:rFonts w:hint="eastAsia"/>
          <w:spacing w:val="-3"/>
          <w:sz w:val="32"/>
          <w:szCs w:val="32"/>
          <w:lang w:val="en-US" w:eastAsia="zh-CN"/>
        </w:rPr>
        <w:t>五</w:t>
      </w:r>
      <w:r>
        <w:rPr>
          <w:rFonts w:hint="eastAsia"/>
          <w:spacing w:val="-3"/>
          <w:sz w:val="32"/>
          <w:szCs w:val="32"/>
          <w:lang w:eastAsia="zh-CN"/>
        </w:rPr>
        <w:t>办</w:t>
      </w:r>
      <w:r>
        <w:rPr>
          <w:rFonts w:hint="eastAsia"/>
          <w:spacing w:val="-3"/>
          <w:sz w:val="32"/>
          <w:szCs w:val="32"/>
          <w:lang w:val="en-US" w:eastAsia="zh-CN"/>
        </w:rPr>
        <w:t>一</w:t>
      </w:r>
      <w:r>
        <w:rPr>
          <w:rFonts w:hint="eastAsia"/>
          <w:spacing w:val="-3"/>
          <w:sz w:val="32"/>
          <w:szCs w:val="32"/>
          <w:lang w:eastAsia="zh-CN"/>
        </w:rPr>
        <w:t>中心组成，党政办、</w:t>
      </w:r>
      <w:r>
        <w:rPr>
          <w:rFonts w:hint="eastAsia"/>
          <w:spacing w:val="-3"/>
          <w:sz w:val="32"/>
          <w:szCs w:val="32"/>
          <w:lang w:val="en-US" w:eastAsia="zh-CN"/>
        </w:rPr>
        <w:t>党建办</w:t>
      </w:r>
      <w:r>
        <w:rPr>
          <w:rFonts w:hint="eastAsia"/>
          <w:spacing w:val="-3"/>
          <w:sz w:val="32"/>
          <w:szCs w:val="32"/>
          <w:lang w:eastAsia="zh-CN"/>
        </w:rPr>
        <w:t>、经济发展中心、</w:t>
      </w:r>
      <w:r>
        <w:rPr>
          <w:rFonts w:hint="eastAsia"/>
          <w:spacing w:val="-3"/>
          <w:sz w:val="32"/>
          <w:szCs w:val="32"/>
          <w:lang w:val="en-US" w:eastAsia="zh-CN"/>
        </w:rPr>
        <w:t>民生</w:t>
      </w:r>
      <w:r>
        <w:rPr>
          <w:rFonts w:hint="eastAsia"/>
          <w:spacing w:val="-3"/>
          <w:sz w:val="32"/>
          <w:szCs w:val="32"/>
          <w:lang w:eastAsia="zh-CN"/>
        </w:rPr>
        <w:t>服务中心、</w:t>
      </w:r>
      <w:r>
        <w:rPr>
          <w:rFonts w:hint="eastAsia"/>
          <w:spacing w:val="-3"/>
          <w:sz w:val="32"/>
          <w:szCs w:val="32"/>
          <w:lang w:val="en-US" w:eastAsia="zh-CN"/>
        </w:rPr>
        <w:t>平安法治办公室、便民服务中心</w:t>
      </w:r>
      <w:r>
        <w:rPr>
          <w:rFonts w:hint="eastAsia"/>
          <w:spacing w:val="-3"/>
          <w:sz w:val="32"/>
          <w:szCs w:val="32"/>
          <w:lang w:eastAsia="zh-CN"/>
        </w:rPr>
        <w:t>。下属管辖</w:t>
      </w:r>
      <w:r>
        <w:rPr>
          <w:rFonts w:hint="eastAsia"/>
          <w:spacing w:val="-3"/>
          <w:sz w:val="32"/>
          <w:szCs w:val="32"/>
          <w:lang w:val="en-US" w:eastAsia="zh-CN"/>
        </w:rPr>
        <w:t>8个社区分别为：尚东社区、恒大社区、新峰巷社区、马鞍山社区、庆安社区、曙光路社区、童宾社区、陶溪川社区。</w:t>
      </w:r>
    </w:p>
    <w:p w14:paraId="73C1B5B8">
      <w:pPr>
        <w:pStyle w:val="4"/>
        <w:spacing w:before="231" w:line="360" w:lineRule="auto"/>
        <w:ind w:left="34" w:right="25" w:firstLine="633"/>
        <w:jc w:val="both"/>
        <w:rPr>
          <w:rFonts w:hint="eastAsia"/>
          <w:spacing w:val="-3"/>
          <w:sz w:val="32"/>
          <w:szCs w:val="32"/>
          <w:lang w:eastAsia="zh-CN"/>
        </w:rPr>
      </w:pPr>
      <w:r>
        <w:rPr>
          <w:rFonts w:hint="eastAsia"/>
          <w:spacing w:val="-3"/>
          <w:sz w:val="32"/>
          <w:szCs w:val="32"/>
          <w:lang w:eastAsia="zh-CN"/>
        </w:rPr>
        <w:t>纳入本套部门决算汇编范围的单位共 1 个，包括：景德镇市珠山区里村街道办事处。</w:t>
      </w:r>
    </w:p>
    <w:p w14:paraId="4917740F">
      <w:pPr>
        <w:pStyle w:val="4"/>
        <w:spacing w:before="231" w:line="360" w:lineRule="auto"/>
        <w:ind w:left="34" w:right="25" w:firstLine="633"/>
        <w:jc w:val="both"/>
        <w:rPr>
          <w:rFonts w:hint="eastAsia"/>
          <w:spacing w:val="-3"/>
          <w:sz w:val="32"/>
          <w:szCs w:val="32"/>
          <w:lang w:eastAsia="zh-CN"/>
        </w:rPr>
      </w:pPr>
      <w:r>
        <w:rPr>
          <w:rFonts w:hint="eastAsia"/>
          <w:spacing w:val="-3"/>
          <w:sz w:val="32"/>
          <w:szCs w:val="32"/>
          <w:lang w:eastAsia="zh-CN"/>
        </w:rPr>
        <w:t>本部门 202</w:t>
      </w:r>
      <w:r>
        <w:rPr>
          <w:rFonts w:hint="eastAsia"/>
          <w:spacing w:val="-3"/>
          <w:sz w:val="32"/>
          <w:szCs w:val="32"/>
          <w:lang w:val="en-US" w:eastAsia="zh-CN"/>
        </w:rPr>
        <w:t>5</w:t>
      </w:r>
      <w:r>
        <w:rPr>
          <w:rFonts w:hint="eastAsia"/>
          <w:spacing w:val="-3"/>
          <w:sz w:val="32"/>
          <w:szCs w:val="32"/>
          <w:lang w:eastAsia="zh-CN"/>
        </w:rPr>
        <w:t xml:space="preserve"> 年年末实有人数 </w:t>
      </w:r>
      <w:r>
        <w:rPr>
          <w:rFonts w:hint="eastAsia"/>
          <w:spacing w:val="-3"/>
          <w:sz w:val="32"/>
          <w:szCs w:val="32"/>
          <w:lang w:val="en-US" w:eastAsia="zh-CN"/>
        </w:rPr>
        <w:t>21</w:t>
      </w:r>
      <w:r>
        <w:rPr>
          <w:rFonts w:hint="eastAsia"/>
          <w:spacing w:val="-3"/>
          <w:sz w:val="32"/>
          <w:szCs w:val="32"/>
          <w:lang w:eastAsia="zh-CN"/>
        </w:rPr>
        <w:t xml:space="preserve">人，其中在职人员 </w:t>
      </w:r>
      <w:r>
        <w:rPr>
          <w:rFonts w:hint="eastAsia"/>
          <w:spacing w:val="-3"/>
          <w:sz w:val="32"/>
          <w:szCs w:val="32"/>
          <w:lang w:val="en-US" w:eastAsia="zh-CN"/>
        </w:rPr>
        <w:t>21</w:t>
      </w:r>
      <w:r>
        <w:rPr>
          <w:rFonts w:hint="eastAsia"/>
          <w:spacing w:val="-3"/>
          <w:sz w:val="32"/>
          <w:szCs w:val="32"/>
          <w:lang w:eastAsia="zh-CN"/>
        </w:rPr>
        <w:t xml:space="preserve"> 人，离休人员 </w:t>
      </w:r>
      <w:r>
        <w:rPr>
          <w:rFonts w:hint="eastAsia"/>
          <w:spacing w:val="-3"/>
          <w:sz w:val="32"/>
          <w:szCs w:val="32"/>
          <w:lang w:val="en-US" w:eastAsia="zh-CN"/>
        </w:rPr>
        <w:t>0</w:t>
      </w:r>
      <w:r>
        <w:rPr>
          <w:rFonts w:hint="eastAsia"/>
          <w:spacing w:val="-3"/>
          <w:sz w:val="32"/>
          <w:szCs w:val="32"/>
          <w:lang w:eastAsia="zh-CN"/>
        </w:rPr>
        <w:t xml:space="preserve">人，退休人员 </w:t>
      </w:r>
      <w:r>
        <w:rPr>
          <w:rFonts w:hint="eastAsia"/>
          <w:spacing w:val="-3"/>
          <w:sz w:val="32"/>
          <w:szCs w:val="32"/>
          <w:lang w:val="en-US" w:eastAsia="zh-CN"/>
        </w:rPr>
        <w:t>8</w:t>
      </w:r>
      <w:r>
        <w:rPr>
          <w:rFonts w:hint="eastAsia"/>
          <w:spacing w:val="-3"/>
          <w:sz w:val="32"/>
          <w:szCs w:val="32"/>
          <w:lang w:eastAsia="zh-CN"/>
        </w:rPr>
        <w:t xml:space="preserve"> 人；年末其他人员 0 人；年末学生人数0 人。</w:t>
      </w:r>
    </w:p>
    <w:p w14:paraId="19FBB9E5">
      <w:pPr>
        <w:pStyle w:val="19"/>
        <w:bidi w:val="0"/>
        <w:rPr>
          <w:rFonts w:hint="default"/>
          <w:spacing w:val="-3"/>
          <w:sz w:val="32"/>
          <w:szCs w:val="32"/>
          <w:lang w:val="en-US" w:eastAsia="zh-CN"/>
        </w:rPr>
      </w:pPr>
    </w:p>
    <w:p w14:paraId="45731247">
      <w:pPr>
        <w:widowControl/>
        <w:spacing w:line="580" w:lineRule="exact"/>
        <w:jc w:val="center"/>
        <w:rPr>
          <w:rFonts w:ascii="仿宋_GB2312" w:eastAsia="仿宋_GB2312"/>
          <w:b/>
          <w:szCs w:val="30"/>
        </w:rPr>
      </w:pPr>
    </w:p>
    <w:p w14:paraId="1364CC0C">
      <w:pPr>
        <w:pStyle w:val="18"/>
        <w:numPr>
          <w:ilvl w:val="0"/>
          <w:numId w:val="0"/>
        </w:numPr>
        <w:bidi w:val="0"/>
        <w:ind w:left="420" w:leftChars="200"/>
        <w:jc w:val="center"/>
        <w:rPr>
          <w:rFonts w:hint="eastAsia"/>
          <w:lang w:eastAsia="zh-CN"/>
        </w:rPr>
      </w:pPr>
      <w:r>
        <w:rPr>
          <w:rFonts w:hint="eastAsia"/>
          <w:lang w:eastAsia="zh-CN"/>
        </w:rPr>
        <w:t>第二部分  景德镇市珠山区里村街道办事处2026年</w:t>
      </w:r>
      <w:r>
        <w:rPr>
          <w:rFonts w:hint="eastAsia"/>
          <w:lang w:val="en-US" w:eastAsia="zh-CN"/>
        </w:rPr>
        <w:t>部门</w:t>
      </w:r>
      <w:r>
        <w:rPr>
          <w:rFonts w:hint="eastAsia"/>
          <w:lang w:eastAsia="zh-CN"/>
        </w:rPr>
        <w:t>预算表</w:t>
      </w:r>
    </w:p>
    <w:p w14:paraId="05811D62">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4C87B7E6">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1EFFDA2">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496869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43609B00">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404001景德镇市珠山区里村街道办事处</w:t>
            </w:r>
          </w:p>
        </w:tc>
        <w:tc>
          <w:tcPr>
            <w:tcW w:w="1655" w:type="pct"/>
            <w:noWrap/>
            <w:vAlign w:val="bottom"/>
          </w:tcPr>
          <w:p w14:paraId="306C719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F097970">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CCA3C96">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1C65E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9653C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A604C53">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794E7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9A16D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D9BCE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71804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698C8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52CD7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424A6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1,135.44</w:t>
            </w:r>
          </w:p>
        </w:tc>
        <w:tc>
          <w:tcPr>
            <w:tcW w:w="1655" w:type="pct"/>
            <w:tcBorders>
              <w:top w:val="nil"/>
              <w:left w:val="nil"/>
              <w:bottom w:val="single" w:color="000000" w:sz="4" w:space="0"/>
              <w:right w:val="single" w:color="000000" w:sz="4" w:space="0"/>
            </w:tcBorders>
            <w:noWrap/>
            <w:vAlign w:val="center"/>
          </w:tcPr>
          <w:p w14:paraId="468E6D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039180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334.47</w:t>
            </w:r>
          </w:p>
        </w:tc>
      </w:tr>
      <w:tr w14:paraId="04409F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28F9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5D3771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1,135.44</w:t>
            </w:r>
          </w:p>
        </w:tc>
        <w:tc>
          <w:tcPr>
            <w:tcW w:w="1655" w:type="pct"/>
            <w:tcBorders>
              <w:top w:val="nil"/>
              <w:left w:val="nil"/>
              <w:bottom w:val="single" w:color="000000" w:sz="4" w:space="0"/>
              <w:right w:val="single" w:color="000000" w:sz="4" w:space="0"/>
            </w:tcBorders>
            <w:noWrap/>
            <w:vAlign w:val="center"/>
          </w:tcPr>
          <w:p w14:paraId="0515D7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734619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1.00</w:t>
            </w:r>
          </w:p>
        </w:tc>
      </w:tr>
      <w:tr w14:paraId="1DE1C9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7526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1AEC1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A4711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5536CC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33.26</w:t>
            </w:r>
          </w:p>
        </w:tc>
      </w:tr>
      <w:tr w14:paraId="2FE0FD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CFFB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9171D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0006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13A35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13.96</w:t>
            </w:r>
          </w:p>
        </w:tc>
      </w:tr>
      <w:tr w14:paraId="03DFD5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18DD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593169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F42F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36F3BC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729.12</w:t>
            </w:r>
          </w:p>
        </w:tc>
      </w:tr>
      <w:tr w14:paraId="563F06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F942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94E7B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7732C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1AAD27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24.63</w:t>
            </w:r>
          </w:p>
        </w:tc>
      </w:tr>
      <w:tr w14:paraId="1320CC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905D9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522CB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FD29A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14:paraId="55208A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0.01</w:t>
            </w:r>
          </w:p>
        </w:tc>
      </w:tr>
      <w:tr w14:paraId="768FED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43E3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89573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64BF8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C2B6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DC0E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DB30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36DC8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5EC2B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35EB0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1A53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8064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84E11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79428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3FF7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E3A6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6CFF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0F612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2C70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5809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6572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A2B45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7A26F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AFE0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5179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5291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7A94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FB08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8D84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B815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F9F51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0EDC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FEEE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CF7D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16BA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D49D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3411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7D7B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636C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67C6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CD80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45DE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7C7D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1F7D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DBBD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7C21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1893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1150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8AFB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B6AA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0433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E19E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15EC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8C02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1146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44A5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D680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6DA6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8639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983D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6BC4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C3DA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5A18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B47F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B643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5292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28DF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F256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9FC4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C21B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F08D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98A62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2E75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F606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8733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0245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954D6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E7EA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ADEA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1619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56AA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5B54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043D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555D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E076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43EA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EFDE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9E0F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8515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6898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3A61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4CCA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9887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A1EB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C6E0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9767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32E5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9B39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A093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7990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02B1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37A4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7905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F60B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F7B4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99D0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451F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FD144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9E1B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1AD1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203F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55B68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722398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1,135.44</w:t>
            </w:r>
          </w:p>
        </w:tc>
        <w:tc>
          <w:tcPr>
            <w:tcW w:w="1655" w:type="pct"/>
            <w:tcBorders>
              <w:top w:val="nil"/>
              <w:left w:val="nil"/>
              <w:bottom w:val="single" w:color="auto" w:sz="4" w:space="0"/>
              <w:right w:val="single" w:color="000000" w:sz="4" w:space="0"/>
            </w:tcBorders>
            <w:noWrap/>
            <w:vAlign w:val="center"/>
          </w:tcPr>
          <w:p w14:paraId="7F2345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3D8D0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1,136.45</w:t>
            </w:r>
          </w:p>
        </w:tc>
      </w:tr>
      <w:tr w14:paraId="0682A5D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D323C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EC113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EB4A9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E03B6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B965DE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0B810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3AEBD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w:t>
            </w:r>
          </w:p>
        </w:tc>
        <w:tc>
          <w:tcPr>
            <w:tcW w:w="1655" w:type="pct"/>
            <w:tcBorders>
              <w:top w:val="single" w:color="auto" w:sz="4" w:space="0"/>
              <w:left w:val="nil"/>
              <w:bottom w:val="single" w:color="auto" w:sz="4" w:space="0"/>
              <w:right w:val="single" w:color="000000" w:sz="4" w:space="0"/>
            </w:tcBorders>
            <w:noWrap/>
            <w:vAlign w:val="bottom"/>
          </w:tcPr>
          <w:p w14:paraId="62F40E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E91AC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3AE45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35EA9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3EFE3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1,136.45</w:t>
            </w:r>
          </w:p>
        </w:tc>
        <w:tc>
          <w:tcPr>
            <w:tcW w:w="1655" w:type="pct"/>
            <w:tcBorders>
              <w:top w:val="single" w:color="auto" w:sz="4" w:space="0"/>
              <w:left w:val="single" w:color="auto" w:sz="4" w:space="0"/>
              <w:bottom w:val="single" w:color="auto" w:sz="4" w:space="0"/>
              <w:right w:val="single" w:color="auto" w:sz="4" w:space="0"/>
            </w:tcBorders>
            <w:noWrap/>
            <w:vAlign w:val="center"/>
          </w:tcPr>
          <w:p w14:paraId="6C77FD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3D456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1,136.45</w:t>
            </w:r>
          </w:p>
        </w:tc>
      </w:tr>
    </w:tbl>
    <w:p w14:paraId="0A31054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6A2897BC">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3E8EED3">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797DAB33">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16B9CCCB">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填报单位:404001景德镇市珠山区里村街道办事处</w:t>
            </w:r>
          </w:p>
        </w:tc>
        <w:tc>
          <w:tcPr>
            <w:tcW w:w="366" w:type="pct"/>
            <w:tcBorders>
              <w:top w:val="nil"/>
              <w:left w:val="nil"/>
              <w:bottom w:val="single" w:color="auto" w:sz="4" w:space="0"/>
              <w:right w:val="nil"/>
            </w:tcBorders>
            <w:shd w:val="clear" w:color="auto" w:fill="auto"/>
            <w:noWrap/>
            <w:vAlign w:val="bottom"/>
          </w:tcPr>
          <w:p w14:paraId="07689E81">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E9B0756">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61A4F2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CFA4628">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65C12FD4">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6E49803">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4DE4BA0">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C0F13B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67AE17A">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ACD8F41">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3A6CA02A">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B5EB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AF4E8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4351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51DEA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73731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F197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800D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51D95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A773F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B8ED9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69B0B402">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3EE7D8C">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52278C00">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88771A6">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3EA8BC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D50A75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6A79DF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5D7381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44C8DF0">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A1CAFB2">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7484684">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6CA015B">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9E2B7D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7F02A29">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69117FD">
            <w:pPr>
              <w:widowControl/>
              <w:jc w:val="left"/>
              <w:rPr>
                <w:rFonts w:ascii="宋体" w:hAnsi="宋体" w:eastAsia="宋体" w:cs="Arial"/>
                <w:color w:val="000000"/>
                <w:kern w:val="0"/>
                <w:sz w:val="13"/>
                <w:szCs w:val="13"/>
              </w:rPr>
            </w:pPr>
          </w:p>
        </w:tc>
      </w:tr>
      <w:tr w14:paraId="509755CC">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49EF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B344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BF5F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A184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7AA3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A3A07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9E81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B439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F7C0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6A78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70A40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E118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31AFC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64DC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692BB3F">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172D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景德镇市珠山区里村街道办事处</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890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1,136.45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7B3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1.01</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315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1,135.44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926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1,135.44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B13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28A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477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227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EBA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CA6B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D9C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0C8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B4C89A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0C432CE">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D749E2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07C1452">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57C961A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DAD579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404001景德镇市珠山区里村街道办事处</w:t>
            </w:r>
          </w:p>
        </w:tc>
        <w:tc>
          <w:tcPr>
            <w:tcW w:w="914" w:type="pct"/>
            <w:tcBorders>
              <w:top w:val="nil"/>
              <w:left w:val="nil"/>
              <w:bottom w:val="nil"/>
              <w:right w:val="nil"/>
            </w:tcBorders>
            <w:shd w:val="clear" w:color="auto" w:fill="auto"/>
            <w:noWrap/>
            <w:vAlign w:val="bottom"/>
          </w:tcPr>
          <w:p w14:paraId="0A59397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BB258D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8A4F97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2D1774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9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B14A5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F305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0F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364D22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9577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E2A58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95A4CB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52B357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CBF95F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969490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2ECF7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E47F2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3519D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05AEC4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43BC54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B918C0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AFC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D3A0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09C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1,136.45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5F04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34D7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123.01</w:t>
            </w:r>
          </w:p>
        </w:tc>
      </w:tr>
      <w:tr w14:paraId="45F4551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84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775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C346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DD6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E52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41ADAE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58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A9FBC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6B0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334.47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A23B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4B41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B527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1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2D41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555F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1852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217.76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60F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5363A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1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063C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F36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116.71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220E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116.71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E9867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1868C1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CA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2AD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EE97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3EE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B68C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w:t>
            </w:r>
          </w:p>
        </w:tc>
      </w:tr>
      <w:tr w14:paraId="58DFBD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0C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4020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E07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CE88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9111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w:t>
            </w:r>
          </w:p>
        </w:tc>
      </w:tr>
      <w:tr w14:paraId="0353655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91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8DD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33D7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35E6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FB63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r>
      <w:tr w14:paraId="230A135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25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3D2C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D4763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DF0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7E5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0C502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80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EDA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31C1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807C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67B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80278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8F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DF6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6CF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C77D3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04F0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528E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C5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8FA5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8BC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B36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4E243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7035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C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EAC6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16F4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F94B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C33A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493F5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5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A035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EF9B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4044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C0A9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A7BD7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76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3307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2EA7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469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DA7B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F527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A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6439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9F98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FE2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075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28FADF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1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6890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F3EE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729.12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E13A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607.12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C15A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122.00</w:t>
            </w:r>
          </w:p>
        </w:tc>
      </w:tr>
      <w:tr w14:paraId="588660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C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2474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8036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729.12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A6F6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607.12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6FE7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122.00</w:t>
            </w:r>
          </w:p>
        </w:tc>
      </w:tr>
      <w:tr w14:paraId="6C7184A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63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AFE6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1B48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729.12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1B93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607.12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C96E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122.00</w:t>
            </w:r>
          </w:p>
        </w:tc>
      </w:tr>
      <w:tr w14:paraId="500D9B8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E5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D638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37CF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93C9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1CC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0BD80A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C4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0C7D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F6FA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7B30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2944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C4030F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6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1D19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B3E8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68A8D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1F1B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96A52D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4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BAA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B50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5B2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D3665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0.01</w:t>
            </w:r>
          </w:p>
        </w:tc>
      </w:tr>
      <w:tr w14:paraId="253447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B3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F42B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0DD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5499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6CF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0.01</w:t>
            </w:r>
          </w:p>
        </w:tc>
      </w:tr>
      <w:tr w14:paraId="3BA8E5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E9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B937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36A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F99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A02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0.01</w:t>
            </w:r>
          </w:p>
        </w:tc>
      </w:tr>
    </w:tbl>
    <w:p w14:paraId="74C1A40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593E5EC">
        <w:tblPrEx>
          <w:tblCellMar>
            <w:top w:w="0" w:type="dxa"/>
            <w:left w:w="108" w:type="dxa"/>
            <w:bottom w:w="0" w:type="dxa"/>
            <w:right w:w="108" w:type="dxa"/>
          </w:tblCellMar>
        </w:tblPrEx>
        <w:trPr>
          <w:trHeight w:val="585" w:hRule="atLeast"/>
          <w:tblHeader/>
        </w:trPr>
        <w:tc>
          <w:tcPr>
            <w:tcW w:w="5000" w:type="pct"/>
            <w:gridSpan w:val="7"/>
            <w:noWrap/>
            <w:vAlign w:val="center"/>
          </w:tcPr>
          <w:p w14:paraId="5F35E972">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6B4B490">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91236D5">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填报单位:404001景德镇市珠山区里村街道办事处</w:t>
            </w:r>
          </w:p>
        </w:tc>
        <w:tc>
          <w:tcPr>
            <w:tcW w:w="577" w:type="pct"/>
            <w:noWrap/>
            <w:vAlign w:val="bottom"/>
          </w:tcPr>
          <w:p w14:paraId="1CD9313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35E2DC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1A4C14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D3F86DD">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96319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A4AC7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3214206">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9335B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B0A86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449DB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6CFD4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1B9BA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F858DD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7ECF6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3B72A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83462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562EFD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1,135.44</w:t>
            </w:r>
          </w:p>
        </w:tc>
        <w:tc>
          <w:tcPr>
            <w:tcW w:w="948" w:type="pct"/>
            <w:tcBorders>
              <w:top w:val="nil"/>
              <w:left w:val="nil"/>
              <w:bottom w:val="single" w:color="000000" w:sz="4" w:space="0"/>
              <w:right w:val="single" w:color="000000" w:sz="4" w:space="0"/>
            </w:tcBorders>
            <w:noWrap/>
            <w:vAlign w:val="center"/>
          </w:tcPr>
          <w:p w14:paraId="2FBDF8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9DAF8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334.47</w:t>
            </w:r>
          </w:p>
        </w:tc>
        <w:tc>
          <w:tcPr>
            <w:tcW w:w="612" w:type="pct"/>
            <w:tcBorders>
              <w:top w:val="nil"/>
              <w:left w:val="nil"/>
              <w:bottom w:val="single" w:color="000000" w:sz="4" w:space="0"/>
              <w:right w:val="single" w:color="000000" w:sz="4" w:space="0"/>
            </w:tcBorders>
            <w:noWrap/>
            <w:vAlign w:val="center"/>
          </w:tcPr>
          <w:p w14:paraId="143862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334.47</w:t>
            </w:r>
          </w:p>
        </w:tc>
        <w:tc>
          <w:tcPr>
            <w:tcW w:w="602" w:type="pct"/>
            <w:tcBorders>
              <w:top w:val="nil"/>
              <w:left w:val="nil"/>
              <w:bottom w:val="single" w:color="000000" w:sz="4" w:space="0"/>
              <w:right w:val="single" w:color="000000" w:sz="4" w:space="0"/>
            </w:tcBorders>
            <w:noWrap/>
            <w:vAlign w:val="center"/>
          </w:tcPr>
          <w:p w14:paraId="0F3896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CCED8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CDE1C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DCA1C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58ABC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1,135.44</w:t>
            </w:r>
          </w:p>
        </w:tc>
        <w:tc>
          <w:tcPr>
            <w:tcW w:w="948" w:type="pct"/>
            <w:tcBorders>
              <w:top w:val="nil"/>
              <w:left w:val="single" w:color="000000" w:sz="4" w:space="0"/>
              <w:bottom w:val="single" w:color="000000" w:sz="4" w:space="0"/>
              <w:right w:val="single" w:color="000000" w:sz="4" w:space="0"/>
            </w:tcBorders>
            <w:noWrap/>
            <w:vAlign w:val="center"/>
          </w:tcPr>
          <w:p w14:paraId="14977D83">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094B1D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1.00</w:t>
            </w:r>
          </w:p>
        </w:tc>
        <w:tc>
          <w:tcPr>
            <w:tcW w:w="612" w:type="pct"/>
            <w:tcBorders>
              <w:top w:val="nil"/>
              <w:left w:val="nil"/>
              <w:bottom w:val="single" w:color="000000" w:sz="4" w:space="0"/>
              <w:right w:val="single" w:color="000000" w:sz="4" w:space="0"/>
            </w:tcBorders>
            <w:noWrap/>
            <w:vAlign w:val="center"/>
          </w:tcPr>
          <w:p w14:paraId="047EF3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1.00</w:t>
            </w:r>
          </w:p>
        </w:tc>
        <w:tc>
          <w:tcPr>
            <w:tcW w:w="602" w:type="pct"/>
            <w:tcBorders>
              <w:top w:val="nil"/>
              <w:left w:val="nil"/>
              <w:bottom w:val="single" w:color="000000" w:sz="4" w:space="0"/>
              <w:right w:val="single" w:color="000000" w:sz="4" w:space="0"/>
            </w:tcBorders>
            <w:noWrap/>
            <w:vAlign w:val="center"/>
          </w:tcPr>
          <w:p w14:paraId="1371D9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29742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DD2B9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F4EB7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9BE48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0C33F69">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F8A83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33.26</w:t>
            </w:r>
          </w:p>
        </w:tc>
        <w:tc>
          <w:tcPr>
            <w:tcW w:w="612" w:type="pct"/>
            <w:tcBorders>
              <w:top w:val="nil"/>
              <w:left w:val="nil"/>
              <w:bottom w:val="single" w:color="000000" w:sz="4" w:space="0"/>
              <w:right w:val="single" w:color="000000" w:sz="4" w:space="0"/>
            </w:tcBorders>
            <w:noWrap/>
            <w:vAlign w:val="center"/>
          </w:tcPr>
          <w:p w14:paraId="57F21D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33.26</w:t>
            </w:r>
          </w:p>
        </w:tc>
        <w:tc>
          <w:tcPr>
            <w:tcW w:w="602" w:type="pct"/>
            <w:tcBorders>
              <w:top w:val="nil"/>
              <w:left w:val="nil"/>
              <w:bottom w:val="single" w:color="000000" w:sz="4" w:space="0"/>
              <w:right w:val="single" w:color="000000" w:sz="4" w:space="0"/>
            </w:tcBorders>
            <w:noWrap/>
            <w:vAlign w:val="center"/>
          </w:tcPr>
          <w:p w14:paraId="1B502D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E57B0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B38E5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DC0B6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8F813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020EEC9">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2BD262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13.96</w:t>
            </w:r>
          </w:p>
        </w:tc>
        <w:tc>
          <w:tcPr>
            <w:tcW w:w="612" w:type="pct"/>
            <w:tcBorders>
              <w:top w:val="nil"/>
              <w:left w:val="nil"/>
              <w:bottom w:val="single" w:color="000000" w:sz="4" w:space="0"/>
              <w:right w:val="single" w:color="000000" w:sz="4" w:space="0"/>
            </w:tcBorders>
            <w:noWrap/>
            <w:vAlign w:val="center"/>
          </w:tcPr>
          <w:p w14:paraId="097D0F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13.96</w:t>
            </w:r>
          </w:p>
        </w:tc>
        <w:tc>
          <w:tcPr>
            <w:tcW w:w="602" w:type="pct"/>
            <w:tcBorders>
              <w:top w:val="nil"/>
              <w:left w:val="nil"/>
              <w:bottom w:val="single" w:color="000000" w:sz="4" w:space="0"/>
              <w:right w:val="single" w:color="000000" w:sz="4" w:space="0"/>
            </w:tcBorders>
            <w:noWrap/>
            <w:vAlign w:val="center"/>
          </w:tcPr>
          <w:p w14:paraId="544BC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E229C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7E6C5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05B7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82AC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25D1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城乡社区支出</w:t>
            </w:r>
          </w:p>
        </w:tc>
        <w:tc>
          <w:tcPr>
            <w:tcW w:w="577" w:type="pct"/>
            <w:tcBorders>
              <w:top w:val="nil"/>
              <w:left w:val="nil"/>
              <w:bottom w:val="single" w:color="000000" w:sz="4" w:space="0"/>
              <w:right w:val="single" w:color="000000" w:sz="4" w:space="0"/>
            </w:tcBorders>
            <w:noWrap/>
            <w:vAlign w:val="center"/>
          </w:tcPr>
          <w:p w14:paraId="634DF2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729.12</w:t>
            </w:r>
          </w:p>
        </w:tc>
        <w:tc>
          <w:tcPr>
            <w:tcW w:w="612" w:type="pct"/>
            <w:tcBorders>
              <w:top w:val="nil"/>
              <w:left w:val="nil"/>
              <w:bottom w:val="single" w:color="000000" w:sz="4" w:space="0"/>
              <w:right w:val="single" w:color="000000" w:sz="4" w:space="0"/>
            </w:tcBorders>
            <w:noWrap/>
            <w:vAlign w:val="center"/>
          </w:tcPr>
          <w:p w14:paraId="3B2C5E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729.12</w:t>
            </w:r>
          </w:p>
        </w:tc>
        <w:tc>
          <w:tcPr>
            <w:tcW w:w="602" w:type="pct"/>
            <w:tcBorders>
              <w:top w:val="nil"/>
              <w:left w:val="nil"/>
              <w:bottom w:val="single" w:color="000000" w:sz="4" w:space="0"/>
              <w:right w:val="single" w:color="000000" w:sz="4" w:space="0"/>
            </w:tcBorders>
            <w:noWrap/>
            <w:vAlign w:val="center"/>
          </w:tcPr>
          <w:p w14:paraId="1C0DB7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69922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95899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2EF1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B37F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3FAB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3D11E6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24.63</w:t>
            </w:r>
          </w:p>
        </w:tc>
        <w:tc>
          <w:tcPr>
            <w:tcW w:w="612" w:type="pct"/>
            <w:tcBorders>
              <w:top w:val="nil"/>
              <w:left w:val="nil"/>
              <w:bottom w:val="single" w:color="000000" w:sz="4" w:space="0"/>
              <w:right w:val="single" w:color="000000" w:sz="4" w:space="0"/>
            </w:tcBorders>
            <w:noWrap/>
            <w:vAlign w:val="center"/>
          </w:tcPr>
          <w:p w14:paraId="677C9F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24.63</w:t>
            </w:r>
          </w:p>
        </w:tc>
        <w:tc>
          <w:tcPr>
            <w:tcW w:w="602" w:type="pct"/>
            <w:tcBorders>
              <w:top w:val="nil"/>
              <w:left w:val="nil"/>
              <w:bottom w:val="single" w:color="000000" w:sz="4" w:space="0"/>
              <w:right w:val="single" w:color="000000" w:sz="4" w:space="0"/>
            </w:tcBorders>
            <w:noWrap/>
            <w:vAlign w:val="center"/>
          </w:tcPr>
          <w:p w14:paraId="3B9A04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4D442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90166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7E30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04C6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6CEE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灾害防治及应急管理支出</w:t>
            </w:r>
          </w:p>
        </w:tc>
        <w:tc>
          <w:tcPr>
            <w:tcW w:w="577" w:type="pct"/>
            <w:tcBorders>
              <w:top w:val="nil"/>
              <w:left w:val="nil"/>
              <w:bottom w:val="single" w:color="000000" w:sz="4" w:space="0"/>
              <w:right w:val="single" w:color="000000" w:sz="4" w:space="0"/>
            </w:tcBorders>
            <w:noWrap/>
            <w:vAlign w:val="center"/>
          </w:tcPr>
          <w:p w14:paraId="78494E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0.01</w:t>
            </w:r>
          </w:p>
        </w:tc>
        <w:tc>
          <w:tcPr>
            <w:tcW w:w="612" w:type="pct"/>
            <w:tcBorders>
              <w:top w:val="nil"/>
              <w:left w:val="nil"/>
              <w:bottom w:val="single" w:color="000000" w:sz="4" w:space="0"/>
              <w:right w:val="single" w:color="000000" w:sz="4" w:space="0"/>
            </w:tcBorders>
            <w:noWrap/>
            <w:vAlign w:val="center"/>
          </w:tcPr>
          <w:p w14:paraId="680410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0.01</w:t>
            </w:r>
          </w:p>
        </w:tc>
        <w:tc>
          <w:tcPr>
            <w:tcW w:w="602" w:type="pct"/>
            <w:tcBorders>
              <w:top w:val="nil"/>
              <w:left w:val="nil"/>
              <w:bottom w:val="single" w:color="000000" w:sz="4" w:space="0"/>
              <w:right w:val="single" w:color="000000" w:sz="4" w:space="0"/>
            </w:tcBorders>
            <w:noWrap/>
            <w:vAlign w:val="center"/>
          </w:tcPr>
          <w:p w14:paraId="12FF05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5E3C5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E0017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B97B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42E4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E382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1437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3ADA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196C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923E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C6B2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3BE5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9DC8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113B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17B6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1F10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4C24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264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ED7F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1F5F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F7C9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5D27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A121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7E92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BEDB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833F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609B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7F5D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811A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6622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EF0B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37A1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5022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66B0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ED7F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D368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CB03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B95C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7E25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23A3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E0D1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A9F0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C1CF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5140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60EB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23CA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30E0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DF3B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247C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5785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B6BA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4319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5510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86D7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E431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D9D7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BAFF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D577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1A45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CAB6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8EAB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1D38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E33F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A5BC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4BFE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6F6D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06A9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8916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E0BF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7EEB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3B7D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7833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E267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9DB9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25B1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EF6C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1933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E9D4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A819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33B0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42FD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A021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F43A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3C19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2D29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C7DE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162B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C6C0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B9BE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0D65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81A5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7ECC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9CF9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53A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70B6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4DE2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8153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DF37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DD65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33F4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7AC9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48DE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CDC5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7BBE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0110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2B9E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ABC2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C168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898D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0832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6C14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75CC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93E9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E3E2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6822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04D8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0259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15FB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6C77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C105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B88E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285A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D303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30C8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A527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A28A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6438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E5CC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8F08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A1B1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77C47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23AD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FE7A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BF9C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FEE2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53CB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8EF6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3AE0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2D3ACF">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222DDA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2144F0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62CBA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DF07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EEBF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73CC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CF7D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2B90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7E74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4CF9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779D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38306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8536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2352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5CEB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B6B5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FAE7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81B2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AA2E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860AB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A880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CB42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5A61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BDDF9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D5DF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DB7DA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FC438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15C93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434A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FCC3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05EA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1CCA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7B78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96D0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8C6B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0AB72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CBA1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3091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C91D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98F1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6590E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CBF62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1.01　</w:t>
            </w:r>
          </w:p>
        </w:tc>
        <w:tc>
          <w:tcPr>
            <w:tcW w:w="948" w:type="pct"/>
            <w:tcBorders>
              <w:top w:val="nil"/>
              <w:left w:val="nil"/>
              <w:bottom w:val="single" w:color="auto" w:sz="4" w:space="0"/>
              <w:right w:val="single" w:color="000000" w:sz="4" w:space="0"/>
            </w:tcBorders>
            <w:noWrap/>
            <w:vAlign w:val="center"/>
          </w:tcPr>
          <w:p w14:paraId="21AFCBDE">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67B267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88AF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FD4C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7D6D7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9AA5B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A8E1AC5">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4F9EBC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1.01　</w:t>
            </w:r>
          </w:p>
        </w:tc>
        <w:tc>
          <w:tcPr>
            <w:tcW w:w="948" w:type="pct"/>
            <w:tcBorders>
              <w:top w:val="single" w:color="auto" w:sz="4" w:space="0"/>
              <w:left w:val="single" w:color="auto" w:sz="4" w:space="0"/>
              <w:bottom w:val="single" w:color="auto" w:sz="4" w:space="0"/>
              <w:right w:val="single" w:color="auto" w:sz="4" w:space="0"/>
            </w:tcBorders>
            <w:noWrap/>
            <w:vAlign w:val="center"/>
          </w:tcPr>
          <w:p w14:paraId="6C93EE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F1670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12EF2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7EE07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503C83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A43D81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4B0480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19499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C5EFB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26E85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45BF3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52AB1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A07BCB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63596C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79255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81E59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1,136.45</w:t>
            </w:r>
          </w:p>
        </w:tc>
        <w:tc>
          <w:tcPr>
            <w:tcW w:w="948" w:type="pct"/>
            <w:tcBorders>
              <w:top w:val="single" w:color="auto" w:sz="4" w:space="0"/>
              <w:left w:val="single" w:color="auto" w:sz="4" w:space="0"/>
              <w:bottom w:val="single" w:color="auto" w:sz="4" w:space="0"/>
              <w:right w:val="single" w:color="auto" w:sz="4" w:space="0"/>
            </w:tcBorders>
            <w:noWrap/>
            <w:vAlign w:val="center"/>
          </w:tcPr>
          <w:p w14:paraId="0154BF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9C59F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1,136.45</w:t>
            </w:r>
          </w:p>
        </w:tc>
        <w:tc>
          <w:tcPr>
            <w:tcW w:w="612" w:type="pct"/>
            <w:tcBorders>
              <w:top w:val="single" w:color="auto" w:sz="4" w:space="0"/>
              <w:left w:val="single" w:color="auto" w:sz="4" w:space="0"/>
              <w:bottom w:val="single" w:color="auto" w:sz="4" w:space="0"/>
              <w:right w:val="single" w:color="auto" w:sz="4" w:space="0"/>
            </w:tcBorders>
            <w:noWrap/>
            <w:vAlign w:val="center"/>
          </w:tcPr>
          <w:p w14:paraId="5789BB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1,136.45</w:t>
            </w:r>
          </w:p>
        </w:tc>
        <w:tc>
          <w:tcPr>
            <w:tcW w:w="602" w:type="pct"/>
            <w:tcBorders>
              <w:top w:val="single" w:color="auto" w:sz="4" w:space="0"/>
              <w:left w:val="single" w:color="auto" w:sz="4" w:space="0"/>
              <w:bottom w:val="single" w:color="auto" w:sz="4" w:space="0"/>
              <w:right w:val="single" w:color="auto" w:sz="4" w:space="0"/>
            </w:tcBorders>
            <w:noWrap/>
            <w:vAlign w:val="center"/>
          </w:tcPr>
          <w:p w14:paraId="41C84A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1DFE41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A35FF4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8172AFC">
        <w:tblPrEx>
          <w:tblCellMar>
            <w:top w:w="0" w:type="dxa"/>
            <w:left w:w="108" w:type="dxa"/>
            <w:bottom w:w="0" w:type="dxa"/>
            <w:right w:w="108" w:type="dxa"/>
          </w:tblCellMar>
        </w:tblPrEx>
        <w:trPr>
          <w:trHeight w:val="585" w:hRule="atLeast"/>
          <w:tblHeader/>
        </w:trPr>
        <w:tc>
          <w:tcPr>
            <w:tcW w:w="5000" w:type="pct"/>
            <w:gridSpan w:val="5"/>
            <w:noWrap/>
            <w:vAlign w:val="center"/>
          </w:tcPr>
          <w:p w14:paraId="56A6209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65AFB34">
        <w:tblPrEx>
          <w:tblCellMar>
            <w:top w:w="0" w:type="dxa"/>
            <w:left w:w="108" w:type="dxa"/>
            <w:bottom w:w="0" w:type="dxa"/>
            <w:right w:w="108" w:type="dxa"/>
          </w:tblCellMar>
        </w:tblPrEx>
        <w:trPr>
          <w:trHeight w:val="420" w:hRule="atLeast"/>
          <w:tblHeader/>
        </w:trPr>
        <w:tc>
          <w:tcPr>
            <w:tcW w:w="2433" w:type="pct"/>
            <w:gridSpan w:val="2"/>
            <w:noWrap/>
            <w:vAlign w:val="center"/>
          </w:tcPr>
          <w:p w14:paraId="22C13B1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填报单位:404001景德镇市珠山区里村街道办事处</w:t>
            </w:r>
          </w:p>
        </w:tc>
        <w:tc>
          <w:tcPr>
            <w:tcW w:w="1056" w:type="pct"/>
            <w:noWrap/>
            <w:vAlign w:val="bottom"/>
          </w:tcPr>
          <w:p w14:paraId="02D5434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AFC485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82B442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9F531E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88D14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17AE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D906B2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3B1AC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AB6E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CAAC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CC61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FF06F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16C6A2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06431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98E98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C4EA2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FF6AE5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0B653A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24CAC5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D93E3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D5C3C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D91C4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1,135.44</w:t>
            </w:r>
          </w:p>
        </w:tc>
        <w:tc>
          <w:tcPr>
            <w:tcW w:w="684" w:type="pct"/>
            <w:tcBorders>
              <w:top w:val="single" w:color="000000" w:sz="4" w:space="0"/>
              <w:left w:val="nil"/>
              <w:bottom w:val="single" w:color="000000" w:sz="4" w:space="0"/>
              <w:right w:val="single" w:color="000000" w:sz="4" w:space="0"/>
            </w:tcBorders>
            <w:noWrap/>
            <w:vAlign w:val="center"/>
          </w:tcPr>
          <w:p w14:paraId="3D0AE4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1,013.44</w:t>
            </w:r>
          </w:p>
        </w:tc>
        <w:tc>
          <w:tcPr>
            <w:tcW w:w="825" w:type="pct"/>
            <w:tcBorders>
              <w:top w:val="single" w:color="000000" w:sz="4" w:space="0"/>
              <w:left w:val="nil"/>
              <w:bottom w:val="single" w:color="000000" w:sz="4" w:space="0"/>
              <w:right w:val="single" w:color="000000" w:sz="4" w:space="0"/>
            </w:tcBorders>
            <w:noWrap/>
            <w:vAlign w:val="center"/>
          </w:tcPr>
          <w:p w14:paraId="5E4A87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122.00</w:t>
            </w:r>
          </w:p>
        </w:tc>
      </w:tr>
      <w:tr w14:paraId="11BEDC1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DAB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76054E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2357B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334.47</w:t>
            </w:r>
          </w:p>
        </w:tc>
        <w:tc>
          <w:tcPr>
            <w:tcW w:w="684" w:type="pct"/>
            <w:tcBorders>
              <w:top w:val="single" w:color="000000" w:sz="4" w:space="0"/>
              <w:left w:val="nil"/>
              <w:bottom w:val="single" w:color="000000" w:sz="4" w:space="0"/>
              <w:right w:val="single" w:color="000000" w:sz="4" w:space="0"/>
            </w:tcBorders>
            <w:noWrap/>
            <w:vAlign w:val="center"/>
          </w:tcPr>
          <w:p w14:paraId="7B958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334.47</w:t>
            </w:r>
          </w:p>
        </w:tc>
        <w:tc>
          <w:tcPr>
            <w:tcW w:w="825" w:type="pct"/>
            <w:tcBorders>
              <w:top w:val="single" w:color="000000" w:sz="4" w:space="0"/>
              <w:left w:val="nil"/>
              <w:bottom w:val="single" w:color="000000" w:sz="4" w:space="0"/>
              <w:right w:val="single" w:color="000000" w:sz="4" w:space="0"/>
            </w:tcBorders>
            <w:noWrap/>
            <w:vAlign w:val="center"/>
          </w:tcPr>
          <w:p w14:paraId="6B79BA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43A9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3BA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717418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670AF0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334.47</w:t>
            </w:r>
          </w:p>
        </w:tc>
        <w:tc>
          <w:tcPr>
            <w:tcW w:w="684" w:type="pct"/>
            <w:tcBorders>
              <w:top w:val="single" w:color="000000" w:sz="4" w:space="0"/>
              <w:left w:val="nil"/>
              <w:bottom w:val="single" w:color="000000" w:sz="4" w:space="0"/>
              <w:right w:val="single" w:color="000000" w:sz="4" w:space="0"/>
            </w:tcBorders>
            <w:noWrap/>
            <w:vAlign w:val="center"/>
          </w:tcPr>
          <w:p w14:paraId="067207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334.47</w:t>
            </w:r>
          </w:p>
        </w:tc>
        <w:tc>
          <w:tcPr>
            <w:tcW w:w="825" w:type="pct"/>
            <w:tcBorders>
              <w:top w:val="single" w:color="000000" w:sz="4" w:space="0"/>
              <w:left w:val="nil"/>
              <w:bottom w:val="single" w:color="000000" w:sz="4" w:space="0"/>
              <w:right w:val="single" w:color="000000" w:sz="4" w:space="0"/>
            </w:tcBorders>
            <w:noWrap/>
            <w:vAlign w:val="center"/>
          </w:tcPr>
          <w:p w14:paraId="632D74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861CB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32C3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70768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38AA97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217.76</w:t>
            </w:r>
          </w:p>
        </w:tc>
        <w:tc>
          <w:tcPr>
            <w:tcW w:w="684" w:type="pct"/>
            <w:tcBorders>
              <w:top w:val="single" w:color="000000" w:sz="4" w:space="0"/>
              <w:left w:val="nil"/>
              <w:bottom w:val="single" w:color="000000" w:sz="4" w:space="0"/>
              <w:right w:val="single" w:color="000000" w:sz="4" w:space="0"/>
            </w:tcBorders>
            <w:noWrap/>
            <w:vAlign w:val="center"/>
          </w:tcPr>
          <w:p w14:paraId="73BE24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217.76</w:t>
            </w:r>
          </w:p>
        </w:tc>
        <w:tc>
          <w:tcPr>
            <w:tcW w:w="825" w:type="pct"/>
            <w:tcBorders>
              <w:top w:val="single" w:color="000000" w:sz="4" w:space="0"/>
              <w:left w:val="nil"/>
              <w:bottom w:val="single" w:color="000000" w:sz="4" w:space="0"/>
              <w:right w:val="single" w:color="000000" w:sz="4" w:space="0"/>
            </w:tcBorders>
            <w:noWrap/>
            <w:vAlign w:val="center"/>
          </w:tcPr>
          <w:p w14:paraId="5CCD3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993DC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4B2A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579" w:type="pct"/>
            <w:tcBorders>
              <w:top w:val="single" w:color="000000" w:sz="4" w:space="0"/>
              <w:left w:val="nil"/>
              <w:bottom w:val="single" w:color="000000" w:sz="4" w:space="0"/>
              <w:right w:val="single" w:color="000000" w:sz="4" w:space="0"/>
            </w:tcBorders>
            <w:noWrap/>
            <w:vAlign w:val="center"/>
          </w:tcPr>
          <w:p w14:paraId="01F3C5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14:paraId="3D4F1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116.71</w:t>
            </w:r>
          </w:p>
        </w:tc>
        <w:tc>
          <w:tcPr>
            <w:tcW w:w="684" w:type="pct"/>
            <w:tcBorders>
              <w:top w:val="single" w:color="000000" w:sz="4" w:space="0"/>
              <w:left w:val="nil"/>
              <w:bottom w:val="single" w:color="000000" w:sz="4" w:space="0"/>
              <w:right w:val="single" w:color="000000" w:sz="4" w:space="0"/>
            </w:tcBorders>
            <w:noWrap/>
            <w:vAlign w:val="center"/>
          </w:tcPr>
          <w:p w14:paraId="257FB1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116.71</w:t>
            </w:r>
          </w:p>
        </w:tc>
        <w:tc>
          <w:tcPr>
            <w:tcW w:w="825" w:type="pct"/>
            <w:tcBorders>
              <w:top w:val="single" w:color="000000" w:sz="4" w:space="0"/>
              <w:left w:val="nil"/>
              <w:bottom w:val="single" w:color="000000" w:sz="4" w:space="0"/>
              <w:right w:val="single" w:color="000000" w:sz="4" w:space="0"/>
            </w:tcBorders>
            <w:noWrap/>
            <w:vAlign w:val="center"/>
          </w:tcPr>
          <w:p w14:paraId="09D90C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CC0B5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9DFA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5AC329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1FB27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33.26</w:t>
            </w:r>
          </w:p>
        </w:tc>
        <w:tc>
          <w:tcPr>
            <w:tcW w:w="684" w:type="pct"/>
            <w:tcBorders>
              <w:top w:val="single" w:color="000000" w:sz="4" w:space="0"/>
              <w:left w:val="nil"/>
              <w:bottom w:val="single" w:color="000000" w:sz="4" w:space="0"/>
              <w:right w:val="single" w:color="000000" w:sz="4" w:space="0"/>
            </w:tcBorders>
            <w:noWrap/>
            <w:vAlign w:val="center"/>
          </w:tcPr>
          <w:p w14:paraId="4C45AD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33.26</w:t>
            </w:r>
          </w:p>
        </w:tc>
        <w:tc>
          <w:tcPr>
            <w:tcW w:w="825" w:type="pct"/>
            <w:tcBorders>
              <w:top w:val="single" w:color="000000" w:sz="4" w:space="0"/>
              <w:left w:val="nil"/>
              <w:bottom w:val="single" w:color="000000" w:sz="4" w:space="0"/>
              <w:right w:val="single" w:color="000000" w:sz="4" w:space="0"/>
            </w:tcBorders>
            <w:noWrap/>
            <w:vAlign w:val="center"/>
          </w:tcPr>
          <w:p w14:paraId="037AA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D23A6A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FCEE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3E7C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96A84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32.84</w:t>
            </w:r>
          </w:p>
        </w:tc>
        <w:tc>
          <w:tcPr>
            <w:tcW w:w="684" w:type="pct"/>
            <w:tcBorders>
              <w:top w:val="single" w:color="000000" w:sz="4" w:space="0"/>
              <w:left w:val="nil"/>
              <w:bottom w:val="single" w:color="000000" w:sz="4" w:space="0"/>
              <w:right w:val="single" w:color="000000" w:sz="4" w:space="0"/>
            </w:tcBorders>
            <w:noWrap/>
            <w:vAlign w:val="center"/>
          </w:tcPr>
          <w:p w14:paraId="57102C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32.84</w:t>
            </w:r>
          </w:p>
        </w:tc>
        <w:tc>
          <w:tcPr>
            <w:tcW w:w="825" w:type="pct"/>
            <w:tcBorders>
              <w:top w:val="single" w:color="000000" w:sz="4" w:space="0"/>
              <w:left w:val="nil"/>
              <w:bottom w:val="single" w:color="000000" w:sz="4" w:space="0"/>
              <w:right w:val="single" w:color="000000" w:sz="4" w:space="0"/>
            </w:tcBorders>
            <w:noWrap/>
            <w:vAlign w:val="center"/>
          </w:tcPr>
          <w:p w14:paraId="0AE7B6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1F953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BF1E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12E8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A3B97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32.84</w:t>
            </w:r>
          </w:p>
        </w:tc>
        <w:tc>
          <w:tcPr>
            <w:tcW w:w="684" w:type="pct"/>
            <w:tcBorders>
              <w:top w:val="single" w:color="000000" w:sz="4" w:space="0"/>
              <w:left w:val="nil"/>
              <w:bottom w:val="single" w:color="000000" w:sz="4" w:space="0"/>
              <w:right w:val="single" w:color="000000" w:sz="4" w:space="0"/>
            </w:tcBorders>
            <w:noWrap/>
            <w:vAlign w:val="center"/>
          </w:tcPr>
          <w:p w14:paraId="6A25D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32.84</w:t>
            </w:r>
          </w:p>
        </w:tc>
        <w:tc>
          <w:tcPr>
            <w:tcW w:w="825" w:type="pct"/>
            <w:tcBorders>
              <w:top w:val="single" w:color="000000" w:sz="4" w:space="0"/>
              <w:left w:val="nil"/>
              <w:bottom w:val="single" w:color="000000" w:sz="4" w:space="0"/>
              <w:right w:val="single" w:color="000000" w:sz="4" w:space="0"/>
            </w:tcBorders>
            <w:noWrap/>
            <w:vAlign w:val="center"/>
          </w:tcPr>
          <w:p w14:paraId="2AE848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00B0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2001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579" w:type="pct"/>
            <w:tcBorders>
              <w:top w:val="single" w:color="000000" w:sz="4" w:space="0"/>
              <w:left w:val="nil"/>
              <w:bottom w:val="single" w:color="000000" w:sz="4" w:space="0"/>
              <w:right w:val="single" w:color="000000" w:sz="4" w:space="0"/>
            </w:tcBorders>
            <w:noWrap/>
            <w:vAlign w:val="center"/>
          </w:tcPr>
          <w:p w14:paraId="6DD22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28D85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0.41</w:t>
            </w:r>
          </w:p>
        </w:tc>
        <w:tc>
          <w:tcPr>
            <w:tcW w:w="684" w:type="pct"/>
            <w:tcBorders>
              <w:top w:val="single" w:color="000000" w:sz="4" w:space="0"/>
              <w:left w:val="nil"/>
              <w:bottom w:val="single" w:color="000000" w:sz="4" w:space="0"/>
              <w:right w:val="single" w:color="000000" w:sz="4" w:space="0"/>
            </w:tcBorders>
            <w:noWrap/>
            <w:vAlign w:val="center"/>
          </w:tcPr>
          <w:p w14:paraId="44C84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0.41</w:t>
            </w:r>
          </w:p>
        </w:tc>
        <w:tc>
          <w:tcPr>
            <w:tcW w:w="825" w:type="pct"/>
            <w:tcBorders>
              <w:top w:val="single" w:color="000000" w:sz="4" w:space="0"/>
              <w:left w:val="nil"/>
              <w:bottom w:val="single" w:color="000000" w:sz="4" w:space="0"/>
              <w:right w:val="single" w:color="000000" w:sz="4" w:space="0"/>
            </w:tcBorders>
            <w:noWrap/>
            <w:vAlign w:val="center"/>
          </w:tcPr>
          <w:p w14:paraId="03944A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1C099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FD5B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579" w:type="pct"/>
            <w:tcBorders>
              <w:top w:val="single" w:color="000000" w:sz="4" w:space="0"/>
              <w:left w:val="nil"/>
              <w:bottom w:val="single" w:color="000000" w:sz="4" w:space="0"/>
              <w:right w:val="single" w:color="000000" w:sz="4" w:space="0"/>
            </w:tcBorders>
            <w:noWrap/>
            <w:vAlign w:val="center"/>
          </w:tcPr>
          <w:p w14:paraId="19978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6DCF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684" w:type="pct"/>
            <w:tcBorders>
              <w:top w:val="single" w:color="000000" w:sz="4" w:space="0"/>
              <w:left w:val="nil"/>
              <w:bottom w:val="single" w:color="000000" w:sz="4" w:space="0"/>
              <w:right w:val="single" w:color="000000" w:sz="4" w:space="0"/>
            </w:tcBorders>
            <w:noWrap/>
            <w:vAlign w:val="center"/>
          </w:tcPr>
          <w:p w14:paraId="11910D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0.41</w:t>
            </w:r>
          </w:p>
        </w:tc>
        <w:tc>
          <w:tcPr>
            <w:tcW w:w="825" w:type="pct"/>
            <w:tcBorders>
              <w:top w:val="single" w:color="000000" w:sz="4" w:space="0"/>
              <w:left w:val="nil"/>
              <w:bottom w:val="single" w:color="000000" w:sz="4" w:space="0"/>
              <w:right w:val="single" w:color="000000" w:sz="4" w:space="0"/>
            </w:tcBorders>
            <w:noWrap/>
            <w:vAlign w:val="center"/>
          </w:tcPr>
          <w:p w14:paraId="0792F1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BE2A70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4FD8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3AA40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E557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13.96</w:t>
            </w:r>
          </w:p>
        </w:tc>
        <w:tc>
          <w:tcPr>
            <w:tcW w:w="684" w:type="pct"/>
            <w:tcBorders>
              <w:top w:val="single" w:color="000000" w:sz="4" w:space="0"/>
              <w:left w:val="nil"/>
              <w:bottom w:val="single" w:color="000000" w:sz="4" w:space="0"/>
              <w:right w:val="single" w:color="000000" w:sz="4" w:space="0"/>
            </w:tcBorders>
            <w:noWrap/>
            <w:vAlign w:val="center"/>
          </w:tcPr>
          <w:p w14:paraId="04291F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13.96</w:t>
            </w:r>
          </w:p>
        </w:tc>
        <w:tc>
          <w:tcPr>
            <w:tcW w:w="825" w:type="pct"/>
            <w:tcBorders>
              <w:top w:val="single" w:color="000000" w:sz="4" w:space="0"/>
              <w:left w:val="nil"/>
              <w:bottom w:val="single" w:color="000000" w:sz="4" w:space="0"/>
              <w:right w:val="single" w:color="000000" w:sz="4" w:space="0"/>
            </w:tcBorders>
            <w:noWrap/>
            <w:vAlign w:val="center"/>
          </w:tcPr>
          <w:p w14:paraId="56D2BF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8F8C7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A01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EA95B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75BBC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13.96</w:t>
            </w:r>
          </w:p>
        </w:tc>
        <w:tc>
          <w:tcPr>
            <w:tcW w:w="684" w:type="pct"/>
            <w:tcBorders>
              <w:top w:val="single" w:color="000000" w:sz="4" w:space="0"/>
              <w:left w:val="nil"/>
              <w:bottom w:val="single" w:color="000000" w:sz="4" w:space="0"/>
              <w:right w:val="single" w:color="000000" w:sz="4" w:space="0"/>
            </w:tcBorders>
            <w:noWrap/>
            <w:vAlign w:val="center"/>
          </w:tcPr>
          <w:p w14:paraId="2AA85F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13.96</w:t>
            </w:r>
          </w:p>
        </w:tc>
        <w:tc>
          <w:tcPr>
            <w:tcW w:w="825" w:type="pct"/>
            <w:tcBorders>
              <w:top w:val="single" w:color="000000" w:sz="4" w:space="0"/>
              <w:left w:val="nil"/>
              <w:bottom w:val="single" w:color="000000" w:sz="4" w:space="0"/>
              <w:right w:val="single" w:color="000000" w:sz="4" w:space="0"/>
            </w:tcBorders>
            <w:noWrap/>
            <w:vAlign w:val="center"/>
          </w:tcPr>
          <w:p w14:paraId="008D4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EC92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8956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7644E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2964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13.96</w:t>
            </w:r>
          </w:p>
        </w:tc>
        <w:tc>
          <w:tcPr>
            <w:tcW w:w="684" w:type="pct"/>
            <w:tcBorders>
              <w:top w:val="single" w:color="000000" w:sz="4" w:space="0"/>
              <w:left w:val="nil"/>
              <w:bottom w:val="single" w:color="000000" w:sz="4" w:space="0"/>
              <w:right w:val="single" w:color="000000" w:sz="4" w:space="0"/>
            </w:tcBorders>
            <w:noWrap/>
            <w:vAlign w:val="center"/>
          </w:tcPr>
          <w:p w14:paraId="69325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13.96</w:t>
            </w:r>
          </w:p>
        </w:tc>
        <w:tc>
          <w:tcPr>
            <w:tcW w:w="825" w:type="pct"/>
            <w:tcBorders>
              <w:top w:val="single" w:color="000000" w:sz="4" w:space="0"/>
              <w:left w:val="nil"/>
              <w:bottom w:val="single" w:color="000000" w:sz="4" w:space="0"/>
              <w:right w:val="single" w:color="000000" w:sz="4" w:space="0"/>
            </w:tcBorders>
            <w:noWrap/>
            <w:vAlign w:val="center"/>
          </w:tcPr>
          <w:p w14:paraId="07FA7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920DF4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C37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579" w:type="pct"/>
            <w:tcBorders>
              <w:top w:val="single" w:color="000000" w:sz="4" w:space="0"/>
              <w:left w:val="nil"/>
              <w:bottom w:val="single" w:color="000000" w:sz="4" w:space="0"/>
              <w:right w:val="single" w:color="000000" w:sz="4" w:space="0"/>
            </w:tcBorders>
            <w:noWrap/>
            <w:vAlign w:val="center"/>
          </w:tcPr>
          <w:p w14:paraId="37556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056" w:type="pct"/>
            <w:tcBorders>
              <w:top w:val="single" w:color="000000" w:sz="4" w:space="0"/>
              <w:left w:val="nil"/>
              <w:bottom w:val="single" w:color="000000" w:sz="4" w:space="0"/>
              <w:right w:val="single" w:color="000000" w:sz="4" w:space="0"/>
            </w:tcBorders>
            <w:noWrap/>
            <w:vAlign w:val="center"/>
          </w:tcPr>
          <w:p w14:paraId="2F9697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729.12</w:t>
            </w:r>
          </w:p>
        </w:tc>
        <w:tc>
          <w:tcPr>
            <w:tcW w:w="684" w:type="pct"/>
            <w:tcBorders>
              <w:top w:val="single" w:color="000000" w:sz="4" w:space="0"/>
              <w:left w:val="nil"/>
              <w:bottom w:val="single" w:color="000000" w:sz="4" w:space="0"/>
              <w:right w:val="single" w:color="000000" w:sz="4" w:space="0"/>
            </w:tcBorders>
            <w:noWrap/>
            <w:vAlign w:val="center"/>
          </w:tcPr>
          <w:p w14:paraId="786243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607.12</w:t>
            </w:r>
          </w:p>
        </w:tc>
        <w:tc>
          <w:tcPr>
            <w:tcW w:w="825" w:type="pct"/>
            <w:tcBorders>
              <w:top w:val="single" w:color="000000" w:sz="4" w:space="0"/>
              <w:left w:val="nil"/>
              <w:bottom w:val="single" w:color="000000" w:sz="4" w:space="0"/>
              <w:right w:val="single" w:color="000000" w:sz="4" w:space="0"/>
            </w:tcBorders>
            <w:noWrap/>
            <w:vAlign w:val="center"/>
          </w:tcPr>
          <w:p w14:paraId="6C9CFF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122.00</w:t>
            </w:r>
          </w:p>
        </w:tc>
      </w:tr>
      <w:tr w14:paraId="635FA8B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E3F55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1579" w:type="pct"/>
            <w:tcBorders>
              <w:top w:val="single" w:color="000000" w:sz="4" w:space="0"/>
              <w:left w:val="nil"/>
              <w:bottom w:val="single" w:color="000000" w:sz="4" w:space="0"/>
              <w:right w:val="single" w:color="000000" w:sz="4" w:space="0"/>
            </w:tcBorders>
            <w:noWrap/>
            <w:vAlign w:val="center"/>
          </w:tcPr>
          <w:p w14:paraId="1B3224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1056" w:type="pct"/>
            <w:tcBorders>
              <w:top w:val="single" w:color="000000" w:sz="4" w:space="0"/>
              <w:left w:val="nil"/>
              <w:bottom w:val="single" w:color="000000" w:sz="4" w:space="0"/>
              <w:right w:val="single" w:color="000000" w:sz="4" w:space="0"/>
            </w:tcBorders>
            <w:noWrap/>
            <w:vAlign w:val="center"/>
          </w:tcPr>
          <w:p w14:paraId="00539D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729.12</w:t>
            </w:r>
          </w:p>
        </w:tc>
        <w:tc>
          <w:tcPr>
            <w:tcW w:w="684" w:type="pct"/>
            <w:tcBorders>
              <w:top w:val="single" w:color="000000" w:sz="4" w:space="0"/>
              <w:left w:val="nil"/>
              <w:bottom w:val="single" w:color="000000" w:sz="4" w:space="0"/>
              <w:right w:val="single" w:color="000000" w:sz="4" w:space="0"/>
            </w:tcBorders>
            <w:noWrap/>
            <w:vAlign w:val="center"/>
          </w:tcPr>
          <w:p w14:paraId="0E6E8E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607.12</w:t>
            </w:r>
          </w:p>
        </w:tc>
        <w:tc>
          <w:tcPr>
            <w:tcW w:w="825" w:type="pct"/>
            <w:tcBorders>
              <w:top w:val="single" w:color="000000" w:sz="4" w:space="0"/>
              <w:left w:val="nil"/>
              <w:bottom w:val="single" w:color="000000" w:sz="4" w:space="0"/>
              <w:right w:val="single" w:color="000000" w:sz="4" w:space="0"/>
            </w:tcBorders>
            <w:noWrap/>
            <w:vAlign w:val="center"/>
          </w:tcPr>
          <w:p w14:paraId="67F9D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122.00</w:t>
            </w:r>
          </w:p>
        </w:tc>
      </w:tr>
      <w:tr w14:paraId="420CE0E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C1E2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1579" w:type="pct"/>
            <w:tcBorders>
              <w:top w:val="single" w:color="000000" w:sz="4" w:space="0"/>
              <w:left w:val="nil"/>
              <w:bottom w:val="single" w:color="000000" w:sz="4" w:space="0"/>
              <w:right w:val="single" w:color="000000" w:sz="4" w:space="0"/>
            </w:tcBorders>
            <w:noWrap/>
            <w:vAlign w:val="center"/>
          </w:tcPr>
          <w:p w14:paraId="0BB367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1056" w:type="pct"/>
            <w:tcBorders>
              <w:top w:val="single" w:color="000000" w:sz="4" w:space="0"/>
              <w:left w:val="nil"/>
              <w:bottom w:val="single" w:color="000000" w:sz="4" w:space="0"/>
              <w:right w:val="single" w:color="000000" w:sz="4" w:space="0"/>
            </w:tcBorders>
            <w:noWrap/>
            <w:vAlign w:val="center"/>
          </w:tcPr>
          <w:p w14:paraId="3286BE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729.12</w:t>
            </w:r>
          </w:p>
        </w:tc>
        <w:tc>
          <w:tcPr>
            <w:tcW w:w="684" w:type="pct"/>
            <w:tcBorders>
              <w:top w:val="single" w:color="000000" w:sz="4" w:space="0"/>
              <w:left w:val="nil"/>
              <w:bottom w:val="single" w:color="000000" w:sz="4" w:space="0"/>
              <w:right w:val="single" w:color="000000" w:sz="4" w:space="0"/>
            </w:tcBorders>
            <w:noWrap/>
            <w:vAlign w:val="center"/>
          </w:tcPr>
          <w:p w14:paraId="442F42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607.12</w:t>
            </w:r>
          </w:p>
        </w:tc>
        <w:tc>
          <w:tcPr>
            <w:tcW w:w="825" w:type="pct"/>
            <w:tcBorders>
              <w:top w:val="single" w:color="000000" w:sz="4" w:space="0"/>
              <w:left w:val="nil"/>
              <w:bottom w:val="single" w:color="000000" w:sz="4" w:space="0"/>
              <w:right w:val="single" w:color="000000" w:sz="4" w:space="0"/>
            </w:tcBorders>
            <w:noWrap/>
            <w:vAlign w:val="center"/>
          </w:tcPr>
          <w:p w14:paraId="7CB76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122.00</w:t>
            </w:r>
          </w:p>
        </w:tc>
      </w:tr>
      <w:tr w14:paraId="6920BF1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E2B1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4CF2B4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D2A80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w:t>
            </w:r>
          </w:p>
        </w:tc>
        <w:tc>
          <w:tcPr>
            <w:tcW w:w="684" w:type="pct"/>
            <w:tcBorders>
              <w:top w:val="single" w:color="000000" w:sz="4" w:space="0"/>
              <w:left w:val="nil"/>
              <w:bottom w:val="single" w:color="000000" w:sz="4" w:space="0"/>
              <w:right w:val="single" w:color="000000" w:sz="4" w:space="0"/>
            </w:tcBorders>
            <w:noWrap/>
            <w:vAlign w:val="center"/>
          </w:tcPr>
          <w:p w14:paraId="605706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w:t>
            </w:r>
          </w:p>
        </w:tc>
        <w:tc>
          <w:tcPr>
            <w:tcW w:w="825" w:type="pct"/>
            <w:tcBorders>
              <w:top w:val="single" w:color="000000" w:sz="4" w:space="0"/>
              <w:left w:val="nil"/>
              <w:bottom w:val="single" w:color="000000" w:sz="4" w:space="0"/>
              <w:right w:val="single" w:color="000000" w:sz="4" w:space="0"/>
            </w:tcBorders>
            <w:noWrap/>
            <w:vAlign w:val="center"/>
          </w:tcPr>
          <w:p w14:paraId="4A374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E712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F0B3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1EEDA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0DE1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w:t>
            </w:r>
          </w:p>
        </w:tc>
        <w:tc>
          <w:tcPr>
            <w:tcW w:w="684" w:type="pct"/>
            <w:tcBorders>
              <w:top w:val="single" w:color="000000" w:sz="4" w:space="0"/>
              <w:left w:val="nil"/>
              <w:bottom w:val="single" w:color="000000" w:sz="4" w:space="0"/>
              <w:right w:val="single" w:color="000000" w:sz="4" w:space="0"/>
            </w:tcBorders>
            <w:noWrap/>
            <w:vAlign w:val="center"/>
          </w:tcPr>
          <w:p w14:paraId="6162D8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w:t>
            </w:r>
          </w:p>
        </w:tc>
        <w:tc>
          <w:tcPr>
            <w:tcW w:w="825" w:type="pct"/>
            <w:tcBorders>
              <w:top w:val="single" w:color="000000" w:sz="4" w:space="0"/>
              <w:left w:val="nil"/>
              <w:bottom w:val="single" w:color="000000" w:sz="4" w:space="0"/>
              <w:right w:val="single" w:color="000000" w:sz="4" w:space="0"/>
            </w:tcBorders>
            <w:noWrap/>
            <w:vAlign w:val="center"/>
          </w:tcPr>
          <w:p w14:paraId="6BC4D1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F0E8D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619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02FFC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3FAF6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24.63</w:t>
            </w:r>
          </w:p>
        </w:tc>
        <w:tc>
          <w:tcPr>
            <w:tcW w:w="684" w:type="pct"/>
            <w:tcBorders>
              <w:top w:val="single" w:color="000000" w:sz="4" w:space="0"/>
              <w:left w:val="nil"/>
              <w:bottom w:val="single" w:color="000000" w:sz="4" w:space="0"/>
              <w:right w:val="single" w:color="000000" w:sz="4" w:space="0"/>
            </w:tcBorders>
            <w:noWrap/>
            <w:vAlign w:val="center"/>
          </w:tcPr>
          <w:p w14:paraId="731023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24.63</w:t>
            </w:r>
          </w:p>
        </w:tc>
        <w:tc>
          <w:tcPr>
            <w:tcW w:w="825" w:type="pct"/>
            <w:tcBorders>
              <w:top w:val="single" w:color="000000" w:sz="4" w:space="0"/>
              <w:left w:val="nil"/>
              <w:bottom w:val="single" w:color="000000" w:sz="4" w:space="0"/>
              <w:right w:val="single" w:color="000000" w:sz="4" w:space="0"/>
            </w:tcBorders>
            <w:noWrap/>
            <w:vAlign w:val="center"/>
          </w:tcPr>
          <w:p w14:paraId="010B4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313D382">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8F2E8C4">
        <w:tblPrEx>
          <w:tblCellMar>
            <w:top w:w="0" w:type="dxa"/>
            <w:left w:w="108" w:type="dxa"/>
            <w:bottom w:w="0" w:type="dxa"/>
            <w:right w:w="108" w:type="dxa"/>
          </w:tblCellMar>
        </w:tblPrEx>
        <w:trPr>
          <w:trHeight w:val="585" w:hRule="atLeast"/>
        </w:trPr>
        <w:tc>
          <w:tcPr>
            <w:tcW w:w="5000" w:type="pct"/>
            <w:gridSpan w:val="5"/>
            <w:noWrap/>
            <w:vAlign w:val="center"/>
          </w:tcPr>
          <w:p w14:paraId="4FAEB33C">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41EA6E5">
        <w:tblPrEx>
          <w:tblCellMar>
            <w:top w:w="0" w:type="dxa"/>
            <w:left w:w="108" w:type="dxa"/>
            <w:bottom w:w="0" w:type="dxa"/>
            <w:right w:w="108" w:type="dxa"/>
          </w:tblCellMar>
        </w:tblPrEx>
        <w:trPr>
          <w:trHeight w:val="420" w:hRule="atLeast"/>
        </w:trPr>
        <w:tc>
          <w:tcPr>
            <w:tcW w:w="2398" w:type="pct"/>
            <w:gridSpan w:val="2"/>
            <w:noWrap/>
            <w:vAlign w:val="center"/>
          </w:tcPr>
          <w:p w14:paraId="489EBD8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填报单位:404001景德镇市珠山区里村街道办事处</w:t>
            </w:r>
          </w:p>
        </w:tc>
        <w:tc>
          <w:tcPr>
            <w:tcW w:w="891" w:type="pct"/>
            <w:noWrap/>
            <w:vAlign w:val="bottom"/>
          </w:tcPr>
          <w:p w14:paraId="18C478B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2E14D1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9078AE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42CB20C">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113F4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6D1A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BA19CE1">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4D6C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D7A8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3D51D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3BF05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C4CBE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B47753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5DBC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8E4F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AEC4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F71F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D76E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695DAC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48AD4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D9D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3649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1,013.44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0A30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896.73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757E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116.71</w:t>
            </w:r>
          </w:p>
        </w:tc>
      </w:tr>
      <w:tr w14:paraId="35DA6A1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E34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E164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8B71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885.93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BA03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885.93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8CEC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139267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DCF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AD3F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3190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3B10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97.65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01DF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EA8DE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5B38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6056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D1BC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9688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0C19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EB08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A42E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E082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9FB5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8E03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A3C9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77F44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1CFD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EBD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8729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8B60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97D5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1E24D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976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81AC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9766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9C45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60A0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7364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4B8F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F0C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A55F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2D10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6EFA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E6B9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627A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77B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52B3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BD70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39C2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43E6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7ADD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B810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4B5C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E005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2C35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CC4C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6CFC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A87D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94AA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608.80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2C80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608.80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E1C0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2CE03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C30D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73A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2364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116.71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5B8C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A4F0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116.71</w:t>
            </w:r>
          </w:p>
        </w:tc>
      </w:tr>
      <w:tr w14:paraId="2BEFEBF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C328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57B5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D65C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0F57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A1C5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46.37</w:t>
            </w:r>
          </w:p>
        </w:tc>
      </w:tr>
      <w:tr w14:paraId="00CBA8C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52BE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4401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887C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41B1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B3E9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7DD1C70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06F6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B724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3241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3FD6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4231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r>
      <w:tr w14:paraId="18CE238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4675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D1EE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3C0C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5C3C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1C1D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4E28AE7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5FCF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B935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3DCF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9665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81BA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7F9503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5D06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925D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物业管理费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5C3F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0644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1A70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7125ADB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6DD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A38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AC86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6171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2A7D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3AC166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512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8E8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B8D7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E40B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1DB0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4DD3D3A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53CC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E8A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7011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6FA0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40BD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r>
      <w:tr w14:paraId="56FF41D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6063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E0E4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B4FA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499E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F027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r>
      <w:tr w14:paraId="51C465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F79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627A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99FE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94D5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40C6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6.71</w:t>
            </w:r>
          </w:p>
        </w:tc>
      </w:tr>
      <w:tr w14:paraId="1867B8D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EE79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78FB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343C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89AA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E649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r>
      <w:tr w14:paraId="24E4DB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D310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099A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D9A8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5EFA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B786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B518E1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502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75C4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961B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B263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287F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33C73C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8393F67">
        <w:tblPrEx>
          <w:tblCellMar>
            <w:top w:w="0" w:type="dxa"/>
            <w:left w:w="108" w:type="dxa"/>
            <w:bottom w:w="0" w:type="dxa"/>
            <w:right w:w="108" w:type="dxa"/>
          </w:tblCellMar>
        </w:tblPrEx>
        <w:trPr>
          <w:trHeight w:val="450" w:hRule="atLeast"/>
          <w:tblHeader/>
        </w:trPr>
        <w:tc>
          <w:tcPr>
            <w:tcW w:w="636" w:type="pct"/>
            <w:noWrap/>
            <w:vAlign w:val="bottom"/>
          </w:tcPr>
          <w:p w14:paraId="505B598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2CF11BB">
            <w:pPr>
              <w:widowControl/>
              <w:jc w:val="left"/>
              <w:rPr>
                <w:rFonts w:ascii="Times New Roman" w:hAnsi="Times New Roman" w:eastAsia="宋体"/>
                <w:kern w:val="0"/>
                <w:sz w:val="20"/>
                <w:szCs w:val="20"/>
              </w:rPr>
            </w:pPr>
          </w:p>
        </w:tc>
        <w:tc>
          <w:tcPr>
            <w:tcW w:w="684" w:type="pct"/>
            <w:noWrap/>
            <w:vAlign w:val="bottom"/>
          </w:tcPr>
          <w:p w14:paraId="03699CF4">
            <w:pPr>
              <w:widowControl/>
              <w:jc w:val="left"/>
              <w:rPr>
                <w:rFonts w:ascii="Times New Roman" w:hAnsi="Times New Roman" w:eastAsia="宋体"/>
                <w:kern w:val="0"/>
                <w:sz w:val="20"/>
                <w:szCs w:val="20"/>
              </w:rPr>
            </w:pPr>
          </w:p>
        </w:tc>
        <w:tc>
          <w:tcPr>
            <w:tcW w:w="538" w:type="pct"/>
            <w:noWrap/>
            <w:vAlign w:val="bottom"/>
          </w:tcPr>
          <w:p w14:paraId="1C660795">
            <w:pPr>
              <w:widowControl/>
              <w:jc w:val="left"/>
              <w:rPr>
                <w:rFonts w:ascii="Times New Roman" w:hAnsi="Times New Roman" w:eastAsia="宋体"/>
                <w:kern w:val="0"/>
                <w:sz w:val="20"/>
                <w:szCs w:val="20"/>
              </w:rPr>
            </w:pPr>
          </w:p>
        </w:tc>
        <w:tc>
          <w:tcPr>
            <w:tcW w:w="2836" w:type="pct"/>
            <w:gridSpan w:val="5"/>
            <w:noWrap/>
            <w:vAlign w:val="center"/>
          </w:tcPr>
          <w:p w14:paraId="1678644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B4636D2">
        <w:tblPrEx>
          <w:tblCellMar>
            <w:top w:w="0" w:type="dxa"/>
            <w:left w:w="108" w:type="dxa"/>
            <w:bottom w:w="0" w:type="dxa"/>
            <w:right w:w="108" w:type="dxa"/>
          </w:tblCellMar>
        </w:tblPrEx>
        <w:trPr>
          <w:trHeight w:val="485" w:hRule="atLeast"/>
          <w:tblHeader/>
        </w:trPr>
        <w:tc>
          <w:tcPr>
            <w:tcW w:w="5000" w:type="pct"/>
            <w:gridSpan w:val="9"/>
            <w:noWrap/>
            <w:vAlign w:val="center"/>
          </w:tcPr>
          <w:p w14:paraId="420ABAF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856F937">
        <w:tblPrEx>
          <w:tblCellMar>
            <w:top w:w="0" w:type="dxa"/>
            <w:left w:w="108" w:type="dxa"/>
            <w:bottom w:w="0" w:type="dxa"/>
            <w:right w:w="108" w:type="dxa"/>
          </w:tblCellMar>
        </w:tblPrEx>
        <w:trPr>
          <w:trHeight w:val="340" w:hRule="atLeast"/>
          <w:tblHeader/>
        </w:trPr>
        <w:tc>
          <w:tcPr>
            <w:tcW w:w="2163" w:type="pct"/>
            <w:gridSpan w:val="4"/>
            <w:noWrap/>
            <w:vAlign w:val="center"/>
          </w:tcPr>
          <w:p w14:paraId="4D3CD2D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填报单位:404001景德镇市珠山区里村街道办事处</w:t>
            </w:r>
          </w:p>
        </w:tc>
        <w:tc>
          <w:tcPr>
            <w:tcW w:w="742" w:type="pct"/>
            <w:noWrap/>
            <w:vAlign w:val="bottom"/>
          </w:tcPr>
          <w:p w14:paraId="20C0F2BD">
            <w:pPr>
              <w:widowControl/>
              <w:jc w:val="left"/>
              <w:rPr>
                <w:rFonts w:ascii="Times New Roman" w:hAnsi="Times New Roman" w:eastAsia="宋体"/>
                <w:kern w:val="0"/>
                <w:sz w:val="20"/>
                <w:szCs w:val="20"/>
              </w:rPr>
            </w:pPr>
          </w:p>
        </w:tc>
        <w:tc>
          <w:tcPr>
            <w:tcW w:w="474" w:type="pct"/>
            <w:noWrap/>
            <w:vAlign w:val="bottom"/>
          </w:tcPr>
          <w:p w14:paraId="4EA9EAF8">
            <w:pPr>
              <w:widowControl/>
              <w:jc w:val="left"/>
              <w:rPr>
                <w:rFonts w:ascii="Times New Roman" w:hAnsi="Times New Roman" w:eastAsia="宋体"/>
                <w:kern w:val="0"/>
                <w:sz w:val="20"/>
                <w:szCs w:val="20"/>
              </w:rPr>
            </w:pPr>
          </w:p>
        </w:tc>
        <w:tc>
          <w:tcPr>
            <w:tcW w:w="596" w:type="pct"/>
            <w:noWrap/>
            <w:vAlign w:val="bottom"/>
          </w:tcPr>
          <w:p w14:paraId="1CE6CF40">
            <w:pPr>
              <w:widowControl/>
              <w:jc w:val="left"/>
              <w:rPr>
                <w:rFonts w:ascii="Times New Roman" w:hAnsi="Times New Roman" w:eastAsia="宋体"/>
                <w:kern w:val="0"/>
                <w:sz w:val="20"/>
                <w:szCs w:val="20"/>
              </w:rPr>
            </w:pPr>
          </w:p>
        </w:tc>
        <w:tc>
          <w:tcPr>
            <w:tcW w:w="1023" w:type="pct"/>
            <w:gridSpan w:val="2"/>
            <w:noWrap/>
            <w:vAlign w:val="bottom"/>
          </w:tcPr>
          <w:p w14:paraId="1262DA9A">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BDFAD89">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0A57D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5A9D3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25EE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5BC0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0032ACB">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7371B1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39934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00FDD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0F1B6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08957C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E921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AFCD0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0F211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EF58F94">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4038027">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43E1F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DAA7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1C00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40B3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14C5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60A04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2D4EC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352EDE0">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5CD62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684" w:type="pct"/>
            <w:tcBorders>
              <w:top w:val="single" w:color="000000" w:sz="4" w:space="0"/>
              <w:left w:val="nil"/>
              <w:bottom w:val="single" w:color="000000" w:sz="4" w:space="0"/>
              <w:right w:val="single" w:color="000000" w:sz="4" w:space="0"/>
            </w:tcBorders>
            <w:vAlign w:val="center"/>
          </w:tcPr>
          <w:p w14:paraId="5F6A86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E6B9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B8872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623A8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596" w:type="pct"/>
            <w:tcBorders>
              <w:top w:val="single" w:color="000000" w:sz="4" w:space="0"/>
              <w:left w:val="single" w:color="000000" w:sz="4" w:space="0"/>
              <w:bottom w:val="single" w:color="000000" w:sz="4" w:space="0"/>
              <w:right w:val="nil"/>
            </w:tcBorders>
            <w:vAlign w:val="center"/>
          </w:tcPr>
          <w:p w14:paraId="51148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3E3432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768B4E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55584AA">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757BB9F">
        <w:tblPrEx>
          <w:tblCellMar>
            <w:top w:w="0" w:type="dxa"/>
            <w:left w:w="108" w:type="dxa"/>
            <w:bottom w:w="0" w:type="dxa"/>
            <w:right w:w="108" w:type="dxa"/>
          </w:tblCellMar>
        </w:tblPrEx>
        <w:trPr>
          <w:trHeight w:val="507" w:hRule="atLeast"/>
          <w:tblHeader/>
        </w:trPr>
        <w:tc>
          <w:tcPr>
            <w:tcW w:w="976" w:type="pct"/>
            <w:noWrap/>
            <w:vAlign w:val="bottom"/>
          </w:tcPr>
          <w:p w14:paraId="2328B9B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300B37B">
            <w:pPr>
              <w:widowControl/>
              <w:jc w:val="left"/>
              <w:rPr>
                <w:rFonts w:ascii="Times New Roman" w:hAnsi="Times New Roman" w:eastAsia="宋体"/>
                <w:kern w:val="0"/>
                <w:sz w:val="20"/>
                <w:szCs w:val="20"/>
              </w:rPr>
            </w:pPr>
          </w:p>
        </w:tc>
        <w:tc>
          <w:tcPr>
            <w:tcW w:w="2801" w:type="pct"/>
            <w:gridSpan w:val="3"/>
            <w:noWrap/>
            <w:vAlign w:val="center"/>
          </w:tcPr>
          <w:p w14:paraId="42FB0E8E">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0DCB328">
        <w:tblPrEx>
          <w:tblCellMar>
            <w:top w:w="0" w:type="dxa"/>
            <w:left w:w="108" w:type="dxa"/>
            <w:bottom w:w="0" w:type="dxa"/>
            <w:right w:w="108" w:type="dxa"/>
          </w:tblCellMar>
        </w:tblPrEx>
        <w:trPr>
          <w:trHeight w:val="564" w:hRule="atLeast"/>
          <w:tblHeader/>
        </w:trPr>
        <w:tc>
          <w:tcPr>
            <w:tcW w:w="5000" w:type="pct"/>
            <w:gridSpan w:val="5"/>
            <w:noWrap/>
            <w:vAlign w:val="center"/>
          </w:tcPr>
          <w:p w14:paraId="0726659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3125194">
        <w:tblPrEx>
          <w:tblCellMar>
            <w:top w:w="0" w:type="dxa"/>
            <w:left w:w="108" w:type="dxa"/>
            <w:bottom w:w="0" w:type="dxa"/>
            <w:right w:w="108" w:type="dxa"/>
          </w:tblCellMar>
        </w:tblPrEx>
        <w:trPr>
          <w:trHeight w:val="405" w:hRule="atLeast"/>
          <w:tblHeader/>
        </w:trPr>
        <w:tc>
          <w:tcPr>
            <w:tcW w:w="2198" w:type="pct"/>
            <w:gridSpan w:val="2"/>
            <w:noWrap/>
            <w:vAlign w:val="center"/>
          </w:tcPr>
          <w:p w14:paraId="277A2BC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填报单位:404001景德镇市珠山区里村街道办事处</w:t>
            </w:r>
          </w:p>
        </w:tc>
        <w:tc>
          <w:tcPr>
            <w:tcW w:w="1099" w:type="pct"/>
            <w:noWrap/>
            <w:vAlign w:val="bottom"/>
          </w:tcPr>
          <w:p w14:paraId="59830FC9">
            <w:pPr>
              <w:rPr>
                <w:rFonts w:hint="eastAsia" w:ascii="宋体" w:hAnsi="宋体" w:eastAsia="宋体" w:cs="Arial"/>
                <w:color w:val="000000"/>
                <w:kern w:val="0"/>
                <w:sz w:val="24"/>
                <w:szCs w:val="24"/>
              </w:rPr>
            </w:pPr>
          </w:p>
        </w:tc>
        <w:tc>
          <w:tcPr>
            <w:tcW w:w="766" w:type="pct"/>
            <w:noWrap/>
            <w:vAlign w:val="bottom"/>
          </w:tcPr>
          <w:p w14:paraId="67E26212">
            <w:pPr>
              <w:widowControl/>
              <w:jc w:val="left"/>
              <w:rPr>
                <w:rFonts w:ascii="Times New Roman" w:hAnsi="Times New Roman" w:eastAsia="宋体"/>
                <w:kern w:val="0"/>
                <w:sz w:val="20"/>
                <w:szCs w:val="20"/>
              </w:rPr>
            </w:pPr>
          </w:p>
        </w:tc>
        <w:tc>
          <w:tcPr>
            <w:tcW w:w="935" w:type="pct"/>
            <w:noWrap/>
            <w:vAlign w:val="center"/>
          </w:tcPr>
          <w:p w14:paraId="0A71C89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89A2DC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BA2E3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59622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73968C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863C5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D982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BEF97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8D5D1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373A06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4F432F">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B1DD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524675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4E9A9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080AFF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DFADC3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53043F2">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C0DD65B">
        <w:tblPrEx>
          <w:tblCellMar>
            <w:top w:w="0" w:type="dxa"/>
            <w:left w:w="108" w:type="dxa"/>
            <w:bottom w:w="0" w:type="dxa"/>
            <w:right w:w="108" w:type="dxa"/>
          </w:tblCellMar>
        </w:tblPrEx>
        <w:trPr>
          <w:trHeight w:val="619" w:hRule="atLeast"/>
          <w:tblHeader/>
        </w:trPr>
        <w:tc>
          <w:tcPr>
            <w:tcW w:w="960" w:type="pct"/>
            <w:noWrap/>
            <w:vAlign w:val="bottom"/>
          </w:tcPr>
          <w:p w14:paraId="34134E20">
            <w:pPr>
              <w:rPr>
                <w:rStyle w:val="13"/>
                <w:rFonts w:hint="eastAsia" w:ascii="仿宋" w:hAnsi="仿宋" w:eastAsia="仿宋"/>
                <w:bCs/>
                <w:sz w:val="32"/>
                <w:szCs w:val="32"/>
              </w:rPr>
            </w:pPr>
          </w:p>
        </w:tc>
        <w:tc>
          <w:tcPr>
            <w:tcW w:w="1233" w:type="pct"/>
            <w:noWrap/>
            <w:vAlign w:val="bottom"/>
          </w:tcPr>
          <w:p w14:paraId="50E81F1B">
            <w:pPr>
              <w:widowControl/>
              <w:jc w:val="left"/>
              <w:rPr>
                <w:rFonts w:ascii="Times New Roman" w:hAnsi="Times New Roman" w:eastAsia="宋体"/>
                <w:kern w:val="0"/>
                <w:sz w:val="20"/>
                <w:szCs w:val="20"/>
              </w:rPr>
            </w:pPr>
          </w:p>
        </w:tc>
        <w:tc>
          <w:tcPr>
            <w:tcW w:w="2805" w:type="pct"/>
            <w:gridSpan w:val="3"/>
            <w:noWrap/>
            <w:vAlign w:val="center"/>
          </w:tcPr>
          <w:p w14:paraId="50839BFA">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A5A375A">
        <w:tblPrEx>
          <w:tblCellMar>
            <w:top w:w="0" w:type="dxa"/>
            <w:left w:w="108" w:type="dxa"/>
            <w:bottom w:w="0" w:type="dxa"/>
            <w:right w:w="108" w:type="dxa"/>
          </w:tblCellMar>
        </w:tblPrEx>
        <w:trPr>
          <w:trHeight w:val="613" w:hRule="atLeast"/>
          <w:tblHeader/>
        </w:trPr>
        <w:tc>
          <w:tcPr>
            <w:tcW w:w="5000" w:type="pct"/>
            <w:gridSpan w:val="5"/>
            <w:noWrap/>
            <w:vAlign w:val="center"/>
          </w:tcPr>
          <w:p w14:paraId="19633E5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074CF1F">
        <w:tblPrEx>
          <w:tblCellMar>
            <w:top w:w="0" w:type="dxa"/>
            <w:left w:w="108" w:type="dxa"/>
            <w:bottom w:w="0" w:type="dxa"/>
            <w:right w:w="108" w:type="dxa"/>
          </w:tblCellMar>
        </w:tblPrEx>
        <w:trPr>
          <w:trHeight w:val="413" w:hRule="atLeast"/>
          <w:tblHeader/>
        </w:trPr>
        <w:tc>
          <w:tcPr>
            <w:tcW w:w="3282" w:type="pct"/>
            <w:gridSpan w:val="3"/>
            <w:noWrap/>
            <w:vAlign w:val="center"/>
          </w:tcPr>
          <w:p w14:paraId="39FD2359">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填报单位:404001景德镇市珠山区里村街道办事处</w:t>
            </w:r>
          </w:p>
        </w:tc>
        <w:tc>
          <w:tcPr>
            <w:tcW w:w="762" w:type="pct"/>
            <w:noWrap/>
            <w:vAlign w:val="bottom"/>
          </w:tcPr>
          <w:p w14:paraId="471046E7">
            <w:pPr>
              <w:widowControl/>
              <w:jc w:val="left"/>
              <w:rPr>
                <w:rFonts w:ascii="Times New Roman" w:hAnsi="Times New Roman" w:eastAsia="宋体"/>
                <w:kern w:val="0"/>
                <w:sz w:val="20"/>
                <w:szCs w:val="20"/>
              </w:rPr>
            </w:pPr>
          </w:p>
        </w:tc>
        <w:tc>
          <w:tcPr>
            <w:tcW w:w="954" w:type="pct"/>
            <w:noWrap/>
            <w:vAlign w:val="center"/>
          </w:tcPr>
          <w:p w14:paraId="77775C3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CE33F5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8B57C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83AAA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5E16D51">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ECF0E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2552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149B4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5B5B7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2353D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9EC4A3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5D15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8EE1F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05026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77BB4F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DD5E6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6245831">
      <w:pPr>
        <w:ind w:left="0" w:leftChars="0" w:right="-1352" w:rightChars="-644" w:firstLine="218" w:firstLineChars="104"/>
      </w:pPr>
      <w:r>
        <w:object>
          <v:shape id="_x0000_i1025" o:spt="75" type="#_x0000_t75" style="height:749.45pt;width:513.05pt;" o:ole="t" filled="f" o:preferrelative="t" stroked="f" coordsize="21600,21600">
            <v:path/>
            <v:fill on="f" focussize="0,0"/>
            <v:stroke on="f"/>
            <v:imagedata r:id="rId6" o:title=""/>
            <o:lock v:ext="edit" aspectratio="f"/>
            <w10:wrap type="none"/>
            <w10:anchorlock/>
          </v:shape>
          <o:OLEObject Type="Embed" ProgID="Excel.Sheet.12" ShapeID="_x0000_i1025" DrawAspect="Content" ObjectID="_1468075725" r:id="rId5">
            <o:LockedField>false</o:LockedField>
          </o:OLEObject>
        </w:object>
      </w:r>
      <w:r>
        <w:rPr>
          <w:rStyle w:val="13"/>
          <w:rFonts w:hint="eastAsia" w:ascii="仿宋" w:hAnsi="仿宋" w:eastAsia="仿宋"/>
          <w:bCs/>
          <w:sz w:val="32"/>
          <w:szCs w:val="32"/>
        </w:rPr>
        <w:br w:type="page"/>
      </w:r>
      <w:r>
        <w:object>
          <v:shape id="_x0000_i1026" o:spt="75" type="#_x0000_t75" style="height:480.6pt;width:529.65pt;" o:ole="t" filled="f" o:preferrelative="t" stroked="f" coordsize="21600,21600">
            <v:path/>
            <v:fill on="f" focussize="0,0"/>
            <v:stroke on="f"/>
            <v:imagedata r:id="rId8" o:title=""/>
            <o:lock v:ext="edit" aspectratio="f"/>
            <w10:wrap type="none"/>
            <w10:anchorlock/>
          </v:shape>
          <o:OLEObject Type="Embed" ProgID="Excel.Sheet.12" ShapeID="_x0000_i1026" DrawAspect="Content" ObjectID="_1468075726" r:id="rId7">
            <o:LockedField>false</o:LockedField>
          </o:OLEObject>
        </w:object>
      </w:r>
    </w:p>
    <w:p w14:paraId="1F8F37A1">
      <w:pPr>
        <w:jc w:val="left"/>
        <w:rPr>
          <w:rStyle w:val="13"/>
          <w:rFonts w:hint="eastAsia" w:ascii="仿宋" w:hAnsi="仿宋" w:eastAsia="仿宋"/>
          <w:bCs/>
          <w:sz w:val="32"/>
          <w:szCs w:val="32"/>
        </w:rPr>
      </w:pPr>
    </w:p>
    <w:p w14:paraId="0974AD52">
      <w:pPr>
        <w:rPr>
          <w:rFonts w:hint="eastAsia"/>
          <w:lang w:eastAsia="zh-CN"/>
        </w:rPr>
      </w:pPr>
    </w:p>
    <w:p w14:paraId="2422EB52">
      <w:pPr>
        <w:rPr>
          <w:rFonts w:hint="eastAsia"/>
          <w:lang w:eastAsia="zh-CN"/>
        </w:rPr>
        <w:sectPr>
          <w:pgSz w:w="11906" w:h="16838"/>
          <w:pgMar w:top="720" w:right="720" w:bottom="720" w:left="720" w:header="851" w:footer="992" w:gutter="0"/>
          <w:cols w:space="425" w:num="1"/>
          <w:docGrid w:type="lines" w:linePitch="312" w:charSpace="0"/>
        </w:sectPr>
      </w:pPr>
    </w:p>
    <w:p w14:paraId="28630568">
      <w:pPr>
        <w:pStyle w:val="18"/>
        <w:numPr>
          <w:ilvl w:val="0"/>
          <w:numId w:val="0"/>
        </w:numPr>
        <w:bidi w:val="0"/>
        <w:ind w:left="420" w:leftChars="200"/>
        <w:jc w:val="center"/>
        <w:rPr>
          <w:rFonts w:hint="eastAsia"/>
          <w:lang w:eastAsia="zh-CN"/>
        </w:rPr>
      </w:pPr>
      <w:r>
        <w:rPr>
          <w:rFonts w:hint="eastAsia"/>
          <w:lang w:val="en-US" w:eastAsia="zh-CN"/>
        </w:rPr>
        <w:t>第三部分  景德镇市珠山区里村街道办事处2026年部门预算情况说明</w:t>
      </w:r>
    </w:p>
    <w:p w14:paraId="67DBEF79">
      <w:pPr>
        <w:widowControl/>
        <w:spacing w:line="580" w:lineRule="exact"/>
        <w:jc w:val="center"/>
        <w:rPr>
          <w:rFonts w:ascii="仿宋_GB2312" w:eastAsia="仿宋_GB2312"/>
          <w:b/>
          <w:sz w:val="32"/>
          <w:szCs w:val="30"/>
        </w:rPr>
      </w:pPr>
    </w:p>
    <w:p w14:paraId="0CBA8B96">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部门</w:t>
      </w:r>
      <w:r>
        <w:rPr>
          <w:rFonts w:hint="eastAsia" w:ascii="楷体_GB2312" w:eastAsia="楷体_GB2312"/>
          <w:b/>
          <w:sz w:val="32"/>
          <w:szCs w:val="30"/>
        </w:rPr>
        <w:t>预算收支情况说明</w:t>
      </w:r>
    </w:p>
    <w:p w14:paraId="5539A7CF">
      <w:pPr>
        <w:pStyle w:val="20"/>
        <w:numPr>
          <w:ilvl w:val="0"/>
          <w:numId w:val="0"/>
        </w:numPr>
        <w:bidi w:val="0"/>
        <w:ind w:left="420" w:leftChars="200"/>
        <w:rPr>
          <w:rFonts w:hint="eastAsia"/>
        </w:rPr>
      </w:pPr>
      <w:r>
        <w:rPr>
          <w:rFonts w:hint="eastAsia"/>
        </w:rPr>
        <w:t xml:space="preserve"> (一)收入预算情况</w:t>
      </w:r>
    </w:p>
    <w:p w14:paraId="184EB202">
      <w:pPr>
        <w:pStyle w:val="19"/>
        <w:bidi w:val="0"/>
        <w:rPr>
          <w:rFonts w:hint="eastAsia"/>
        </w:rPr>
      </w:pPr>
      <w:r>
        <w:rPr>
          <w:rFonts w:hint="eastAsia"/>
          <w:lang w:eastAsia="zh-CN"/>
        </w:rPr>
        <w:t>2026</w:t>
      </w:r>
      <w:r>
        <w:rPr>
          <w:rFonts w:hint="eastAsia"/>
        </w:rPr>
        <w:t>年</w:t>
      </w:r>
      <w:r>
        <w:rPr>
          <w:rFonts w:hint="eastAsia"/>
          <w:lang w:eastAsia="zh-CN"/>
        </w:rPr>
        <w:t>景德镇市珠山区里村街道办事处</w:t>
      </w:r>
      <w:r>
        <w:rPr>
          <w:rFonts w:hint="eastAsia"/>
        </w:rPr>
        <w:t>收入预算总额为1136.45万元</w:t>
      </w:r>
      <w:r>
        <w:rPr>
          <w:rFonts w:hint="eastAsia"/>
          <w:lang w:eastAsia="zh-CN"/>
        </w:rPr>
        <w:t>，</w:t>
      </w:r>
      <w:r>
        <w:rPr>
          <w:rFonts w:hint="eastAsia"/>
        </w:rPr>
        <w:t>较上年预算安排增</w:t>
      </w:r>
      <w:r>
        <w:rPr>
          <w:rFonts w:hint="eastAsia"/>
          <w:lang w:val="en-US" w:eastAsia="zh-CN"/>
        </w:rPr>
        <w:t>135.31</w:t>
      </w:r>
      <w:r>
        <w:rPr>
          <w:rFonts w:hint="eastAsia"/>
        </w:rPr>
        <w:t>万元</w:t>
      </w:r>
      <w:r>
        <w:rPr>
          <w:rFonts w:hint="eastAsia"/>
          <w:lang w:eastAsia="zh-CN"/>
        </w:rPr>
        <w:t>；本年收入合计1135.44万元，较上年预算安排增加</w:t>
      </w:r>
      <w:r>
        <w:rPr>
          <w:rFonts w:hint="eastAsia"/>
          <w:lang w:val="en-US" w:eastAsia="zh-CN"/>
        </w:rPr>
        <w:t>134.3</w:t>
      </w:r>
      <w:r>
        <w:rPr>
          <w:rFonts w:hint="eastAsia"/>
          <w:lang w:eastAsia="zh-CN"/>
        </w:rPr>
        <w:t>万元；包括：财政拨款收入1135.44万元，较上年预算安排增加</w:t>
      </w:r>
      <w:r>
        <w:rPr>
          <w:rFonts w:hint="eastAsia"/>
          <w:lang w:val="en-US" w:eastAsia="zh-CN"/>
        </w:rPr>
        <w:t>134.3</w:t>
      </w:r>
      <w:r>
        <w:rPr>
          <w:rFonts w:hint="eastAsia"/>
          <w:lang w:eastAsia="zh-CN"/>
        </w:rPr>
        <w:t>万元。上年结转1.01万元，较上年预算安排</w:t>
      </w:r>
      <w:r>
        <w:rPr>
          <w:rFonts w:hint="eastAsia"/>
          <w:lang w:val="en-US" w:eastAsia="zh-CN"/>
        </w:rPr>
        <w:t>减少1.99</w:t>
      </w:r>
      <w:r>
        <w:rPr>
          <w:rFonts w:hint="eastAsia"/>
          <w:lang w:eastAsia="zh-CN"/>
        </w:rPr>
        <w:t>万元。</w:t>
      </w:r>
    </w:p>
    <w:p w14:paraId="4AF363AD">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5FAB331">
      <w:pPr>
        <w:pStyle w:val="19"/>
        <w:bidi w:val="0"/>
        <w:rPr>
          <w:rFonts w:hint="eastAsia"/>
        </w:rPr>
      </w:pPr>
      <w:r>
        <w:rPr>
          <w:rFonts w:hint="eastAsia"/>
          <w:lang w:eastAsia="zh-CN"/>
        </w:rPr>
        <w:t>2026</w:t>
      </w:r>
      <w:r>
        <w:rPr>
          <w:rFonts w:hint="eastAsia"/>
        </w:rPr>
        <w:t>年</w:t>
      </w:r>
      <w:r>
        <w:rPr>
          <w:rFonts w:hint="eastAsia"/>
          <w:lang w:eastAsia="zh-CN"/>
        </w:rPr>
        <w:t>景德镇市珠山区里村街道办事处</w:t>
      </w:r>
      <w:r>
        <w:rPr>
          <w:rFonts w:hint="eastAsia"/>
        </w:rPr>
        <w:t>支出预算总额为1136.45万元</w:t>
      </w:r>
      <w:r>
        <w:rPr>
          <w:rFonts w:hint="eastAsia"/>
          <w:lang w:eastAsia="zh-CN"/>
        </w:rPr>
        <w:t>，</w:t>
      </w:r>
      <w:r>
        <w:rPr>
          <w:rFonts w:hint="eastAsia"/>
        </w:rPr>
        <w:t>较上年预算安排增加</w:t>
      </w:r>
      <w:r>
        <w:rPr>
          <w:rFonts w:hint="eastAsia"/>
          <w:lang w:val="en-US" w:eastAsia="zh-CN"/>
        </w:rPr>
        <w:t>135.31</w:t>
      </w:r>
      <w:r>
        <w:rPr>
          <w:rFonts w:hint="eastAsia"/>
        </w:rPr>
        <w:t xml:space="preserve">万元。 </w:t>
      </w:r>
    </w:p>
    <w:p w14:paraId="0A8039DF">
      <w:pPr>
        <w:pStyle w:val="19"/>
        <w:bidi w:val="0"/>
        <w:rPr>
          <w:rFonts w:hint="eastAsia"/>
        </w:rPr>
      </w:pPr>
      <w:r>
        <w:rPr>
          <w:rFonts w:hint="eastAsia"/>
        </w:rPr>
        <w:t>按支出项目类别划分：基本支出1013.44万元</w:t>
      </w:r>
      <w:r>
        <w:rPr>
          <w:rFonts w:hint="eastAsia"/>
          <w:lang w:eastAsia="zh-CN"/>
        </w:rPr>
        <w:t>，</w:t>
      </w:r>
      <w:r>
        <w:rPr>
          <w:rFonts w:hint="eastAsia"/>
        </w:rPr>
        <w:t>较上年预算安排增加</w:t>
      </w:r>
      <w:r>
        <w:rPr>
          <w:rFonts w:hint="eastAsia"/>
          <w:lang w:val="en-US" w:eastAsia="zh-CN"/>
        </w:rPr>
        <w:t>182.36</w:t>
      </w:r>
      <w:r>
        <w:rPr>
          <w:rFonts w:hint="eastAsia"/>
        </w:rPr>
        <w:t>万元</w:t>
      </w:r>
      <w:r>
        <w:rPr>
          <w:rFonts w:hint="eastAsia"/>
          <w:lang w:eastAsia="zh-CN"/>
        </w:rPr>
        <w:t>；</w:t>
      </w:r>
      <w:r>
        <w:rPr>
          <w:rFonts w:hint="eastAsia"/>
        </w:rPr>
        <w:t>项目支出123.01万元</w:t>
      </w:r>
      <w:r>
        <w:rPr>
          <w:rFonts w:hint="eastAsia"/>
          <w:lang w:eastAsia="zh-CN"/>
        </w:rPr>
        <w:t>，</w:t>
      </w:r>
      <w:r>
        <w:rPr>
          <w:rFonts w:hint="eastAsia"/>
        </w:rPr>
        <w:t>较上年预算安排减少</w:t>
      </w:r>
      <w:r>
        <w:rPr>
          <w:rFonts w:hint="eastAsia"/>
          <w:lang w:val="en-US" w:eastAsia="zh-CN"/>
        </w:rPr>
        <w:t>44.05</w:t>
      </w:r>
      <w:r>
        <w:rPr>
          <w:rFonts w:hint="eastAsia"/>
        </w:rPr>
        <w:t>万元。</w:t>
      </w:r>
    </w:p>
    <w:p w14:paraId="11FFF650">
      <w:pPr>
        <w:pStyle w:val="19"/>
        <w:bidi w:val="0"/>
        <w:rPr>
          <w:rFonts w:hint="eastAsia"/>
        </w:rPr>
      </w:pPr>
      <w:r>
        <w:rPr>
          <w:rFonts w:hint="eastAsia"/>
        </w:rPr>
        <w:t>按支出功能科目划分：一般公共服务支出334.47万元，较上年预算安排减少</w:t>
      </w:r>
      <w:r>
        <w:rPr>
          <w:rFonts w:hint="eastAsia"/>
          <w:lang w:val="en-US" w:eastAsia="zh-CN"/>
        </w:rPr>
        <w:t>663.67</w:t>
      </w:r>
      <w:r>
        <w:rPr>
          <w:rFonts w:hint="eastAsia"/>
        </w:rPr>
        <w:t>万元；文化旅游体育与传媒支出1.00万元，较上年预算安排增加</w:t>
      </w:r>
      <w:r>
        <w:rPr>
          <w:rFonts w:hint="eastAsia"/>
          <w:lang w:val="en-US" w:eastAsia="zh-CN"/>
        </w:rPr>
        <w:t>1.00</w:t>
      </w:r>
      <w:r>
        <w:rPr>
          <w:rFonts w:hint="eastAsia"/>
        </w:rPr>
        <w:t>万元；社会保障和就业支出33.26万元，较上年预算安排减少</w:t>
      </w:r>
      <w:r>
        <w:rPr>
          <w:rFonts w:hint="eastAsia"/>
          <w:lang w:val="en-US" w:eastAsia="zh-CN"/>
        </w:rPr>
        <w:t>2.88</w:t>
      </w:r>
      <w:r>
        <w:rPr>
          <w:rFonts w:hint="eastAsia"/>
        </w:rPr>
        <w:t>万元；卫生健康支出13.96万元，较上年预算安排减少</w:t>
      </w:r>
      <w:r>
        <w:rPr>
          <w:rFonts w:hint="eastAsia"/>
          <w:lang w:val="en-US" w:eastAsia="zh-CN"/>
        </w:rPr>
        <w:t>0.54</w:t>
      </w:r>
      <w:r>
        <w:rPr>
          <w:rFonts w:hint="eastAsia"/>
        </w:rPr>
        <w:t>万元；城乡社区支出729.12万元，较上年预算安排增加</w:t>
      </w:r>
      <w:r>
        <w:rPr>
          <w:rFonts w:hint="eastAsia"/>
          <w:lang w:val="en-US" w:eastAsia="zh-CN"/>
        </w:rPr>
        <w:t>729.12</w:t>
      </w:r>
      <w:r>
        <w:rPr>
          <w:rFonts w:hint="eastAsia"/>
        </w:rPr>
        <w:t>万元；住房保障支出24.63万元，较上年预算安排减少</w:t>
      </w:r>
      <w:r>
        <w:rPr>
          <w:rFonts w:hint="eastAsia"/>
          <w:lang w:val="en-US" w:eastAsia="zh-CN"/>
        </w:rPr>
        <w:t>2.14</w:t>
      </w:r>
      <w:r>
        <w:rPr>
          <w:rFonts w:hint="eastAsia"/>
        </w:rPr>
        <w:t>万元；灾害防治及应急管理支出</w:t>
      </w:r>
      <w:r>
        <w:rPr>
          <w:rFonts w:hint="eastAsia"/>
          <w:lang w:val="en-US" w:eastAsia="zh-CN"/>
        </w:rPr>
        <w:t>0</w:t>
      </w:r>
      <w:r>
        <w:rPr>
          <w:rFonts w:hint="eastAsia"/>
        </w:rPr>
        <w:t>.01万元，较上年预算安排增加</w:t>
      </w:r>
      <w:r>
        <w:rPr>
          <w:rFonts w:hint="eastAsia"/>
          <w:lang w:val="en-US" w:eastAsia="zh-CN"/>
        </w:rPr>
        <w:t>0.01</w:t>
      </w:r>
      <w:r>
        <w:rPr>
          <w:rFonts w:hint="eastAsia"/>
        </w:rPr>
        <w:t>万元。</w:t>
      </w:r>
    </w:p>
    <w:p w14:paraId="5825AC5D">
      <w:pPr>
        <w:pStyle w:val="19"/>
        <w:bidi w:val="0"/>
        <w:rPr>
          <w:rFonts w:hint="eastAsia"/>
        </w:rPr>
      </w:pPr>
      <w:r>
        <w:rPr>
          <w:rFonts w:hint="eastAsia"/>
        </w:rPr>
        <w:t>按支出经济分类划分：工资福利支出885.93万元，较上年预算安排增加</w:t>
      </w:r>
      <w:r>
        <w:rPr>
          <w:rFonts w:hint="eastAsia"/>
          <w:lang w:val="en-US" w:eastAsia="zh-CN"/>
        </w:rPr>
        <w:t>183.35</w:t>
      </w:r>
      <w:r>
        <w:rPr>
          <w:rFonts w:hint="eastAsia"/>
        </w:rPr>
        <w:t>万元；商品和服务支出239.72万元，较上年预算安排增加</w:t>
      </w:r>
      <w:r>
        <w:rPr>
          <w:rFonts w:hint="eastAsia"/>
          <w:lang w:val="en-US" w:eastAsia="zh-CN"/>
        </w:rPr>
        <w:t>122.23</w:t>
      </w:r>
      <w:r>
        <w:rPr>
          <w:rFonts w:hint="eastAsia"/>
        </w:rPr>
        <w:t>万元；对个人和家庭的补助10.80万元，较上年预算安排减少</w:t>
      </w:r>
      <w:r>
        <w:rPr>
          <w:rFonts w:hint="eastAsia"/>
          <w:lang w:val="en-US" w:eastAsia="zh-CN"/>
        </w:rPr>
        <w:t>0.22</w:t>
      </w:r>
      <w:r>
        <w:rPr>
          <w:rFonts w:hint="eastAsia"/>
        </w:rPr>
        <w:t>万元。</w:t>
      </w:r>
    </w:p>
    <w:p w14:paraId="2630863A">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44822DAC">
      <w:pPr>
        <w:pStyle w:val="19"/>
        <w:bidi w:val="0"/>
        <w:rPr>
          <w:rFonts w:hint="eastAsia"/>
        </w:rPr>
      </w:pPr>
      <w:r>
        <w:rPr>
          <w:rFonts w:hint="eastAsia"/>
          <w:lang w:eastAsia="zh-CN"/>
        </w:rPr>
        <w:t>2026</w:t>
      </w:r>
      <w:r>
        <w:rPr>
          <w:rFonts w:hint="eastAsia"/>
        </w:rPr>
        <w:t>年</w:t>
      </w:r>
      <w:r>
        <w:rPr>
          <w:rFonts w:hint="eastAsia"/>
          <w:lang w:eastAsia="zh-CN"/>
        </w:rPr>
        <w:t>景德镇市珠山区里村街道办事处</w:t>
      </w:r>
      <w:r>
        <w:rPr>
          <w:rFonts w:hint="eastAsia"/>
        </w:rPr>
        <w:t>财政拨款支出预算总额1136.45万元,较上年预算安排增加</w:t>
      </w:r>
      <w:r>
        <w:rPr>
          <w:rFonts w:hint="eastAsia"/>
          <w:lang w:val="en-US" w:eastAsia="zh-CN"/>
        </w:rPr>
        <w:t>135.31</w:t>
      </w:r>
      <w:r>
        <w:rPr>
          <w:rFonts w:hint="eastAsia"/>
        </w:rPr>
        <w:t>万元。</w:t>
      </w:r>
    </w:p>
    <w:p w14:paraId="6DFF10D7">
      <w:pPr>
        <w:pStyle w:val="19"/>
        <w:bidi w:val="0"/>
        <w:rPr>
          <w:rFonts w:hint="eastAsia"/>
        </w:rPr>
      </w:pPr>
      <w:r>
        <w:rPr>
          <w:rFonts w:hint="eastAsia"/>
        </w:rPr>
        <w:t>按支出功能科目划分：一般公共服务支出334.47万元，文化旅游体育与传媒支出1.00万元，社会保障和就业支出33.26万元，卫生健康支出13.96万元，城乡社区支出729.12万元，住房保障支出24.63万元，灾害防治及应急管理支出0.01万元。</w:t>
      </w:r>
    </w:p>
    <w:p w14:paraId="082BFDF0">
      <w:pPr>
        <w:pStyle w:val="19"/>
        <w:bidi w:val="0"/>
        <w:rPr>
          <w:rFonts w:hint="eastAsia"/>
        </w:rPr>
      </w:pPr>
      <w:r>
        <w:rPr>
          <w:rFonts w:hint="eastAsia"/>
        </w:rPr>
        <w:t>按支出项目类别划分：基本支出1013.44万元,项目支出123.01万元。</w:t>
      </w:r>
    </w:p>
    <w:p w14:paraId="1F4ABB06">
      <w:pPr>
        <w:pStyle w:val="19"/>
        <w:bidi w:val="0"/>
        <w:rPr>
          <w:rFonts w:hint="eastAsia"/>
        </w:rPr>
      </w:pPr>
      <w:r>
        <w:rPr>
          <w:rFonts w:hint="eastAsia"/>
        </w:rPr>
        <w:t>按支</w:t>
      </w:r>
      <w:r>
        <w:rPr>
          <w:rFonts w:hint="eastAsia"/>
          <w:lang w:val="en-US" w:eastAsia="zh-CN"/>
        </w:rPr>
        <w:t>出经济分类</w:t>
      </w:r>
      <w:r>
        <w:rPr>
          <w:rFonts w:hint="eastAsia"/>
        </w:rPr>
        <w:t>划分：工资福利支出885.93万元，商品和服务支出239.72万元，对个人和家庭的补助10.80万元。</w:t>
      </w:r>
    </w:p>
    <w:p w14:paraId="46790B41">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09182CE">
      <w:pPr>
        <w:pStyle w:val="19"/>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32198CB4">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3A110F08">
      <w:pPr>
        <w:pStyle w:val="19"/>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2788B6DF">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A3BE7E9">
      <w:pPr>
        <w:pStyle w:val="19"/>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232</w:t>
      </w:r>
      <w:r>
        <w:rPr>
          <w:rFonts w:hint="eastAsia"/>
        </w:rPr>
        <w:t>万元，比2025年预算增加（减少）</w:t>
      </w:r>
      <w:r>
        <w:rPr>
          <w:rFonts w:hint="eastAsia"/>
          <w:lang w:val="en-US" w:eastAsia="zh-CN"/>
        </w:rPr>
        <w:t>0.00</w:t>
      </w:r>
      <w:r>
        <w:rPr>
          <w:rFonts w:hint="eastAsia"/>
        </w:rPr>
        <w:t>万元，增长（下降）</w:t>
      </w:r>
      <w:r>
        <w:rPr>
          <w:rFonts w:hint="eastAsia"/>
          <w:lang w:val="en-US" w:eastAsia="zh-CN"/>
        </w:rPr>
        <w:t>0.00</w:t>
      </w:r>
      <w:r>
        <w:rPr>
          <w:rFonts w:hint="eastAsia"/>
        </w:rPr>
        <w:t>%。</w:t>
      </w:r>
    </w:p>
    <w:p w14:paraId="15218CE8">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5007E718">
      <w:pPr>
        <w:pStyle w:val="19"/>
        <w:bidi w:val="0"/>
        <w:rPr>
          <w:rFonts w:hint="eastAsia"/>
          <w:lang w:eastAsia="zh-CN"/>
        </w:rPr>
      </w:pPr>
      <w:r>
        <w:rPr>
          <w:rFonts w:hint="eastAsia"/>
          <w:lang w:eastAsia="zh-CN"/>
        </w:rPr>
        <w:t>2026年政府采购总额</w:t>
      </w:r>
      <w:r>
        <w:rPr>
          <w:rFonts w:hint="eastAsia"/>
          <w:lang w:val="en-US" w:eastAsia="zh-CN"/>
        </w:rPr>
        <w:t xml:space="preserve">0 </w:t>
      </w:r>
      <w:r>
        <w:rPr>
          <w:rFonts w:hint="eastAsia"/>
          <w:lang w:eastAsia="zh-CN"/>
        </w:rPr>
        <w:t xml:space="preserve">万元,其中: 政府采购货物预算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7F5F3A98">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45468C2F">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4A959724">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 xml:space="preserve"> 0 </w:t>
      </w:r>
      <w:r>
        <w:rPr>
          <w:rFonts w:hint="eastAsia"/>
          <w:lang w:eastAsia="zh-CN"/>
        </w:rPr>
        <w:t>辆，</w:t>
      </w:r>
      <w:r>
        <w:rPr>
          <w:rFonts w:hint="eastAsia"/>
          <w:lang w:val="en-US" w:eastAsia="zh-CN"/>
        </w:rPr>
        <w:t>未</w:t>
      </w:r>
      <w:r>
        <w:rPr>
          <w:rFonts w:hint="eastAsia"/>
          <w:lang w:eastAsia="zh-CN"/>
        </w:rPr>
        <w:t>安排购置单位价值200万元以上大型设备。</w:t>
      </w:r>
    </w:p>
    <w:p w14:paraId="276435E0">
      <w:pPr>
        <w:pStyle w:val="20"/>
        <w:numPr>
          <w:ilvl w:val="0"/>
          <w:numId w:val="0"/>
        </w:numPr>
        <w:bidi w:val="0"/>
        <w:ind w:firstLine="643" w:firstLineChars="200"/>
        <w:rPr>
          <w:rFonts w:hint="eastAsia"/>
          <w:lang w:val="en-US" w:eastAsia="zh-CN"/>
        </w:rPr>
      </w:pPr>
      <w:r>
        <w:rPr>
          <w:rFonts w:hint="eastAsia"/>
          <w:lang w:val="en-US" w:eastAsia="zh-CN"/>
        </w:rPr>
        <w:t>(九)2026年里村街道社区办公经费项目情况说明</w:t>
      </w:r>
    </w:p>
    <w:p w14:paraId="5D2AB090">
      <w:pPr>
        <w:pStyle w:val="4"/>
        <w:spacing w:before="153" w:line="624" w:lineRule="exact"/>
        <w:ind w:left="667"/>
        <w:rPr>
          <w:rFonts w:hint="eastAsia"/>
          <w:spacing w:val="5"/>
          <w:position w:val="23"/>
          <w:lang w:val="en-US" w:eastAsia="zh-CN"/>
        </w:rPr>
      </w:pPr>
      <w:r>
        <w:rPr>
          <w:rFonts w:hint="eastAsia"/>
          <w:spacing w:val="5"/>
          <w:position w:val="23"/>
          <w:lang w:val="en-US" w:eastAsia="zh-CN"/>
        </w:rPr>
        <w:t>1）</w:t>
      </w:r>
      <w:r>
        <w:rPr>
          <w:spacing w:val="5"/>
          <w:position w:val="23"/>
        </w:rPr>
        <w:t>项目概述：</w:t>
      </w:r>
      <w:r>
        <w:rPr>
          <w:rFonts w:hint="eastAsia"/>
          <w:spacing w:val="5"/>
          <w:position w:val="23"/>
          <w:lang w:val="en-US" w:eastAsia="zh-CN"/>
        </w:rPr>
        <w:t>社会公用经费122万元，用于各社区开支运行。</w:t>
      </w:r>
    </w:p>
    <w:p w14:paraId="4B6AF4C7">
      <w:pPr>
        <w:pStyle w:val="4"/>
        <w:spacing w:before="153" w:line="624" w:lineRule="exact"/>
        <w:ind w:left="667"/>
        <w:rPr>
          <w:spacing w:val="5"/>
          <w:position w:val="23"/>
        </w:rPr>
      </w:pPr>
      <w:r>
        <w:rPr>
          <w:rFonts w:hint="eastAsia"/>
          <w:spacing w:val="5"/>
          <w:position w:val="23"/>
          <w:lang w:val="en-US" w:eastAsia="zh-CN"/>
        </w:rPr>
        <w:t>2</w:t>
      </w:r>
      <w:r>
        <w:rPr>
          <w:rFonts w:hint="eastAsia"/>
          <w:spacing w:val="5"/>
          <w:position w:val="23"/>
          <w:lang w:eastAsia="zh-CN"/>
        </w:rPr>
        <w:t>）</w:t>
      </w:r>
      <w:r>
        <w:rPr>
          <w:spacing w:val="5"/>
          <w:position w:val="23"/>
        </w:rPr>
        <w:t>立项依据：</w:t>
      </w:r>
      <w:r>
        <w:rPr>
          <w:rFonts w:hint="eastAsia"/>
          <w:spacing w:val="5"/>
          <w:position w:val="23"/>
          <w:lang w:eastAsia="zh-CN"/>
        </w:rPr>
        <w:t>上级批复</w:t>
      </w:r>
      <w:r>
        <w:rPr>
          <w:spacing w:val="5"/>
          <w:position w:val="23"/>
        </w:rPr>
        <w:t>。</w:t>
      </w:r>
    </w:p>
    <w:p w14:paraId="4F8C059E">
      <w:pPr>
        <w:pStyle w:val="4"/>
        <w:spacing w:before="153" w:line="624" w:lineRule="exact"/>
        <w:ind w:left="667"/>
        <w:rPr>
          <w:rFonts w:hint="eastAsia"/>
          <w:spacing w:val="5"/>
          <w:position w:val="23"/>
          <w:lang w:eastAsia="zh-CN"/>
        </w:rPr>
      </w:pPr>
      <w:r>
        <w:rPr>
          <w:spacing w:val="5"/>
          <w:position w:val="23"/>
        </w:rPr>
        <w:t>3）实施主体：</w:t>
      </w:r>
      <w:r>
        <w:rPr>
          <w:rFonts w:hint="eastAsia"/>
          <w:spacing w:val="5"/>
          <w:position w:val="23"/>
          <w:lang w:eastAsia="zh-CN"/>
        </w:rPr>
        <w:t>里村街道办事处</w:t>
      </w:r>
    </w:p>
    <w:p w14:paraId="5225DAC8">
      <w:pPr>
        <w:pStyle w:val="4"/>
        <w:spacing w:before="153" w:line="624" w:lineRule="exact"/>
        <w:ind w:left="667"/>
        <w:rPr>
          <w:rFonts w:hint="eastAsia"/>
          <w:spacing w:val="5"/>
          <w:position w:val="23"/>
          <w:lang w:eastAsia="zh-CN"/>
        </w:rPr>
      </w:pPr>
      <w:r>
        <w:rPr>
          <w:spacing w:val="5"/>
          <w:position w:val="23"/>
        </w:rPr>
        <w:t xml:space="preserve">4）实施方案： </w:t>
      </w:r>
      <w:r>
        <w:rPr>
          <w:rFonts w:hint="eastAsia"/>
          <w:spacing w:val="5"/>
          <w:position w:val="23"/>
          <w:lang w:eastAsia="zh-CN"/>
        </w:rPr>
        <w:t>无</w:t>
      </w:r>
    </w:p>
    <w:p w14:paraId="380E7231">
      <w:pPr>
        <w:pStyle w:val="4"/>
        <w:spacing w:before="153" w:line="624" w:lineRule="exact"/>
        <w:ind w:left="667"/>
        <w:rPr>
          <w:spacing w:val="5"/>
          <w:position w:val="23"/>
        </w:rPr>
      </w:pPr>
      <w:r>
        <w:rPr>
          <w:spacing w:val="5"/>
          <w:position w:val="23"/>
        </w:rPr>
        <w:t>5)实施周期： 202</w:t>
      </w:r>
      <w:r>
        <w:rPr>
          <w:rFonts w:hint="eastAsia"/>
          <w:spacing w:val="5"/>
          <w:position w:val="23"/>
          <w:lang w:val="en-US" w:eastAsia="zh-CN"/>
        </w:rPr>
        <w:t>6</w:t>
      </w:r>
      <w:r>
        <w:rPr>
          <w:spacing w:val="5"/>
          <w:position w:val="23"/>
        </w:rPr>
        <w:t>年1月1日-12月31日</w:t>
      </w:r>
    </w:p>
    <w:p w14:paraId="0F4B14AF">
      <w:pPr>
        <w:pStyle w:val="4"/>
        <w:spacing w:before="153" w:line="624" w:lineRule="exact"/>
        <w:ind w:left="667"/>
        <w:rPr>
          <w:rFonts w:hint="eastAsia"/>
          <w:lang w:eastAsia="zh-CN"/>
        </w:rPr>
      </w:pPr>
      <w:r>
        <w:rPr>
          <w:spacing w:val="5"/>
          <w:position w:val="23"/>
        </w:rPr>
        <w:t>6)年度预算安排：</w:t>
      </w:r>
      <w:r>
        <w:rPr>
          <w:rFonts w:hint="eastAsia"/>
          <w:spacing w:val="5"/>
          <w:position w:val="23"/>
          <w:lang w:val="en-US" w:eastAsia="zh-CN"/>
        </w:rPr>
        <w:t>122</w:t>
      </w:r>
      <w:r>
        <w:rPr>
          <w:spacing w:val="5"/>
          <w:position w:val="23"/>
        </w:rPr>
        <w:t xml:space="preserve"> 万元</w:t>
      </w:r>
    </w:p>
    <w:p w14:paraId="757AD65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D7B59FA">
      <w:pPr>
        <w:pStyle w:val="19"/>
        <w:bidi w:val="0"/>
        <w:rPr>
          <w:rFonts w:hint="eastAsia"/>
          <w:lang w:eastAsia="zh-CN"/>
        </w:rPr>
      </w:pPr>
      <w:r>
        <w:rPr>
          <w:rFonts w:hint="eastAsia"/>
          <w:lang w:eastAsia="zh-CN"/>
        </w:rPr>
        <w:t>2026年景德镇市珠山区里村街道办事处财政拨款"三公"经费安排5.03万元，其中：</w:t>
      </w:r>
    </w:p>
    <w:p w14:paraId="4B61A5F6">
      <w:pPr>
        <w:pStyle w:val="19"/>
        <w:bidi w:val="0"/>
        <w:rPr>
          <w:rFonts w:hint="eastAsia"/>
          <w:lang w:eastAsia="zh-CN"/>
        </w:rPr>
      </w:pPr>
      <w:r>
        <w:rPr>
          <w:rFonts w:hint="eastAsia"/>
          <w:lang w:eastAsia="zh-CN"/>
        </w:rPr>
        <w:t>因公出国0.00万元,比上年增（减）</w:t>
      </w:r>
      <w:r>
        <w:rPr>
          <w:rFonts w:hint="eastAsia"/>
          <w:lang w:val="en-US" w:eastAsia="zh-CN"/>
        </w:rPr>
        <w:t xml:space="preserve"> 0 </w:t>
      </w:r>
      <w:r>
        <w:rPr>
          <w:rFonts w:hint="eastAsia"/>
          <w:lang w:eastAsia="zh-CN"/>
        </w:rPr>
        <w:t>万元，主要原因是：</w:t>
      </w:r>
      <w:r>
        <w:rPr>
          <w:rFonts w:hint="eastAsia"/>
          <w:lang w:val="en-US" w:eastAsia="zh-CN"/>
        </w:rPr>
        <w:t>与上年安排保持一致</w:t>
      </w:r>
      <w:r>
        <w:rPr>
          <w:rFonts w:hint="eastAsia"/>
          <w:lang w:eastAsia="zh-CN"/>
        </w:rPr>
        <w:t>。</w:t>
      </w:r>
    </w:p>
    <w:p w14:paraId="004A5E81">
      <w:pPr>
        <w:pStyle w:val="19"/>
        <w:bidi w:val="0"/>
        <w:rPr>
          <w:rFonts w:hint="eastAsia"/>
          <w:lang w:eastAsia="zh-CN"/>
        </w:rPr>
      </w:pPr>
      <w:r>
        <w:rPr>
          <w:rFonts w:hint="eastAsia"/>
          <w:lang w:eastAsia="zh-CN"/>
        </w:rPr>
        <w:t>公务接待5.03万元,比上年减</w:t>
      </w:r>
      <w:r>
        <w:rPr>
          <w:rFonts w:hint="eastAsia"/>
          <w:lang w:val="en-US" w:eastAsia="zh-CN"/>
        </w:rPr>
        <w:t>少0.05</w:t>
      </w:r>
      <w:r>
        <w:rPr>
          <w:rFonts w:hint="eastAsia"/>
          <w:lang w:eastAsia="zh-CN"/>
        </w:rPr>
        <w:t>万元，主要原因是：</w:t>
      </w:r>
      <w:r>
        <w:rPr>
          <w:rFonts w:hint="eastAsia"/>
          <w:lang w:val="en-US" w:eastAsia="zh-CN"/>
        </w:rPr>
        <w:t>与上年安排保持一致。</w:t>
      </w:r>
    </w:p>
    <w:p w14:paraId="6FFB01EB">
      <w:pPr>
        <w:pStyle w:val="19"/>
        <w:bidi w:val="0"/>
        <w:rPr>
          <w:rFonts w:hint="eastAsia"/>
          <w:lang w:eastAsia="zh-CN"/>
        </w:rPr>
      </w:pPr>
      <w:r>
        <w:rPr>
          <w:rFonts w:hint="eastAsia"/>
          <w:lang w:eastAsia="zh-CN"/>
        </w:rPr>
        <w:t>公务用车运行0.00万元,比上年增（减）</w:t>
      </w:r>
      <w:r>
        <w:rPr>
          <w:rFonts w:hint="eastAsia"/>
          <w:lang w:val="en-US" w:eastAsia="zh-CN"/>
        </w:rPr>
        <w:t xml:space="preserve"> 0 </w:t>
      </w:r>
      <w:r>
        <w:rPr>
          <w:rFonts w:hint="eastAsia"/>
          <w:lang w:eastAsia="zh-CN"/>
        </w:rPr>
        <w:t>万元，主要原因是：</w:t>
      </w:r>
      <w:r>
        <w:rPr>
          <w:rFonts w:hint="eastAsia"/>
          <w:lang w:val="en-US" w:eastAsia="zh-CN"/>
        </w:rPr>
        <w:t>与上年安排保持一致</w:t>
      </w:r>
    </w:p>
    <w:p w14:paraId="1253CD0B">
      <w:pPr>
        <w:pStyle w:val="19"/>
        <w:bidi w:val="0"/>
        <w:rPr>
          <w:rFonts w:hint="eastAsia"/>
          <w:lang w:eastAsia="zh-CN"/>
        </w:rPr>
      </w:pPr>
      <w:r>
        <w:rPr>
          <w:rFonts w:hint="eastAsia"/>
          <w:lang w:eastAsia="zh-CN"/>
        </w:rPr>
        <w:t>公务用车购置0.00万元,比上年增（减）</w:t>
      </w:r>
      <w:r>
        <w:rPr>
          <w:rFonts w:hint="eastAsia"/>
          <w:lang w:val="en-US" w:eastAsia="zh-CN"/>
        </w:rPr>
        <w:t xml:space="preserve"> 0 </w:t>
      </w:r>
      <w:r>
        <w:rPr>
          <w:rFonts w:hint="eastAsia"/>
          <w:lang w:eastAsia="zh-CN"/>
        </w:rPr>
        <w:t>万元，主要原因是：</w:t>
      </w:r>
      <w:r>
        <w:rPr>
          <w:rFonts w:hint="eastAsia"/>
          <w:lang w:val="en-US" w:eastAsia="zh-CN"/>
        </w:rPr>
        <w:t>与上年安排保持一致</w:t>
      </w:r>
    </w:p>
    <w:p w14:paraId="70ED2B0A">
      <w:pPr>
        <w:rPr>
          <w:rStyle w:val="13"/>
          <w:rFonts w:hint="eastAsia" w:ascii="仿宋" w:hAnsi="仿宋" w:eastAsia="仿宋"/>
          <w:sz w:val="32"/>
          <w:szCs w:val="32"/>
        </w:rPr>
      </w:pPr>
      <w:r>
        <w:rPr>
          <w:rStyle w:val="13"/>
          <w:rFonts w:hint="eastAsia" w:ascii="仿宋" w:hAnsi="仿宋" w:eastAsia="仿宋"/>
          <w:sz w:val="32"/>
          <w:szCs w:val="32"/>
        </w:rPr>
        <w:br w:type="page"/>
      </w:r>
    </w:p>
    <w:p w14:paraId="4E891C4A">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40B14DE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E9D1575">
      <w:pPr>
        <w:pStyle w:val="4"/>
        <w:spacing w:before="217" w:line="600" w:lineRule="exact"/>
        <w:ind w:left="675"/>
        <w:rPr>
          <w:position w:val="21"/>
        </w:rPr>
      </w:pPr>
      <w:r>
        <w:rPr>
          <w:position w:val="21"/>
        </w:rPr>
        <w:t>（一）财政拨款：</w:t>
      </w:r>
      <w:r>
        <w:rPr>
          <w:rFonts w:hint="eastAsia"/>
          <w:position w:val="21"/>
        </w:rPr>
        <w:t>指市级财政当年拨付的资金。</w:t>
      </w:r>
    </w:p>
    <w:p w14:paraId="68A9F859">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firstLine="620" w:firstLineChars="200"/>
        <w:textAlignment w:val="baseline"/>
        <w:rPr>
          <w:position w:val="21"/>
        </w:rPr>
      </w:pPr>
      <w:r>
        <w:rPr>
          <w:position w:val="21"/>
        </w:rPr>
        <w:t>（二）</w:t>
      </w:r>
      <w:r>
        <w:rPr>
          <w:rFonts w:hint="eastAsia"/>
          <w:position w:val="21"/>
        </w:rPr>
        <w:t>事业收入：指事业单位开展专业业务活动及辅助活动取得的收入。</w:t>
      </w:r>
    </w:p>
    <w:p w14:paraId="39E30854">
      <w:pPr>
        <w:pStyle w:val="4"/>
        <w:spacing w:before="217" w:line="600" w:lineRule="exact"/>
        <w:ind w:left="675"/>
      </w:pPr>
      <w:r>
        <w:rPr>
          <w:position w:val="21"/>
        </w:rPr>
        <w:t>（三） 事业单位经营收入：指事业单位在专业业务活动</w:t>
      </w:r>
    </w:p>
    <w:p w14:paraId="6B726A62">
      <w:pPr>
        <w:pStyle w:val="4"/>
        <w:spacing w:before="1" w:line="226" w:lineRule="auto"/>
        <w:ind w:left="38"/>
      </w:pPr>
      <w:r>
        <w:rPr>
          <w:spacing w:val="6"/>
        </w:rPr>
        <w:t>及辅助活动之外开展非独立核算经营活动取得的收入。</w:t>
      </w:r>
    </w:p>
    <w:p w14:paraId="471DBC49">
      <w:pPr>
        <w:pStyle w:val="4"/>
        <w:spacing w:before="219" w:line="600" w:lineRule="exact"/>
        <w:ind w:left="675"/>
      </w:pPr>
      <w:r>
        <w:rPr>
          <w:spacing w:val="7"/>
          <w:position w:val="21"/>
        </w:rPr>
        <w:t>（四）其他收入：指除财政拨款、事业收入、事业单位</w:t>
      </w:r>
    </w:p>
    <w:p w14:paraId="2C7705EE">
      <w:pPr>
        <w:pStyle w:val="4"/>
        <w:spacing w:before="1" w:line="229" w:lineRule="auto"/>
        <w:ind w:left="34"/>
      </w:pPr>
      <w:r>
        <w:rPr>
          <w:spacing w:val="4"/>
        </w:rPr>
        <w:t>经营收入等以外的各项收入。</w:t>
      </w:r>
    </w:p>
    <w:p w14:paraId="74E7BAA0">
      <w:pPr>
        <w:pStyle w:val="4"/>
        <w:spacing w:before="215" w:line="600" w:lineRule="exact"/>
        <w:ind w:left="678"/>
      </w:pPr>
      <w:r>
        <w:rPr>
          <w:spacing w:val="9"/>
          <w:position w:val="21"/>
        </w:rPr>
        <w:t>（五）上年结转和结余：填列 202</w:t>
      </w:r>
      <w:r>
        <w:rPr>
          <w:rFonts w:hint="eastAsia"/>
          <w:spacing w:val="9"/>
          <w:position w:val="21"/>
          <w:lang w:val="en-US" w:eastAsia="zh-CN"/>
        </w:rPr>
        <w:t>5</w:t>
      </w:r>
      <w:r>
        <w:rPr>
          <w:spacing w:val="-36"/>
          <w:position w:val="21"/>
        </w:rPr>
        <w:t xml:space="preserve"> </w:t>
      </w:r>
      <w:r>
        <w:rPr>
          <w:spacing w:val="9"/>
          <w:position w:val="21"/>
        </w:rPr>
        <w:t>年全部结转和结余</w:t>
      </w:r>
    </w:p>
    <w:p w14:paraId="265D6E61">
      <w:pPr>
        <w:pStyle w:val="4"/>
        <w:spacing w:before="1" w:line="224" w:lineRule="auto"/>
        <w:jc w:val="left"/>
        <w:rPr>
          <w:rFonts w:ascii="Adobe 仿宋 Std R" w:hAnsi="Adobe 仿宋 Std R" w:eastAsia="Adobe 仿宋 Std R"/>
          <w:sz w:val="32"/>
          <w:szCs w:val="32"/>
        </w:rPr>
      </w:pPr>
      <w:r>
        <w:rPr>
          <w:spacing w:val="6"/>
        </w:rPr>
        <w:t>的资金数，包括当年结转结余资金和历年滚存结转结余资</w:t>
      </w:r>
      <w:r>
        <w:rPr>
          <w:rFonts w:hint="eastAsia"/>
          <w:spacing w:val="6"/>
          <w:lang w:val="en-US" w:eastAsia="zh-CN"/>
        </w:rPr>
        <w:t>金</w:t>
      </w:r>
      <w:r>
        <w:rPr>
          <w:spacing w:val="6"/>
        </w:rPr>
        <w:t>。</w:t>
      </w:r>
    </w:p>
    <w:p w14:paraId="4017B8F3">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4B0688C">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0CBC15D8">
      <w:pPr>
        <w:pStyle w:val="4"/>
        <w:tabs>
          <w:tab w:val="left" w:pos="8609"/>
        </w:tabs>
        <w:spacing w:before="216" w:line="357" w:lineRule="auto"/>
        <w:ind w:left="39" w:firstLine="683" w:firstLineChars="211"/>
        <w:jc w:val="both"/>
        <w:rPr>
          <w:rFonts w:hint="eastAsia"/>
          <w:spacing w:val="7"/>
        </w:rPr>
      </w:pPr>
      <w:r>
        <w:rPr>
          <w:rFonts w:hint="eastAsia"/>
          <w:spacing w:val="7"/>
        </w:rPr>
        <w:t>（一）一般公共服务支出：反映行政事业单位的相关支出。</w:t>
      </w:r>
    </w:p>
    <w:p w14:paraId="0AD2937C">
      <w:pPr>
        <w:pStyle w:val="4"/>
        <w:tabs>
          <w:tab w:val="left" w:pos="8609"/>
        </w:tabs>
        <w:spacing w:before="216" w:line="357" w:lineRule="auto"/>
        <w:ind w:left="39" w:firstLine="683" w:firstLineChars="211"/>
        <w:jc w:val="both"/>
        <w:rPr>
          <w:rFonts w:hint="eastAsia"/>
          <w:spacing w:val="7"/>
        </w:rPr>
      </w:pPr>
      <w:r>
        <w:rPr>
          <w:rFonts w:hint="eastAsia"/>
          <w:spacing w:val="7"/>
        </w:rPr>
        <w:t>（二）社会保障和就业支出：反映机关事业单位实施养老保险制度由单位缴纳的基本养老保险费支出。</w:t>
      </w:r>
    </w:p>
    <w:p w14:paraId="3F9CCA4B">
      <w:pPr>
        <w:pStyle w:val="4"/>
        <w:tabs>
          <w:tab w:val="left" w:pos="8609"/>
        </w:tabs>
        <w:spacing w:before="216" w:line="357" w:lineRule="auto"/>
        <w:ind w:left="39" w:firstLine="683" w:firstLineChars="211"/>
        <w:jc w:val="both"/>
        <w:rPr>
          <w:rFonts w:hint="eastAsia"/>
          <w:spacing w:val="7"/>
        </w:rPr>
      </w:pPr>
      <w:r>
        <w:rPr>
          <w:rFonts w:hint="eastAsia"/>
          <w:spacing w:val="7"/>
        </w:rPr>
        <w:t>（三）卫生健康支出：反映行政事业单位医疗方面的支出。</w:t>
      </w:r>
    </w:p>
    <w:p w14:paraId="7E45CB14">
      <w:pPr>
        <w:pStyle w:val="4"/>
        <w:tabs>
          <w:tab w:val="left" w:pos="8609"/>
        </w:tabs>
        <w:spacing w:before="216" w:line="357" w:lineRule="auto"/>
        <w:ind w:left="39" w:firstLine="683" w:firstLineChars="211"/>
        <w:jc w:val="both"/>
        <w:rPr>
          <w:rFonts w:ascii="仿宋_GB2312" w:eastAsia="仿宋_GB2312"/>
          <w:color w:val="000000"/>
          <w:sz w:val="32"/>
          <w:szCs w:val="30"/>
        </w:rPr>
      </w:pPr>
      <w:r>
        <w:rPr>
          <w:rFonts w:hint="eastAsia"/>
          <w:spacing w:val="7"/>
        </w:rPr>
        <w:t>（四）住房保障支出：反映行政事业单位按人力资源和社会保障部、财政部规定的基本工资和津贴补贴以及规定比例为职工缴纳的住房公积金。</w:t>
      </w:r>
    </w:p>
    <w:p w14:paraId="50516146">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9EF22DA">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908C4D6">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154EAF57">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95EF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1BB80BC6"/>
    <w:multiLevelType w:val="singleLevel"/>
    <w:tmpl w:val="1BB80BC6"/>
    <w:lvl w:ilvl="0" w:tentative="0">
      <w:start w:val="1"/>
      <w:numFmt w:val="chineseCounting"/>
      <w:suff w:val="nothing"/>
      <w:lvlText w:val="%1、"/>
      <w:lvlJc w:val="left"/>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3D91"/>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4DD39DA"/>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534086"/>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71687C"/>
    <w:rsid w:val="2584425C"/>
    <w:rsid w:val="25B931E9"/>
    <w:rsid w:val="25CE54D7"/>
    <w:rsid w:val="25F4209D"/>
    <w:rsid w:val="25F90400"/>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3B0B20"/>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A52B6A"/>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01280"/>
    <w:rsid w:val="43422F5A"/>
    <w:rsid w:val="439416B6"/>
    <w:rsid w:val="4394233B"/>
    <w:rsid w:val="43B35A16"/>
    <w:rsid w:val="441308E0"/>
    <w:rsid w:val="44BF2763"/>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6EF6ED8"/>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5FF612D7"/>
    <w:rsid w:val="6025390F"/>
    <w:rsid w:val="602A730A"/>
    <w:rsid w:val="604A0FC0"/>
    <w:rsid w:val="605F3B00"/>
    <w:rsid w:val="6062071A"/>
    <w:rsid w:val="609E54CA"/>
    <w:rsid w:val="60B60A66"/>
    <w:rsid w:val="60FF065F"/>
    <w:rsid w:val="614348BF"/>
    <w:rsid w:val="61E909C7"/>
    <w:rsid w:val="628F77C1"/>
    <w:rsid w:val="629372B1"/>
    <w:rsid w:val="631906FD"/>
    <w:rsid w:val="63340E3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3C40BE"/>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5130</Words>
  <Characters>6934</Characters>
  <Lines>47</Lines>
  <Paragraphs>13</Paragraphs>
  <TotalTime>0</TotalTime>
  <ScaleCrop>false</ScaleCrop>
  <LinksUpToDate>false</LinksUpToDate>
  <CharactersWithSpaces>7061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小欣欣</cp:lastModifiedBy>
  <dcterms:modified xsi:type="dcterms:W3CDTF">2026-03-02T02:22:54Z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F8F46DFC53524F4B9BA3C5ACB66B8ED5_13</vt:lpwstr>
  </property>
  <property fmtid="{D5CDD505-2E9C-101B-9397-08002B2CF9AE}" pid="3" name="KSOProductBuildVer">
    <vt:lpwstr>2052-12.1.0.23125</vt:lpwstr>
  </property>
  <property fmtid="{D5CDD505-2E9C-101B-9397-08002B2CF9AE}" pid="4" name="KSOTemplateDocerSaveRecord">
    <vt:lpwstr>eyJoZGlkIjoiNzQ0NjAyMTcwZGYyMTQ1ZTlhYjlkMzM2ZjYxMmQyODkiLCJ1c2VySWQiOiIxMDMzMzg5NDU3In0=</vt:lpwstr>
  </property>
</Properties>
</file>