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D7E6">
      <w:pPr>
        <w:pStyle w:val="17"/>
        <w:bidi w:val="0"/>
        <w:rPr>
          <w:rFonts w:hint="eastAsia"/>
        </w:rPr>
      </w:pPr>
      <w:r>
        <w:rPr>
          <w:rFonts w:hint="eastAsia"/>
          <w:lang w:eastAsia="zh-CN"/>
        </w:rPr>
        <w:t>景德镇市珠山区珠山街道办事处2026</w:t>
      </w:r>
      <w:r>
        <w:rPr>
          <w:rFonts w:hint="eastAsia"/>
        </w:rPr>
        <w:t>年部门预算</w:t>
      </w:r>
    </w:p>
    <w:p w14:paraId="35E967B9">
      <w:pPr>
        <w:pStyle w:val="14"/>
        <w:spacing w:line="600" w:lineRule="atLeast"/>
        <w:jc w:val="center"/>
        <w:rPr>
          <w:rFonts w:ascii="黑体" w:hAnsi="黑体" w:eastAsia="黑体"/>
          <w:color w:val="000000"/>
          <w:sz w:val="32"/>
          <w:szCs w:val="32"/>
        </w:rPr>
      </w:pPr>
    </w:p>
    <w:p w14:paraId="390EA22C">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50F5815">
      <w:pPr>
        <w:pStyle w:val="14"/>
        <w:rPr>
          <w:rFonts w:ascii="宋体" w:hAnsi="宋体"/>
          <w:color w:val="000000"/>
        </w:rPr>
      </w:pPr>
    </w:p>
    <w:p w14:paraId="61747E57">
      <w:pPr>
        <w:pStyle w:val="18"/>
        <w:numPr>
          <w:ilvl w:val="0"/>
          <w:numId w:val="0"/>
        </w:numPr>
        <w:bidi w:val="0"/>
        <w:ind w:left="420" w:leftChars="200"/>
        <w:jc w:val="left"/>
        <w:rPr>
          <w:rFonts w:hint="eastAsia"/>
          <w:lang w:eastAsia="zh-CN"/>
        </w:rPr>
      </w:pPr>
      <w:r>
        <w:rPr>
          <w:rFonts w:hint="eastAsia"/>
          <w:lang w:val="en-US" w:eastAsia="zh-CN"/>
        </w:rPr>
        <w:t>第一部分  景德镇市珠山区珠山街道办事处概况</w:t>
      </w:r>
    </w:p>
    <w:p w14:paraId="5EA675AF">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732FE6E">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7618EC1">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景德镇市珠山区珠山街道办事处2026</w:t>
      </w:r>
      <w:r>
        <w:rPr>
          <w:rFonts w:hint="eastAsia"/>
        </w:rPr>
        <w:t>年部门预算表</w:t>
      </w:r>
    </w:p>
    <w:p w14:paraId="41857E86">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4156DFF">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5CAAE1DD">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CB1C350">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A4B2787">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24B3260">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36C8E2B">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129A6E1">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05E35CC">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48EF03B">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39CE5C61">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726CAA23">
      <w:pPr>
        <w:pStyle w:val="18"/>
        <w:numPr>
          <w:ilvl w:val="0"/>
          <w:numId w:val="0"/>
        </w:numPr>
        <w:bidi w:val="0"/>
        <w:ind w:left="420" w:leftChars="200"/>
        <w:jc w:val="left"/>
        <w:rPr>
          <w:rFonts w:hint="eastAsia"/>
          <w:lang w:eastAsia="zh-CN"/>
        </w:rPr>
      </w:pPr>
      <w:r>
        <w:rPr>
          <w:rFonts w:hint="eastAsia"/>
          <w:lang w:eastAsia="zh-CN"/>
        </w:rPr>
        <w:t>第三部分 景德镇市珠山区珠山街道办事处 2026年部门预算情况说明</w:t>
      </w:r>
    </w:p>
    <w:p w14:paraId="45ADBAF9">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47B4EE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DF6B547">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65C70D6A">
      <w:pPr>
        <w:pStyle w:val="18"/>
        <w:numPr>
          <w:ilvl w:val="0"/>
          <w:numId w:val="0"/>
        </w:numPr>
        <w:bidi w:val="0"/>
        <w:ind w:left="420" w:leftChars="200"/>
        <w:jc w:val="left"/>
        <w:rPr>
          <w:rFonts w:hint="eastAsia"/>
          <w:lang w:eastAsia="zh-CN"/>
        </w:rPr>
      </w:pPr>
      <w:r>
        <w:rPr>
          <w:rFonts w:hint="eastAsia"/>
          <w:lang w:eastAsia="zh-CN"/>
        </w:rPr>
        <w:t>第四部分  名词解释</w:t>
      </w:r>
    </w:p>
    <w:p w14:paraId="0225BBEC">
      <w:pPr>
        <w:widowControl/>
        <w:spacing w:line="580" w:lineRule="exact"/>
        <w:jc w:val="center"/>
        <w:rPr>
          <w:rFonts w:ascii="仿宋_GB2312" w:eastAsia="仿宋_GB2312"/>
          <w:b/>
          <w:sz w:val="32"/>
          <w:szCs w:val="30"/>
        </w:rPr>
      </w:pPr>
    </w:p>
    <w:p w14:paraId="49624CE4">
      <w:pPr>
        <w:widowControl/>
        <w:spacing w:line="580" w:lineRule="exact"/>
        <w:jc w:val="center"/>
        <w:rPr>
          <w:rFonts w:ascii="仿宋_GB2312" w:eastAsia="仿宋_GB2312"/>
          <w:b/>
          <w:sz w:val="32"/>
          <w:szCs w:val="30"/>
        </w:rPr>
      </w:pPr>
    </w:p>
    <w:p w14:paraId="57EA0D17">
      <w:pPr>
        <w:pStyle w:val="18"/>
        <w:numPr>
          <w:ilvl w:val="0"/>
          <w:numId w:val="0"/>
        </w:numPr>
        <w:bidi w:val="0"/>
        <w:ind w:left="420" w:leftChars="200"/>
        <w:jc w:val="center"/>
        <w:rPr>
          <w:rFonts w:hint="eastAsia"/>
          <w:lang w:eastAsia="zh-CN"/>
        </w:rPr>
      </w:pPr>
      <w:r>
        <w:rPr>
          <w:rFonts w:hint="eastAsia"/>
          <w:lang w:eastAsia="zh-CN"/>
        </w:rPr>
        <w:t>第一部分  景德镇市珠山区珠山街道办事处概况</w:t>
      </w:r>
    </w:p>
    <w:p w14:paraId="59BD7A7A">
      <w:pPr>
        <w:widowControl/>
        <w:spacing w:line="580" w:lineRule="exact"/>
        <w:jc w:val="left"/>
        <w:rPr>
          <w:rFonts w:asciiTheme="minorEastAsia" w:hAnsiTheme="minorEastAsia"/>
          <w:b/>
          <w:sz w:val="36"/>
          <w:szCs w:val="36"/>
        </w:rPr>
      </w:pPr>
    </w:p>
    <w:p w14:paraId="72ADEC72">
      <w:pPr>
        <w:pStyle w:val="18"/>
        <w:numPr>
          <w:ilvl w:val="0"/>
          <w:numId w:val="3"/>
        </w:numPr>
        <w:bidi w:val="0"/>
        <w:ind w:left="420" w:leftChars="200" w:firstLine="320" w:firstLineChars="100"/>
        <w:rPr>
          <w:rFonts w:hint="eastAsia"/>
        </w:rPr>
      </w:pPr>
      <w:r>
        <w:rPr>
          <w:rFonts w:hint="eastAsia"/>
        </w:rPr>
        <w:t>部门主要职责</w:t>
      </w:r>
    </w:p>
    <w:p w14:paraId="31EA045D">
      <w:pPr>
        <w:pStyle w:val="19"/>
        <w:bidi w:val="0"/>
        <w:rPr>
          <w:rFonts w:hint="eastAsia" w:ascii="仿宋_GB2312" w:hAnsi="仿宋_GB2312" w:eastAsia="仿宋_GB2312" w:cs="仿宋_GB2312"/>
        </w:rPr>
      </w:pPr>
      <w:r>
        <w:rPr>
          <w:rFonts w:hint="eastAsia" w:ascii="仿宋_GB2312" w:hAnsi="仿宋_GB2312" w:eastAsia="仿宋_GB2312" w:cs="仿宋_GB2312"/>
        </w:rPr>
        <w:t>1、在区委、区政府的领导下，贯彻执行党的路线、方针、政策和国家各项法律、法规；负责街道辖区内的地区性、群众性、公益性、社会性工作。</w:t>
      </w:r>
    </w:p>
    <w:p w14:paraId="1AA64316">
      <w:pPr>
        <w:pStyle w:val="19"/>
        <w:bidi w:val="0"/>
        <w:rPr>
          <w:rFonts w:hint="eastAsia" w:ascii="仿宋_GB2312" w:hAnsi="仿宋_GB2312" w:eastAsia="仿宋_GB2312" w:cs="仿宋_GB2312"/>
        </w:rPr>
      </w:pPr>
      <w:r>
        <w:rPr>
          <w:rFonts w:hint="eastAsia" w:ascii="仿宋_GB2312" w:hAnsi="仿宋_GB2312" w:eastAsia="仿宋_GB2312" w:cs="仿宋_GB2312"/>
        </w:rPr>
        <w:t>2、负责精神文明建设工作，积极组织以提高市民质素为目的的活动，树立文明新风。</w:t>
      </w:r>
    </w:p>
    <w:p w14:paraId="3932DCE9">
      <w:pPr>
        <w:pStyle w:val="19"/>
        <w:bidi w:val="0"/>
        <w:rPr>
          <w:rFonts w:hint="eastAsia" w:ascii="仿宋_GB2312" w:hAnsi="仿宋_GB2312" w:eastAsia="仿宋_GB2312" w:cs="仿宋_GB2312"/>
        </w:rPr>
      </w:pPr>
      <w:r>
        <w:rPr>
          <w:rFonts w:hint="eastAsia" w:ascii="仿宋_GB2312" w:hAnsi="仿宋_GB2312" w:eastAsia="仿宋_GB2312" w:cs="仿宋_GB2312"/>
        </w:rPr>
        <w:t>3、按照职责范围，负责街道辖区内的城市建设和管理、</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"https://www.baidu.com/s?wd=%E5%B8%82%E5%AE%B9%E7%8E%AF%E5%A2%83%E5%8D%AB%E7%94%9F&amp;tn=44039180_cpr&amp;fenlei=mv6quAkxTZn0IZRqIHckPjm4nH00T1dWuhDkPyPWPyc1mWRzrjD30ZwV5Hcvrjm3rH6sPfKWUMw85HfYnjn4nH6sgvPsT6KdThsqpZwYTjCEQLGCpyw9Uz4Bmy-bIi4WUvYETgN-TLwGUv3EnHRvPjnvnjT"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市容环境卫生</w:t>
      </w:r>
      <w:r>
        <w:rPr>
          <w:rFonts w:hint="eastAsia" w:ascii="仿宋_GB2312" w:hAnsi="仿宋_GB2312" w:eastAsia="仿宋_GB2312" w:cs="仿宋_GB2312"/>
        </w:rPr>
        <w:fldChar w:fldCharType="end"/>
      </w:r>
      <w:r>
        <w:rPr>
          <w:rFonts w:hint="eastAsia" w:ascii="仿宋_GB2312" w:hAnsi="仿宋_GB2312" w:eastAsia="仿宋_GB2312" w:cs="仿宋_GB2312"/>
        </w:rPr>
        <w:t>、环境保护、市政、等监督、管理、服务工作。</w:t>
      </w:r>
    </w:p>
    <w:p w14:paraId="6D76DF06">
      <w:pPr>
        <w:pStyle w:val="19"/>
        <w:bidi w:val="0"/>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负责街道辖区内的维护稳定及社会治安综合治理</w:t>
      </w:r>
      <w:r>
        <w:rPr>
          <w:rFonts w:hint="eastAsia" w:ascii="仿宋_GB2312" w:hAnsi="仿宋_GB2312" w:eastAsia="仿宋_GB2312" w:cs="仿宋_GB2312"/>
        </w:rPr>
        <w:fldChar w:fldCharType="end"/>
      </w:r>
      <w:r>
        <w:rPr>
          <w:rFonts w:hint="eastAsia" w:ascii="仿宋_GB2312" w:hAnsi="仿宋_GB2312" w:eastAsia="仿宋_GB2312" w:cs="仿宋_GB2312"/>
        </w:rPr>
        <w:t>工作，依照有关规定做好出租屋和外来暂住人员的管理工作；负责民事调解，法律服务工作，维护居民的合法权益。</w:t>
      </w:r>
    </w:p>
    <w:p w14:paraId="4DDA2DEA">
      <w:pPr>
        <w:pStyle w:val="19"/>
        <w:bidi w:val="0"/>
        <w:rPr>
          <w:rFonts w:hint="eastAsia" w:ascii="仿宋_GB2312" w:hAnsi="仿宋_GB2312" w:eastAsia="仿宋_GB2312" w:cs="仿宋_GB2312"/>
        </w:rPr>
      </w:pPr>
      <w:r>
        <w:rPr>
          <w:rFonts w:hint="eastAsia" w:ascii="仿宋_GB2312" w:hAnsi="仿宋_GB2312" w:eastAsia="仿宋_GB2312" w:cs="仿宋_GB2312"/>
        </w:rPr>
        <w:t>5、负责</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"https://www.baidu.com/s?wd=%E7%A4%BE%E5%8C%BA%E5%BB%BA%E8%AE%BE&amp;tn=44039180_cpr&amp;fenlei=mv6quAkxTZn0IZRqIHckPjm4nH00T1dWuhDkPyPWPyc1mWRzrjD30ZwV5Hcvrjm3rH6sPfKWUMw85HfYnjn4nH6sgvPsT6KdThsqpZwYTjCEQLGCpyw9Uz4Bmy-bIi4WUvYETgN-TLwGUv3EnHRvPjnvnjT"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社区建设</w:t>
      </w:r>
      <w:r>
        <w:rPr>
          <w:rFonts w:hint="eastAsia" w:ascii="仿宋_GB2312" w:hAnsi="仿宋_GB2312" w:eastAsia="仿宋_GB2312" w:cs="仿宋_GB2312"/>
        </w:rPr>
        <w:fldChar w:fldCharType="end"/>
      </w:r>
      <w:r>
        <w:rPr>
          <w:rFonts w:hint="eastAsia" w:ascii="仿宋_GB2312" w:hAnsi="仿宋_GB2312" w:eastAsia="仿宋_GB2312" w:cs="仿宋_GB2312"/>
        </w:rPr>
        <w:t>和管理，积极开展社区服务工作，大力兴办社区福利事业，发动和组织社区成员开展各类社区公益活动；</w:t>
      </w:r>
    </w:p>
    <w:p w14:paraId="610343F0">
      <w:pPr>
        <w:pStyle w:val="19"/>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负责拥军优属、</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"https://www.baidu.com/s?wd=%E4%BC%98%E6%8A%9A%E5%AE%89%E7%BD%AE&amp;tn=44039180_cpr&amp;fenlei=mv6quAkxTZn0IZRqIHckPjm4nH00T1dWuhDkPyPWPyc1mWRzrjD30ZwV5Hcvrjm3rH6sPfKWUMw85HfYnjn4nH6sgvPsT6KdThsqpZwYTjCEQLGCpyw9Uz4Bmy-bIi4WUvYETgN-TLwGUv3EnHRvPjnvnjT"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优抚安置</w:t>
      </w:r>
      <w:r>
        <w:rPr>
          <w:rFonts w:hint="eastAsia" w:ascii="仿宋_GB2312" w:hAnsi="仿宋_GB2312" w:eastAsia="仿宋_GB2312" w:cs="仿宋_GB2312"/>
        </w:rPr>
        <w:fldChar w:fldCharType="end"/>
      </w:r>
      <w:r>
        <w:rPr>
          <w:rFonts w:hint="eastAsia" w:ascii="仿宋_GB2312" w:hAnsi="仿宋_GB2312" w:eastAsia="仿宋_GB2312" w:cs="仿宋_GB2312"/>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"https://www.baidu.com/s?wd=%E7%A4%BE%E4%BC%9A%E6%95%91%E6%B5%8E&amp;tn=44039180_cpr&amp;fenlei=mv6quAkxTZn0IZRqIHckPjm4nH00T1dWuhDkPyPWPyc1mWRzrjD30ZwV5Hcvrjm3rH6sPfKWUMw85HfYnjn4nH6sgvPsT6KdThsqpZwYTjCEQLGCpyw9Uz4Bmy-bIi4WUvYETgN-TLwGUv3EnHRvPjnvnjT"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社会救济</w:t>
      </w:r>
      <w:r>
        <w:rPr>
          <w:rFonts w:hint="eastAsia" w:ascii="仿宋_GB2312" w:hAnsi="仿宋_GB2312" w:eastAsia="仿宋_GB2312" w:cs="仿宋_GB2312"/>
        </w:rPr>
        <w:fldChar w:fldCharType="end"/>
      </w:r>
      <w:r>
        <w:rPr>
          <w:rFonts w:hint="eastAsia" w:ascii="仿宋_GB2312" w:hAnsi="仿宋_GB2312" w:eastAsia="仿宋_GB2312" w:cs="仿宋_GB2312"/>
        </w:rPr>
        <w:t>、社会福利、社区文化、科普、体育、教育等工作。</w:t>
      </w:r>
    </w:p>
    <w:p w14:paraId="4AA975EB">
      <w:pPr>
        <w:pStyle w:val="19"/>
        <w:bidi w:val="0"/>
        <w:rPr>
          <w:rFonts w:hint="eastAsia" w:ascii="仿宋_GB2312" w:hAnsi="仿宋_GB2312" w:eastAsia="仿宋_GB2312" w:cs="仿宋_GB2312"/>
        </w:rPr>
      </w:pPr>
      <w:r>
        <w:rPr>
          <w:rFonts w:hint="eastAsia" w:ascii="仿宋_GB2312" w:hAnsi="仿宋_GB2312" w:eastAsia="仿宋_GB2312" w:cs="仿宋_GB2312"/>
        </w:rPr>
        <w:t>发展街道经济，管理街道自有国有资产和集体资产，为街道经济组织提供人才、科技、信息和各种服务，以经济、法律和必要的行政手段推动街道经济发展和维护市场经济秩序。</w:t>
      </w:r>
    </w:p>
    <w:p w14:paraId="3F359709">
      <w:pPr>
        <w:pStyle w:val="19"/>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负责计划生育、劳动就业、安全生产管理、初级卫生保健、民兵、兵役、侨务等工作；尊重少数民族的风俗习惯，保障少数民族的权益。</w:t>
      </w:r>
    </w:p>
    <w:p w14:paraId="64CCCE45">
      <w:pPr>
        <w:pStyle w:val="19"/>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"https://www.baidu.com/s?wd=%E5%B1%85%E6%B0%91%E5%A7%94%E5%91%98%E4%BC%9A&amp;tn=44039180_cpr&amp;fenlei=mv6quAkxTZn0IZRqIHckPjm4nH00T1dWuhDkPyPWPyc1mWRzrjD30ZwV5Hcvrjm3rH6sPfKWUMw85HfYnjn4nH6sgvPsT6KdThsqpZwYTjCEQLGCpyw9Uz4Bmy-bIi4WUvYETgN-TLwGUv3EnHRvPjnvnjT"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指导和帮助居民委员会</w:t>
      </w:r>
      <w:r>
        <w:rPr>
          <w:rFonts w:hint="eastAsia" w:ascii="仿宋_GB2312" w:hAnsi="仿宋_GB2312" w:eastAsia="仿宋_GB2312" w:cs="仿宋_GB2312"/>
        </w:rPr>
        <w:fldChar w:fldCharType="end"/>
      </w:r>
      <w:r>
        <w:rPr>
          <w:rFonts w:hint="eastAsia" w:ascii="仿宋_GB2312" w:hAnsi="仿宋_GB2312" w:eastAsia="仿宋_GB2312" w:cs="仿宋_GB2312"/>
        </w:rPr>
        <w:t>搞好组织建设和制度建设，发挥居委会的群众自治组织作</w:t>
      </w:r>
      <w:r>
        <w:rPr>
          <w:rFonts w:hint="eastAsia" w:ascii="仿宋_GB2312" w:hAnsi="仿宋_GB2312" w:eastAsia="仿宋_GB2312" w:cs="仿宋_GB2312"/>
          <w:lang w:val="en-US" w:eastAsia="zh-CN"/>
        </w:rPr>
        <w:t>用。</w:t>
      </w:r>
    </w:p>
    <w:p w14:paraId="28EA939D">
      <w:pPr>
        <w:pStyle w:val="19"/>
        <w:bidi w:val="0"/>
        <w:rPr>
          <w:rFonts w:hint="eastAsia" w:ascii="仿宋_GB2312" w:hAnsi="仿宋_GB2312" w:eastAsia="仿宋_GB2312" w:cs="仿宋_GB2312"/>
        </w:rPr>
      </w:pPr>
      <w:r>
        <w:rPr>
          <w:rFonts w:hint="eastAsia" w:ascii="仿宋_GB2312" w:hAnsi="仿宋_GB2312" w:eastAsia="仿宋_GB2312" w:cs="仿宋_GB2312"/>
        </w:rPr>
        <w:t>9、配合有关部门做好防汛、防风、防火、防震、防灾和抢险工作。</w:t>
      </w:r>
    </w:p>
    <w:p w14:paraId="1A49374B">
      <w:pPr>
        <w:pStyle w:val="19"/>
        <w:bidi w:val="0"/>
        <w:rPr>
          <w:rFonts w:hint="eastAsia" w:ascii="仿宋_GB2312" w:hAnsi="仿宋_GB2312" w:eastAsia="仿宋_GB2312" w:cs="仿宋_GB2312"/>
        </w:rPr>
      </w:pPr>
      <w:r>
        <w:rPr>
          <w:rFonts w:hint="eastAsia" w:ascii="仿宋_GB2312" w:hAnsi="仿宋_GB2312" w:eastAsia="仿宋_GB2312" w:cs="仿宋_GB2312"/>
        </w:rPr>
        <w:t>10、向区人民政府反映居民群众的意见和要求，办理人民群众来信来访事项。</w:t>
      </w:r>
    </w:p>
    <w:p w14:paraId="6E305336">
      <w:pPr>
        <w:pStyle w:val="19"/>
        <w:bidi w:val="0"/>
        <w:rPr>
          <w:rFonts w:hint="default" w:ascii="仿宋_GB2312" w:hAnsi="仿宋_GB2312" w:eastAsia="仿宋_GB2312" w:cs="仿宋_GB2312"/>
          <w:lang w:val="en-US" w:eastAsia="zh-CN"/>
        </w:rPr>
        <w:sectPr>
          <w:pgSz w:w="11905" w:h="16840"/>
          <w:pgMar w:top="1431" w:right="1785" w:bottom="0" w:left="1781" w:header="0" w:footer="0" w:gutter="0"/>
          <w:cols w:space="720" w:num="1"/>
        </w:sectPr>
      </w:pPr>
      <w:r>
        <w:rPr>
          <w:rFonts w:hint="eastAsia" w:ascii="仿宋_GB2312" w:hAnsi="仿宋_GB2312" w:eastAsia="仿宋_GB2312" w:cs="仿宋_GB2312"/>
        </w:rPr>
        <w:t>11、承办区委、区政府和上级部门交办的其他事项。</w:t>
      </w:r>
      <w:r>
        <w:rPr>
          <w:rFonts w:hint="eastAsia" w:cs="仿宋_GB2312"/>
          <w:lang w:val="en-US" w:eastAsia="zh-CN"/>
        </w:rPr>
        <w:t xml:space="preserve">  </w:t>
      </w:r>
    </w:p>
    <w:p w14:paraId="243FB597">
      <w:pPr>
        <w:pStyle w:val="18"/>
        <w:numPr>
          <w:ilvl w:val="0"/>
          <w:numId w:val="0"/>
        </w:numPr>
        <w:bidi w:val="0"/>
        <w:ind w:firstLine="640" w:firstLineChars="200"/>
        <w:rPr>
          <w:rFonts w:hint="eastAsia"/>
        </w:rPr>
      </w:pPr>
      <w:r>
        <w:rPr>
          <w:rFonts w:hint="eastAsia"/>
        </w:rPr>
        <w:t>二、机构设置及人员情况</w:t>
      </w:r>
    </w:p>
    <w:p w14:paraId="061D885E">
      <w:pPr>
        <w:pStyle w:val="19"/>
        <w:bidi w:val="0"/>
        <w:rPr>
          <w:rFonts w:hint="eastAsia" w:ascii="仿宋_GB2312" w:hAnsi="仿宋_GB2312" w:eastAsia="仿宋_GB2312" w:cs="仿宋_GB2312"/>
        </w:rPr>
      </w:pPr>
      <w:r>
        <w:rPr>
          <w:rFonts w:hint="eastAsia" w:ascii="仿宋_GB2312" w:hAnsi="仿宋_GB2312" w:eastAsia="仿宋_GB2312" w:cs="仿宋_GB2312"/>
          <w:lang w:val="en-US" w:eastAsia="zh-CN"/>
        </w:rPr>
        <w:t>景德镇市珠山区珠山街道办事处共有预算单位1个，包括景德镇市珠山区珠山街道办事处。编制人数小计 1</w:t>
      </w:r>
      <w:r>
        <w:rPr>
          <w:rFonts w:hint="eastAsia" w:cs="仿宋_GB2312"/>
          <w:lang w:val="en-US" w:eastAsia="zh-CN"/>
        </w:rPr>
        <w:t>7</w:t>
      </w:r>
      <w:r>
        <w:rPr>
          <w:rFonts w:hint="eastAsia" w:ascii="仿宋_GB2312" w:hAnsi="仿宋_GB2312" w:eastAsia="仿宋_GB2312" w:cs="仿宋_GB2312"/>
          <w:lang w:val="en-US" w:eastAsia="zh-CN"/>
        </w:rPr>
        <w:t>人,其中：行政编制人数 7人,参</w:t>
      </w:r>
      <w:r>
        <w:rPr>
          <w:rFonts w:hint="eastAsia" w:ascii="仿宋_GB2312" w:hAnsi="仿宋_GB2312" w:eastAsia="仿宋_GB2312" w:cs="仿宋_GB2312"/>
        </w:rPr>
        <w:t xml:space="preserve">照公务员管理的事业编制人数 </w:t>
      </w:r>
      <w:r>
        <w:rPr>
          <w:rFonts w:hint="eastAsia" w:ascii="仿宋_GB2312" w:hAnsi="仿宋_GB2312" w:eastAsia="仿宋_GB2312" w:cs="仿宋_GB2312"/>
          <w:lang w:val="en-US" w:eastAsia="zh-CN"/>
        </w:rPr>
        <w:t>0</w:t>
      </w:r>
      <w:r>
        <w:rPr>
          <w:rFonts w:hint="eastAsia" w:ascii="仿宋_GB2312" w:hAnsi="仿宋_GB2312" w:eastAsia="仿宋_GB2312" w:cs="仿宋_GB2312"/>
        </w:rPr>
        <w:t>人,全部补助事业编制人数</w:t>
      </w:r>
      <w:r>
        <w:rPr>
          <w:rFonts w:hint="eastAsia" w:cs="仿宋_GB2312"/>
          <w:lang w:val="en-US" w:eastAsia="zh-CN"/>
        </w:rPr>
        <w:t>10</w:t>
      </w:r>
      <w:r>
        <w:rPr>
          <w:rFonts w:hint="eastAsia" w:ascii="仿宋_GB2312" w:hAnsi="仿宋_GB2312" w:eastAsia="仿宋_GB2312" w:cs="仿宋_GB2312"/>
        </w:rPr>
        <w:t>人, 自收自支编制人数</w:t>
      </w:r>
      <w:r>
        <w:rPr>
          <w:rFonts w:hint="eastAsia" w:ascii="仿宋_GB2312" w:hAnsi="仿宋_GB2312" w:eastAsia="仿宋_GB2312" w:cs="仿宋_GB2312"/>
          <w:lang w:val="en-US" w:eastAsia="zh-CN"/>
        </w:rPr>
        <w:t>0</w:t>
      </w:r>
      <w:r>
        <w:rPr>
          <w:rFonts w:hint="eastAsia" w:ascii="仿宋_GB2312" w:hAnsi="仿宋_GB2312" w:eastAsia="仿宋_GB2312" w:cs="仿宋_GB2312"/>
        </w:rPr>
        <w:t>人。实有人数小计</w:t>
      </w:r>
      <w:r>
        <w:rPr>
          <w:rFonts w:hint="eastAsia" w:ascii="仿宋_GB2312" w:hAnsi="仿宋_GB2312" w:eastAsia="仿宋_GB2312" w:cs="仿宋_GB2312"/>
          <w:lang w:val="en-US" w:eastAsia="zh-CN"/>
        </w:rPr>
        <w:t>1</w:t>
      </w:r>
      <w:r>
        <w:rPr>
          <w:rFonts w:hint="eastAsia" w:cs="仿宋_GB2312"/>
          <w:lang w:val="en-US" w:eastAsia="zh-CN"/>
        </w:rPr>
        <w:t>7</w:t>
      </w:r>
      <w:r>
        <w:rPr>
          <w:rFonts w:hint="eastAsia" w:ascii="仿宋_GB2312" w:hAnsi="仿宋_GB2312" w:eastAsia="仿宋_GB2312" w:cs="仿宋_GB2312"/>
        </w:rPr>
        <w:t>人,其中：在职人数小计</w:t>
      </w:r>
      <w:r>
        <w:rPr>
          <w:rFonts w:hint="eastAsia" w:ascii="仿宋_GB2312" w:hAnsi="仿宋_GB2312" w:eastAsia="仿宋_GB2312" w:cs="仿宋_GB2312"/>
          <w:lang w:val="en-US" w:eastAsia="zh-CN"/>
        </w:rPr>
        <w:t>1</w:t>
      </w:r>
      <w:r>
        <w:rPr>
          <w:rFonts w:hint="eastAsia" w:cs="仿宋_GB2312"/>
          <w:lang w:val="en-US" w:eastAsia="zh-CN"/>
        </w:rPr>
        <w:t>7</w:t>
      </w:r>
      <w:r>
        <w:rPr>
          <w:rFonts w:hint="eastAsia" w:ascii="仿宋_GB2312" w:hAnsi="仿宋_GB2312" w:eastAsia="仿宋_GB2312" w:cs="仿宋_GB2312"/>
        </w:rPr>
        <w:t xml:space="preserve">人,行政在职人数 </w:t>
      </w:r>
      <w:r>
        <w:rPr>
          <w:rFonts w:hint="eastAsia" w:ascii="仿宋_GB2312" w:hAnsi="仿宋_GB2312" w:eastAsia="仿宋_GB2312" w:cs="仿宋_GB2312"/>
          <w:lang w:val="en-US" w:eastAsia="zh-CN"/>
        </w:rPr>
        <w:t>7</w:t>
      </w:r>
      <w:r>
        <w:rPr>
          <w:rFonts w:hint="eastAsia" w:ascii="仿宋_GB2312" w:hAnsi="仿宋_GB2312" w:eastAsia="仿宋_GB2312" w:cs="仿宋_GB2312"/>
        </w:rPr>
        <w:t xml:space="preserve"> 人,参照公务员管理 的事业单位在职人数 </w:t>
      </w:r>
      <w:r>
        <w:rPr>
          <w:rFonts w:hint="eastAsia" w:ascii="仿宋_GB2312" w:hAnsi="仿宋_GB2312" w:eastAsia="仿宋_GB2312" w:cs="仿宋_GB2312"/>
          <w:lang w:val="en-US" w:eastAsia="zh-CN"/>
        </w:rPr>
        <w:t>0</w:t>
      </w:r>
      <w:r>
        <w:rPr>
          <w:rFonts w:hint="eastAsia" w:ascii="仿宋_GB2312" w:hAnsi="仿宋_GB2312" w:eastAsia="仿宋_GB2312" w:cs="仿宋_GB2312"/>
        </w:rPr>
        <w:t xml:space="preserve"> 人,全部补助事业在职人数 </w:t>
      </w:r>
      <w:r>
        <w:rPr>
          <w:rFonts w:hint="eastAsia" w:cs="仿宋_GB2312"/>
          <w:lang w:val="en-US" w:eastAsia="zh-CN"/>
        </w:rPr>
        <w:t>10</w:t>
      </w:r>
      <w:r>
        <w:rPr>
          <w:rFonts w:hint="eastAsia" w:ascii="仿宋_GB2312" w:hAnsi="仿宋_GB2312" w:eastAsia="仿宋_GB2312" w:cs="仿宋_GB2312"/>
        </w:rPr>
        <w:t>人。 离休人数小计</w:t>
      </w:r>
      <w:r>
        <w:rPr>
          <w:rFonts w:hint="eastAsia" w:ascii="仿宋_GB2312" w:hAnsi="仿宋_GB2312" w:eastAsia="仿宋_GB2312" w:cs="仿宋_GB2312"/>
          <w:lang w:val="en-US" w:eastAsia="zh-CN"/>
        </w:rPr>
        <w:t>0</w:t>
      </w:r>
      <w:r>
        <w:rPr>
          <w:rFonts w:hint="eastAsia" w:ascii="仿宋_GB2312" w:hAnsi="仿宋_GB2312" w:eastAsia="仿宋_GB2312" w:cs="仿宋_GB2312"/>
        </w:rPr>
        <w:t xml:space="preserve"> 人,退休人数小计 </w:t>
      </w:r>
      <w:r>
        <w:rPr>
          <w:rFonts w:hint="eastAsia" w:ascii="仿宋_GB2312" w:hAnsi="仿宋_GB2312" w:eastAsia="仿宋_GB2312" w:cs="仿宋_GB2312"/>
          <w:lang w:val="en-US" w:eastAsia="zh-CN"/>
        </w:rPr>
        <w:t>16</w:t>
      </w:r>
      <w:r>
        <w:rPr>
          <w:rFonts w:hint="eastAsia" w:ascii="仿宋_GB2312" w:hAnsi="仿宋_GB2312" w:eastAsia="仿宋_GB2312" w:cs="仿宋_GB2312"/>
        </w:rPr>
        <w:t xml:space="preserve">人,退职人员 </w:t>
      </w:r>
      <w:r>
        <w:rPr>
          <w:rFonts w:hint="eastAsia" w:ascii="仿宋_GB2312" w:hAnsi="仿宋_GB2312" w:eastAsia="仿宋_GB2312" w:cs="仿宋_GB2312"/>
          <w:lang w:val="en-US" w:eastAsia="zh-CN"/>
        </w:rPr>
        <w:t>0</w:t>
      </w:r>
      <w:r>
        <w:rPr>
          <w:rFonts w:hint="eastAsia" w:ascii="仿宋_GB2312" w:hAnsi="仿宋_GB2312" w:eastAsia="仿宋_GB2312" w:cs="仿宋_GB2312"/>
        </w:rPr>
        <w:t>人,遗 属人数</w:t>
      </w:r>
      <w:r>
        <w:rPr>
          <w:rFonts w:hint="eastAsia" w:ascii="仿宋_GB2312" w:hAnsi="仿宋_GB2312" w:eastAsia="仿宋_GB2312" w:cs="仿宋_GB2312"/>
          <w:lang w:val="en-US" w:eastAsia="zh-CN"/>
        </w:rPr>
        <w:t>0</w:t>
      </w:r>
      <w:r>
        <w:rPr>
          <w:rFonts w:hint="eastAsia" w:ascii="仿宋_GB2312" w:hAnsi="仿宋_GB2312" w:eastAsia="仿宋_GB2312" w:cs="仿宋_GB2312"/>
        </w:rPr>
        <w:t>人。</w:t>
      </w:r>
    </w:p>
    <w:p w14:paraId="224CA975">
      <w:pPr>
        <w:pStyle w:val="19"/>
        <w:bidi w:val="0"/>
        <w:rPr>
          <w:rFonts w:hint="eastAsia" w:ascii="仿宋_GB2312" w:hAnsi="仿宋_GB2312" w:eastAsia="仿宋_GB2312" w:cs="仿宋_GB2312"/>
        </w:rPr>
      </w:pPr>
    </w:p>
    <w:p w14:paraId="0CE4E07D">
      <w:pPr>
        <w:pStyle w:val="19"/>
        <w:bidi w:val="0"/>
        <w:rPr>
          <w:rFonts w:hint="eastAsia" w:ascii="仿宋_GB2312" w:hAnsi="仿宋_GB2312" w:eastAsia="仿宋_GB2312" w:cs="仿宋_GB2312"/>
        </w:rPr>
      </w:pPr>
    </w:p>
    <w:p w14:paraId="5380FE6B">
      <w:pPr>
        <w:widowControl/>
        <w:spacing w:line="580" w:lineRule="exact"/>
        <w:jc w:val="center"/>
        <w:rPr>
          <w:rFonts w:ascii="仿宋_GB2312" w:eastAsia="仿宋_GB2312"/>
          <w:b/>
          <w:szCs w:val="30"/>
        </w:rPr>
      </w:pPr>
    </w:p>
    <w:p w14:paraId="6FD06D82">
      <w:pPr>
        <w:pStyle w:val="18"/>
        <w:numPr>
          <w:ilvl w:val="0"/>
          <w:numId w:val="0"/>
        </w:numPr>
        <w:bidi w:val="0"/>
        <w:ind w:left="420" w:leftChars="200"/>
        <w:jc w:val="center"/>
        <w:rPr>
          <w:rFonts w:hint="eastAsia"/>
          <w:lang w:eastAsia="zh-CN"/>
        </w:rPr>
      </w:pPr>
      <w:r>
        <w:rPr>
          <w:rFonts w:hint="eastAsia"/>
          <w:lang w:eastAsia="zh-CN"/>
        </w:rPr>
        <w:t>第二部分  景德镇市珠山区珠山街道办事处2026年部门预算表</w:t>
      </w:r>
    </w:p>
    <w:p w14:paraId="54AA7524">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765A951D">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497AD9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F5E71BC">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E46359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401景德镇市珠山区珠山街道办事处</w:t>
            </w:r>
          </w:p>
        </w:tc>
        <w:tc>
          <w:tcPr>
            <w:tcW w:w="1655" w:type="pct"/>
            <w:noWrap/>
            <w:vAlign w:val="bottom"/>
          </w:tcPr>
          <w:p w14:paraId="6A3E84F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AFD52F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729E67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CBE6D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6A7A1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7F77608">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F00AD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EAC04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20D18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F9632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8A63E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CCA8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4D9CB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557.10</w:t>
            </w:r>
          </w:p>
        </w:tc>
        <w:tc>
          <w:tcPr>
            <w:tcW w:w="1655" w:type="pct"/>
            <w:tcBorders>
              <w:top w:val="nil"/>
              <w:left w:val="nil"/>
              <w:bottom w:val="single" w:color="000000" w:sz="4" w:space="0"/>
              <w:right w:val="single" w:color="000000" w:sz="4" w:space="0"/>
            </w:tcBorders>
            <w:noWrap/>
            <w:vAlign w:val="center"/>
          </w:tcPr>
          <w:p w14:paraId="27B24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3C25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307.66</w:t>
            </w:r>
          </w:p>
        </w:tc>
      </w:tr>
      <w:tr w14:paraId="4B3480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038C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A3C26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557.10</w:t>
            </w:r>
          </w:p>
        </w:tc>
        <w:tc>
          <w:tcPr>
            <w:tcW w:w="1655" w:type="pct"/>
            <w:tcBorders>
              <w:top w:val="nil"/>
              <w:left w:val="nil"/>
              <w:bottom w:val="single" w:color="000000" w:sz="4" w:space="0"/>
              <w:right w:val="single" w:color="000000" w:sz="4" w:space="0"/>
            </w:tcBorders>
            <w:noWrap/>
            <w:vAlign w:val="center"/>
          </w:tcPr>
          <w:p w14:paraId="3F051F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517B25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0.50</w:t>
            </w:r>
          </w:p>
        </w:tc>
      </w:tr>
      <w:tr w14:paraId="13C197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BE22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0CED5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641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04C83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26.88</w:t>
            </w:r>
          </w:p>
        </w:tc>
      </w:tr>
      <w:tr w14:paraId="5011CF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2C445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2EDD7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4951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51CE1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11.28</w:t>
            </w:r>
          </w:p>
        </w:tc>
      </w:tr>
      <w:tr w14:paraId="492523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EEBB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0E83D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8E24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3DEA59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191.36</w:t>
            </w:r>
          </w:p>
        </w:tc>
      </w:tr>
      <w:tr w14:paraId="7E1545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24D3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237F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007C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0DBDE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19.91</w:t>
            </w:r>
          </w:p>
        </w:tc>
      </w:tr>
      <w:tr w14:paraId="460F47D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C903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CDC07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03AC3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7AB418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0.58</w:t>
            </w:r>
          </w:p>
        </w:tc>
      </w:tr>
      <w:tr w14:paraId="266EFD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E1AC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FCE46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9F32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F4E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B277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4B7D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EA970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D8DF4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59E3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D57A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0292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48FB6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6983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08B6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63DA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4DD1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E722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3669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C722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8676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AF1D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3BDC8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27F4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4A1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7F12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1082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7EEC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6E1E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F485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FE41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1845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6FF1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12C6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5987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0465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F4B0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E131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24D9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A134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B0B1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9A4C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1E21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B369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ED13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0F6B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2A42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2A34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31E2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028E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8DC7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D01F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DFE6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CFE1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5209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F508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2FAF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0BF4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3816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CED3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4208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3B29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1997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FF78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71B4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23F5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5DD4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4483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9E28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379D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4C33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F6F9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C9A4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55E7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D198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BC24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8341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8A6B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B161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91DA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9BDC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6516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6992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C248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3E0F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3103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8238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EEB9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DF8C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AA3F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7A47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1F9A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9CC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29E4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E239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31BD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A02E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923B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65C3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9AD5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9958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F869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9D49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D88E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17A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6AFA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772E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0F9A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D231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6038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39C2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F1AB5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830D8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557.10</w:t>
            </w:r>
          </w:p>
        </w:tc>
        <w:tc>
          <w:tcPr>
            <w:tcW w:w="1655" w:type="pct"/>
            <w:tcBorders>
              <w:top w:val="nil"/>
              <w:left w:val="nil"/>
              <w:bottom w:val="single" w:color="auto" w:sz="4" w:space="0"/>
              <w:right w:val="single" w:color="000000" w:sz="4" w:space="0"/>
            </w:tcBorders>
            <w:noWrap/>
            <w:vAlign w:val="center"/>
          </w:tcPr>
          <w:p w14:paraId="79602D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39B6C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558.18</w:t>
            </w:r>
          </w:p>
        </w:tc>
      </w:tr>
      <w:tr w14:paraId="20A212F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DDBB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39249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F7C45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AB08B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D9D832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8DB1E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7197F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w:t>
            </w:r>
          </w:p>
        </w:tc>
        <w:tc>
          <w:tcPr>
            <w:tcW w:w="1655" w:type="pct"/>
            <w:tcBorders>
              <w:top w:val="single" w:color="auto" w:sz="4" w:space="0"/>
              <w:left w:val="nil"/>
              <w:bottom w:val="single" w:color="auto" w:sz="4" w:space="0"/>
              <w:right w:val="single" w:color="000000" w:sz="4" w:space="0"/>
            </w:tcBorders>
            <w:noWrap/>
            <w:vAlign w:val="bottom"/>
          </w:tcPr>
          <w:p w14:paraId="1621D2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C2B2E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82672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34883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5FA67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558.18</w:t>
            </w:r>
          </w:p>
        </w:tc>
        <w:tc>
          <w:tcPr>
            <w:tcW w:w="1655" w:type="pct"/>
            <w:tcBorders>
              <w:top w:val="single" w:color="auto" w:sz="4" w:space="0"/>
              <w:left w:val="single" w:color="auto" w:sz="4" w:space="0"/>
              <w:bottom w:val="single" w:color="auto" w:sz="4" w:space="0"/>
              <w:right w:val="single" w:color="auto" w:sz="4" w:space="0"/>
            </w:tcBorders>
            <w:noWrap/>
            <w:vAlign w:val="center"/>
          </w:tcPr>
          <w:p w14:paraId="7B1A44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869DB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558.18</w:t>
            </w:r>
          </w:p>
        </w:tc>
      </w:tr>
    </w:tbl>
    <w:p w14:paraId="5053F8B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39AAD77">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8036A96">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4D7FDBB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3ED1DB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填报单位:401景德镇市珠山区珠山街道办事处</w:t>
            </w:r>
          </w:p>
        </w:tc>
        <w:tc>
          <w:tcPr>
            <w:tcW w:w="422" w:type="pct"/>
            <w:tcBorders>
              <w:top w:val="nil"/>
              <w:left w:val="nil"/>
              <w:bottom w:val="single" w:color="auto" w:sz="4" w:space="0"/>
              <w:right w:val="nil"/>
            </w:tcBorders>
            <w:shd w:val="clear" w:color="auto" w:fill="auto"/>
            <w:noWrap/>
            <w:vAlign w:val="bottom"/>
          </w:tcPr>
          <w:p w14:paraId="1E23D6B8">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F83FA49">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328D0D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58590A3">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EEE1509">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8BCABC3">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5A839C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4C1BD1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9FD99F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C9ABD4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180950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479F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D1F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8115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0F9E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66AA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66E1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C78A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93CCE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C6F0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684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74925BA">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01CE4F3">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5F02609">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0CFD84F">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AA07F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CF38F8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CBF036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BE584E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F5EBCBC">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14BEAD6">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2BDA638">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2B928C9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7F8E5E6">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DF4BACA">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DF419FC">
            <w:pPr>
              <w:widowControl/>
              <w:jc w:val="left"/>
              <w:rPr>
                <w:rFonts w:ascii="宋体" w:hAnsi="宋体" w:eastAsia="宋体" w:cs="Arial"/>
                <w:color w:val="000000"/>
                <w:kern w:val="0"/>
                <w:sz w:val="13"/>
                <w:szCs w:val="13"/>
              </w:rPr>
            </w:pPr>
          </w:p>
        </w:tc>
      </w:tr>
      <w:tr w14:paraId="2330A13B">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677D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E742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4AD6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650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CCDD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7CAD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5C8B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CAB9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0499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14D2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C1B6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8716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00A4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BC93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A2FD3C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BE02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3BB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558.18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A5F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E6B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557.10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F97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557.10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D94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01C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06D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0E3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B68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022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CF3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35C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BB9F9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551E94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9C31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景德镇市珠山区珠山街道办事处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5AE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558.18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9EB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4E6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557.10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673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557.10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861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4EF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0DAD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BAD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AF0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0E2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F21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959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DAE21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70B2E4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0027CE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42CFAFF">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B5F678A">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4C0396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401景德镇市珠山区珠山街道办事处</w:t>
            </w:r>
          </w:p>
        </w:tc>
        <w:tc>
          <w:tcPr>
            <w:tcW w:w="914" w:type="pct"/>
            <w:tcBorders>
              <w:top w:val="nil"/>
              <w:left w:val="nil"/>
              <w:bottom w:val="nil"/>
              <w:right w:val="nil"/>
            </w:tcBorders>
            <w:shd w:val="clear" w:color="auto" w:fill="auto"/>
            <w:noWrap/>
            <w:vAlign w:val="bottom"/>
          </w:tcPr>
          <w:p w14:paraId="3F0B2F8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A04AFC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33FB55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1B3D1B6">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5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5E7F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194C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6E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57A8E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B803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CC63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AAA263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3818ED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20293C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004E33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F9A3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17E1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4673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83218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934C4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FD14E4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ED1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696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6A3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558.18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5B5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954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63.08</w:t>
            </w:r>
          </w:p>
        </w:tc>
      </w:tr>
      <w:tr w14:paraId="01FAD0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EB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791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388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5F5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841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832B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0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17F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63F7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F3D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F4C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3DC6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21F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C828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368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772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88D6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5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8B8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7CCF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AE3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EF8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r>
      <w:tr w14:paraId="359037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9C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67C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2D9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3E0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897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r>
      <w:tr w14:paraId="54DCDD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C9FF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4F2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677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97C7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r>
      <w:tr w14:paraId="745FA69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E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76DA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E8E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8DA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CCB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4CA9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0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DB5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9ED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64E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882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D255B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60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A85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685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129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4ED5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2696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77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52C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8B4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4E5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A0C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8FD7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4E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9FF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7FAD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AE8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401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ED5E5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6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99D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997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767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DCC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3D498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9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851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8DB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2D3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D66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0EF5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0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6D3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2D69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FBC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830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F34D1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9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63AD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D27D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917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7C8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2ED7FA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6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D2E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EF8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3E1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ADE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508D6A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9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172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E60E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87B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362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BF979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B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837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713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05A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A653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r>
      <w:tr w14:paraId="7C8D8B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B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AD9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997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E6A3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0B4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B4EF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8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F75D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661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058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A02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ED2E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C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E7EE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11C3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08D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6CB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F8A9C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F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F6D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3D0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471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6B1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0.58</w:t>
            </w:r>
          </w:p>
        </w:tc>
      </w:tr>
      <w:tr w14:paraId="6ADD95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8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164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266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815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88F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0.58</w:t>
            </w:r>
          </w:p>
        </w:tc>
      </w:tr>
      <w:tr w14:paraId="7DA83C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65E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E6F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409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39B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0.58</w:t>
            </w:r>
          </w:p>
        </w:tc>
      </w:tr>
    </w:tbl>
    <w:p w14:paraId="6B2B94C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2C32452">
        <w:tblPrEx>
          <w:tblCellMar>
            <w:top w:w="0" w:type="dxa"/>
            <w:left w:w="108" w:type="dxa"/>
            <w:bottom w:w="0" w:type="dxa"/>
            <w:right w:w="108" w:type="dxa"/>
          </w:tblCellMar>
        </w:tblPrEx>
        <w:trPr>
          <w:trHeight w:val="585" w:hRule="atLeast"/>
          <w:tblHeader/>
        </w:trPr>
        <w:tc>
          <w:tcPr>
            <w:tcW w:w="5000" w:type="pct"/>
            <w:gridSpan w:val="7"/>
            <w:noWrap/>
            <w:vAlign w:val="center"/>
          </w:tcPr>
          <w:p w14:paraId="34DA412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917B3BD">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0B53E4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填报单位:401景德镇市珠山区珠山街道办事处</w:t>
            </w:r>
          </w:p>
        </w:tc>
        <w:tc>
          <w:tcPr>
            <w:tcW w:w="577" w:type="pct"/>
            <w:noWrap/>
            <w:vAlign w:val="bottom"/>
          </w:tcPr>
          <w:p w14:paraId="54FC5DE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38864E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B34E43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C32650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99587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FA02E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C0AA5F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98FE8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E9663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DCF9F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F2CAF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5E09B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59031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8BE55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E27E8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149FB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F7617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557.10</w:t>
            </w:r>
          </w:p>
        </w:tc>
        <w:tc>
          <w:tcPr>
            <w:tcW w:w="948" w:type="pct"/>
            <w:tcBorders>
              <w:top w:val="nil"/>
              <w:left w:val="nil"/>
              <w:bottom w:val="single" w:color="000000" w:sz="4" w:space="0"/>
              <w:right w:val="single" w:color="000000" w:sz="4" w:space="0"/>
            </w:tcBorders>
            <w:noWrap/>
            <w:vAlign w:val="center"/>
          </w:tcPr>
          <w:p w14:paraId="3C11FC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48905A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307.66</w:t>
            </w:r>
          </w:p>
        </w:tc>
        <w:tc>
          <w:tcPr>
            <w:tcW w:w="612" w:type="pct"/>
            <w:tcBorders>
              <w:top w:val="nil"/>
              <w:left w:val="nil"/>
              <w:bottom w:val="single" w:color="000000" w:sz="4" w:space="0"/>
              <w:right w:val="single" w:color="000000" w:sz="4" w:space="0"/>
            </w:tcBorders>
            <w:noWrap/>
            <w:vAlign w:val="center"/>
          </w:tcPr>
          <w:p w14:paraId="023ED4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307.66</w:t>
            </w:r>
          </w:p>
        </w:tc>
        <w:tc>
          <w:tcPr>
            <w:tcW w:w="602" w:type="pct"/>
            <w:tcBorders>
              <w:top w:val="nil"/>
              <w:left w:val="nil"/>
              <w:bottom w:val="single" w:color="000000" w:sz="4" w:space="0"/>
              <w:right w:val="single" w:color="000000" w:sz="4" w:space="0"/>
            </w:tcBorders>
            <w:noWrap/>
            <w:vAlign w:val="center"/>
          </w:tcPr>
          <w:p w14:paraId="21A146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C6A1E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7681C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E448F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AD02E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557.10</w:t>
            </w:r>
          </w:p>
        </w:tc>
        <w:tc>
          <w:tcPr>
            <w:tcW w:w="948" w:type="pct"/>
            <w:tcBorders>
              <w:top w:val="nil"/>
              <w:left w:val="single" w:color="000000" w:sz="4" w:space="0"/>
              <w:bottom w:val="single" w:color="000000" w:sz="4" w:space="0"/>
              <w:right w:val="single" w:color="000000" w:sz="4" w:space="0"/>
            </w:tcBorders>
            <w:noWrap/>
            <w:vAlign w:val="center"/>
          </w:tcPr>
          <w:p w14:paraId="6DC89943">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6281A8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0.50</w:t>
            </w:r>
          </w:p>
        </w:tc>
        <w:tc>
          <w:tcPr>
            <w:tcW w:w="612" w:type="pct"/>
            <w:tcBorders>
              <w:top w:val="nil"/>
              <w:left w:val="nil"/>
              <w:bottom w:val="single" w:color="000000" w:sz="4" w:space="0"/>
              <w:right w:val="single" w:color="000000" w:sz="4" w:space="0"/>
            </w:tcBorders>
            <w:noWrap/>
            <w:vAlign w:val="center"/>
          </w:tcPr>
          <w:p w14:paraId="6AC056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0.50</w:t>
            </w:r>
          </w:p>
        </w:tc>
        <w:tc>
          <w:tcPr>
            <w:tcW w:w="602" w:type="pct"/>
            <w:tcBorders>
              <w:top w:val="nil"/>
              <w:left w:val="nil"/>
              <w:bottom w:val="single" w:color="000000" w:sz="4" w:space="0"/>
              <w:right w:val="single" w:color="000000" w:sz="4" w:space="0"/>
            </w:tcBorders>
            <w:noWrap/>
            <w:vAlign w:val="center"/>
          </w:tcPr>
          <w:p w14:paraId="71D794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B5F20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FA37E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CC5B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3D26F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3F604D0">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F9FC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26.88</w:t>
            </w:r>
          </w:p>
        </w:tc>
        <w:tc>
          <w:tcPr>
            <w:tcW w:w="612" w:type="pct"/>
            <w:tcBorders>
              <w:top w:val="nil"/>
              <w:left w:val="nil"/>
              <w:bottom w:val="single" w:color="000000" w:sz="4" w:space="0"/>
              <w:right w:val="single" w:color="000000" w:sz="4" w:space="0"/>
            </w:tcBorders>
            <w:noWrap/>
            <w:vAlign w:val="center"/>
          </w:tcPr>
          <w:p w14:paraId="1F6144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26.88</w:t>
            </w:r>
          </w:p>
        </w:tc>
        <w:tc>
          <w:tcPr>
            <w:tcW w:w="602" w:type="pct"/>
            <w:tcBorders>
              <w:top w:val="nil"/>
              <w:left w:val="nil"/>
              <w:bottom w:val="single" w:color="000000" w:sz="4" w:space="0"/>
              <w:right w:val="single" w:color="000000" w:sz="4" w:space="0"/>
            </w:tcBorders>
            <w:noWrap/>
            <w:vAlign w:val="center"/>
          </w:tcPr>
          <w:p w14:paraId="24DD1A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E8045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63753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BBE18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C2D40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8CEFA3E">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7ED54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11.28</w:t>
            </w:r>
          </w:p>
        </w:tc>
        <w:tc>
          <w:tcPr>
            <w:tcW w:w="612" w:type="pct"/>
            <w:tcBorders>
              <w:top w:val="nil"/>
              <w:left w:val="nil"/>
              <w:bottom w:val="single" w:color="000000" w:sz="4" w:space="0"/>
              <w:right w:val="single" w:color="000000" w:sz="4" w:space="0"/>
            </w:tcBorders>
            <w:noWrap/>
            <w:vAlign w:val="center"/>
          </w:tcPr>
          <w:p w14:paraId="6E6101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11.28</w:t>
            </w:r>
          </w:p>
        </w:tc>
        <w:tc>
          <w:tcPr>
            <w:tcW w:w="602" w:type="pct"/>
            <w:tcBorders>
              <w:top w:val="nil"/>
              <w:left w:val="nil"/>
              <w:bottom w:val="single" w:color="000000" w:sz="4" w:space="0"/>
              <w:right w:val="single" w:color="000000" w:sz="4" w:space="0"/>
            </w:tcBorders>
            <w:noWrap/>
            <w:vAlign w:val="center"/>
          </w:tcPr>
          <w:p w14:paraId="233D9E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8395E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4A098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099E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D81E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EF56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城乡社区支出</w:t>
            </w:r>
          </w:p>
        </w:tc>
        <w:tc>
          <w:tcPr>
            <w:tcW w:w="577" w:type="pct"/>
            <w:tcBorders>
              <w:top w:val="nil"/>
              <w:left w:val="nil"/>
              <w:bottom w:val="single" w:color="000000" w:sz="4" w:space="0"/>
              <w:right w:val="single" w:color="000000" w:sz="4" w:space="0"/>
            </w:tcBorders>
            <w:noWrap/>
            <w:vAlign w:val="center"/>
          </w:tcPr>
          <w:p w14:paraId="301A69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191.36</w:t>
            </w:r>
          </w:p>
        </w:tc>
        <w:tc>
          <w:tcPr>
            <w:tcW w:w="612" w:type="pct"/>
            <w:tcBorders>
              <w:top w:val="nil"/>
              <w:left w:val="nil"/>
              <w:bottom w:val="single" w:color="000000" w:sz="4" w:space="0"/>
              <w:right w:val="single" w:color="000000" w:sz="4" w:space="0"/>
            </w:tcBorders>
            <w:noWrap/>
            <w:vAlign w:val="center"/>
          </w:tcPr>
          <w:p w14:paraId="3445E4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191.36</w:t>
            </w:r>
          </w:p>
        </w:tc>
        <w:tc>
          <w:tcPr>
            <w:tcW w:w="602" w:type="pct"/>
            <w:tcBorders>
              <w:top w:val="nil"/>
              <w:left w:val="nil"/>
              <w:bottom w:val="single" w:color="000000" w:sz="4" w:space="0"/>
              <w:right w:val="single" w:color="000000" w:sz="4" w:space="0"/>
            </w:tcBorders>
            <w:noWrap/>
            <w:vAlign w:val="center"/>
          </w:tcPr>
          <w:p w14:paraId="12538E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B7598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A38A1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02EC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71A7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1F6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458A15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19.91</w:t>
            </w:r>
          </w:p>
        </w:tc>
        <w:tc>
          <w:tcPr>
            <w:tcW w:w="612" w:type="pct"/>
            <w:tcBorders>
              <w:top w:val="nil"/>
              <w:left w:val="nil"/>
              <w:bottom w:val="single" w:color="000000" w:sz="4" w:space="0"/>
              <w:right w:val="single" w:color="000000" w:sz="4" w:space="0"/>
            </w:tcBorders>
            <w:noWrap/>
            <w:vAlign w:val="center"/>
          </w:tcPr>
          <w:p w14:paraId="7B9D7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19.91</w:t>
            </w:r>
          </w:p>
        </w:tc>
        <w:tc>
          <w:tcPr>
            <w:tcW w:w="602" w:type="pct"/>
            <w:tcBorders>
              <w:top w:val="nil"/>
              <w:left w:val="nil"/>
              <w:bottom w:val="single" w:color="000000" w:sz="4" w:space="0"/>
              <w:right w:val="single" w:color="000000" w:sz="4" w:space="0"/>
            </w:tcBorders>
            <w:noWrap/>
            <w:vAlign w:val="center"/>
          </w:tcPr>
          <w:p w14:paraId="7B9B59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D5934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9E112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F44C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4654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2D81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31A09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0.58</w:t>
            </w:r>
          </w:p>
        </w:tc>
        <w:tc>
          <w:tcPr>
            <w:tcW w:w="612" w:type="pct"/>
            <w:tcBorders>
              <w:top w:val="nil"/>
              <w:left w:val="nil"/>
              <w:bottom w:val="single" w:color="000000" w:sz="4" w:space="0"/>
              <w:right w:val="single" w:color="000000" w:sz="4" w:space="0"/>
            </w:tcBorders>
            <w:noWrap/>
            <w:vAlign w:val="center"/>
          </w:tcPr>
          <w:p w14:paraId="6A0377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0.58</w:t>
            </w:r>
          </w:p>
        </w:tc>
        <w:tc>
          <w:tcPr>
            <w:tcW w:w="602" w:type="pct"/>
            <w:tcBorders>
              <w:top w:val="nil"/>
              <w:left w:val="nil"/>
              <w:bottom w:val="single" w:color="000000" w:sz="4" w:space="0"/>
              <w:right w:val="single" w:color="000000" w:sz="4" w:space="0"/>
            </w:tcBorders>
            <w:noWrap/>
            <w:vAlign w:val="center"/>
          </w:tcPr>
          <w:p w14:paraId="204B9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E30C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8752A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9FF9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97E8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234B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B972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141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6424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B1F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0532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CAB4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D1E5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765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DD97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51A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3797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3ED0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0A42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BB8F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97C4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9182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14D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B255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C0C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7967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A7E5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88AF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F433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8E3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112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4E91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CCE1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53E6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1FE5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DA89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D7CF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E638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0094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F7D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800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A3E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8087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BF62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E612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C96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8E01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EDF2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DCF3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3ECD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7A2B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D5CA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316B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FCD3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243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F5EA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1506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21B0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8FAE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F9FA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EF6A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FE5A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A0D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C697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0153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8B88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C1B7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52FA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E222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A0B2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25E1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E44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EC0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1CF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C7EA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8AF8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F1F3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008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981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B7C2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07C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6F5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5925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6879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5E5D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6FB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E2EE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192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1B8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3C72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0FBB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2453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9876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2F2B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6A8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EBE9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9194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6D6C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1157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F0DF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D0FB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F30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8319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DC4F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A427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7BC0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F457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83C7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6583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FBB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E2A4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7E3A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9AF9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481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DA61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BE98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F4E0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36C0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B14E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3F4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E76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B0A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35A9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D50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C02F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01A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C154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5E5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5275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BB1D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44A9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6746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4CFA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36C0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0BD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158F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984B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BD05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4FD11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D3058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E639C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4F77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C7B7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732C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842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8F9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BC8C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7A0B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DC6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62F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1D46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9017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F823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F5C6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195B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0DE8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E2C2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18A8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931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343E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1706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23F4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25E8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2BB2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1691E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0D2BA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D4DBB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E911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D6CD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9C3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8DD0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7E7D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B1D4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BB41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E1EDA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E502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012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A64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A8B7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35D8C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6FC7F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1.08　</w:t>
            </w:r>
          </w:p>
        </w:tc>
        <w:tc>
          <w:tcPr>
            <w:tcW w:w="948" w:type="pct"/>
            <w:tcBorders>
              <w:top w:val="nil"/>
              <w:left w:val="nil"/>
              <w:bottom w:val="single" w:color="auto" w:sz="4" w:space="0"/>
              <w:right w:val="single" w:color="000000" w:sz="4" w:space="0"/>
            </w:tcBorders>
            <w:noWrap/>
            <w:vAlign w:val="center"/>
          </w:tcPr>
          <w:p w14:paraId="36BFC65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67E76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02BF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AE29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5D858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E6A3E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EB42768">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37017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1.08　</w:t>
            </w:r>
          </w:p>
        </w:tc>
        <w:tc>
          <w:tcPr>
            <w:tcW w:w="948" w:type="pct"/>
            <w:tcBorders>
              <w:top w:val="single" w:color="auto" w:sz="4" w:space="0"/>
              <w:left w:val="single" w:color="auto" w:sz="4" w:space="0"/>
              <w:bottom w:val="single" w:color="auto" w:sz="4" w:space="0"/>
              <w:right w:val="single" w:color="auto" w:sz="4" w:space="0"/>
            </w:tcBorders>
            <w:noWrap/>
            <w:vAlign w:val="center"/>
          </w:tcPr>
          <w:p w14:paraId="07983C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232F9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6ADE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27F6E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16EBD7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203A9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AFD42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9390C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09DA6B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2A16E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B32E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2EB47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21B1C2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6AE648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F13FD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506A6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558.18</w:t>
            </w:r>
          </w:p>
        </w:tc>
        <w:tc>
          <w:tcPr>
            <w:tcW w:w="948" w:type="pct"/>
            <w:tcBorders>
              <w:top w:val="single" w:color="auto" w:sz="4" w:space="0"/>
              <w:left w:val="single" w:color="auto" w:sz="4" w:space="0"/>
              <w:bottom w:val="single" w:color="auto" w:sz="4" w:space="0"/>
              <w:right w:val="single" w:color="auto" w:sz="4" w:space="0"/>
            </w:tcBorders>
            <w:noWrap/>
            <w:vAlign w:val="center"/>
          </w:tcPr>
          <w:p w14:paraId="2ADF2C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9E1CE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558.18</w:t>
            </w:r>
          </w:p>
        </w:tc>
        <w:tc>
          <w:tcPr>
            <w:tcW w:w="612" w:type="pct"/>
            <w:tcBorders>
              <w:top w:val="single" w:color="auto" w:sz="4" w:space="0"/>
              <w:left w:val="single" w:color="auto" w:sz="4" w:space="0"/>
              <w:bottom w:val="single" w:color="auto" w:sz="4" w:space="0"/>
              <w:right w:val="single" w:color="auto" w:sz="4" w:space="0"/>
            </w:tcBorders>
            <w:noWrap/>
            <w:vAlign w:val="center"/>
          </w:tcPr>
          <w:p w14:paraId="4E7091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558.18</w:t>
            </w:r>
          </w:p>
        </w:tc>
        <w:tc>
          <w:tcPr>
            <w:tcW w:w="602" w:type="pct"/>
            <w:tcBorders>
              <w:top w:val="single" w:color="auto" w:sz="4" w:space="0"/>
              <w:left w:val="single" w:color="auto" w:sz="4" w:space="0"/>
              <w:bottom w:val="single" w:color="auto" w:sz="4" w:space="0"/>
              <w:right w:val="single" w:color="auto" w:sz="4" w:space="0"/>
            </w:tcBorders>
            <w:noWrap/>
            <w:vAlign w:val="center"/>
          </w:tcPr>
          <w:p w14:paraId="6B18B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6ADF6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31C6AC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2A37E3B">
        <w:tblPrEx>
          <w:tblCellMar>
            <w:top w:w="0" w:type="dxa"/>
            <w:left w:w="108" w:type="dxa"/>
            <w:bottom w:w="0" w:type="dxa"/>
            <w:right w:w="108" w:type="dxa"/>
          </w:tblCellMar>
        </w:tblPrEx>
        <w:trPr>
          <w:trHeight w:val="585" w:hRule="atLeast"/>
          <w:tblHeader/>
        </w:trPr>
        <w:tc>
          <w:tcPr>
            <w:tcW w:w="5000" w:type="pct"/>
            <w:gridSpan w:val="5"/>
            <w:noWrap/>
            <w:vAlign w:val="center"/>
          </w:tcPr>
          <w:p w14:paraId="2BD1767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97D58CB">
        <w:tblPrEx>
          <w:tblCellMar>
            <w:top w:w="0" w:type="dxa"/>
            <w:left w:w="108" w:type="dxa"/>
            <w:bottom w:w="0" w:type="dxa"/>
            <w:right w:w="108" w:type="dxa"/>
          </w:tblCellMar>
        </w:tblPrEx>
        <w:trPr>
          <w:trHeight w:val="420" w:hRule="atLeast"/>
          <w:tblHeader/>
        </w:trPr>
        <w:tc>
          <w:tcPr>
            <w:tcW w:w="2433" w:type="pct"/>
            <w:gridSpan w:val="2"/>
            <w:noWrap/>
            <w:vAlign w:val="center"/>
          </w:tcPr>
          <w:p w14:paraId="225F434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填报单位:401景德镇市珠山区珠山街道办事处</w:t>
            </w:r>
          </w:p>
        </w:tc>
        <w:tc>
          <w:tcPr>
            <w:tcW w:w="1056" w:type="pct"/>
            <w:noWrap/>
            <w:vAlign w:val="bottom"/>
          </w:tcPr>
          <w:p w14:paraId="013B4D8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AE9B6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521497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BDB350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BC53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389D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F1B3FD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90B9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9316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2180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B315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1E90B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A1CC87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61A9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7661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C596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E08ECB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5BDEC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62FD4D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4E43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07DE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5021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557.10</w:t>
            </w:r>
          </w:p>
        </w:tc>
        <w:tc>
          <w:tcPr>
            <w:tcW w:w="684" w:type="pct"/>
            <w:tcBorders>
              <w:top w:val="single" w:color="000000" w:sz="4" w:space="0"/>
              <w:left w:val="nil"/>
              <w:bottom w:val="single" w:color="000000" w:sz="4" w:space="0"/>
              <w:right w:val="single" w:color="000000" w:sz="4" w:space="0"/>
            </w:tcBorders>
            <w:noWrap/>
            <w:vAlign w:val="center"/>
          </w:tcPr>
          <w:p w14:paraId="62424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495.10</w:t>
            </w:r>
          </w:p>
        </w:tc>
        <w:tc>
          <w:tcPr>
            <w:tcW w:w="825" w:type="pct"/>
            <w:tcBorders>
              <w:top w:val="single" w:color="000000" w:sz="4" w:space="0"/>
              <w:left w:val="nil"/>
              <w:bottom w:val="single" w:color="000000" w:sz="4" w:space="0"/>
              <w:right w:val="single" w:color="000000" w:sz="4" w:space="0"/>
            </w:tcBorders>
            <w:noWrap/>
            <w:vAlign w:val="center"/>
          </w:tcPr>
          <w:p w14:paraId="22DD4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1681C3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F94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69E0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01631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684" w:type="pct"/>
            <w:tcBorders>
              <w:top w:val="single" w:color="000000" w:sz="4" w:space="0"/>
              <w:left w:val="nil"/>
              <w:bottom w:val="single" w:color="000000" w:sz="4" w:space="0"/>
              <w:right w:val="single" w:color="000000" w:sz="4" w:space="0"/>
            </w:tcBorders>
            <w:noWrap/>
            <w:vAlign w:val="center"/>
          </w:tcPr>
          <w:p w14:paraId="399370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825" w:type="pct"/>
            <w:tcBorders>
              <w:top w:val="single" w:color="000000" w:sz="4" w:space="0"/>
              <w:left w:val="nil"/>
              <w:bottom w:val="single" w:color="000000" w:sz="4" w:space="0"/>
              <w:right w:val="single" w:color="000000" w:sz="4" w:space="0"/>
            </w:tcBorders>
            <w:noWrap/>
            <w:vAlign w:val="center"/>
          </w:tcPr>
          <w:p w14:paraId="60557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06AB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128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780A9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278B18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684" w:type="pct"/>
            <w:tcBorders>
              <w:top w:val="single" w:color="000000" w:sz="4" w:space="0"/>
              <w:left w:val="nil"/>
              <w:bottom w:val="single" w:color="000000" w:sz="4" w:space="0"/>
              <w:right w:val="single" w:color="000000" w:sz="4" w:space="0"/>
            </w:tcBorders>
            <w:noWrap/>
            <w:vAlign w:val="center"/>
          </w:tcPr>
          <w:p w14:paraId="43F30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307.66</w:t>
            </w:r>
          </w:p>
        </w:tc>
        <w:tc>
          <w:tcPr>
            <w:tcW w:w="825" w:type="pct"/>
            <w:tcBorders>
              <w:top w:val="single" w:color="000000" w:sz="4" w:space="0"/>
              <w:left w:val="nil"/>
              <w:bottom w:val="single" w:color="000000" w:sz="4" w:space="0"/>
              <w:right w:val="single" w:color="000000" w:sz="4" w:space="0"/>
            </w:tcBorders>
            <w:noWrap/>
            <w:vAlign w:val="center"/>
          </w:tcPr>
          <w:p w14:paraId="44474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59F3D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CA2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59739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3B77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307.66</w:t>
            </w:r>
          </w:p>
        </w:tc>
        <w:tc>
          <w:tcPr>
            <w:tcW w:w="684" w:type="pct"/>
            <w:tcBorders>
              <w:top w:val="single" w:color="000000" w:sz="4" w:space="0"/>
              <w:left w:val="nil"/>
              <w:bottom w:val="single" w:color="000000" w:sz="4" w:space="0"/>
              <w:right w:val="single" w:color="000000" w:sz="4" w:space="0"/>
            </w:tcBorders>
            <w:noWrap/>
            <w:vAlign w:val="center"/>
          </w:tcPr>
          <w:p w14:paraId="77F5A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307.66</w:t>
            </w:r>
          </w:p>
        </w:tc>
        <w:tc>
          <w:tcPr>
            <w:tcW w:w="825" w:type="pct"/>
            <w:tcBorders>
              <w:top w:val="single" w:color="000000" w:sz="4" w:space="0"/>
              <w:left w:val="nil"/>
              <w:bottom w:val="single" w:color="000000" w:sz="4" w:space="0"/>
              <w:right w:val="single" w:color="000000" w:sz="4" w:space="0"/>
            </w:tcBorders>
            <w:noWrap/>
            <w:vAlign w:val="center"/>
          </w:tcPr>
          <w:p w14:paraId="0582B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5F74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0F2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9525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453A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26.88</w:t>
            </w:r>
          </w:p>
        </w:tc>
        <w:tc>
          <w:tcPr>
            <w:tcW w:w="684" w:type="pct"/>
            <w:tcBorders>
              <w:top w:val="single" w:color="000000" w:sz="4" w:space="0"/>
              <w:left w:val="nil"/>
              <w:bottom w:val="single" w:color="000000" w:sz="4" w:space="0"/>
              <w:right w:val="single" w:color="000000" w:sz="4" w:space="0"/>
            </w:tcBorders>
            <w:noWrap/>
            <w:vAlign w:val="center"/>
          </w:tcPr>
          <w:p w14:paraId="6A947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26.88</w:t>
            </w:r>
          </w:p>
        </w:tc>
        <w:tc>
          <w:tcPr>
            <w:tcW w:w="825" w:type="pct"/>
            <w:tcBorders>
              <w:top w:val="single" w:color="000000" w:sz="4" w:space="0"/>
              <w:left w:val="nil"/>
              <w:bottom w:val="single" w:color="000000" w:sz="4" w:space="0"/>
              <w:right w:val="single" w:color="000000" w:sz="4" w:space="0"/>
            </w:tcBorders>
            <w:noWrap/>
            <w:vAlign w:val="center"/>
          </w:tcPr>
          <w:p w14:paraId="61CBE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383D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84AD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88A0E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CEA9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26.55</w:t>
            </w:r>
          </w:p>
        </w:tc>
        <w:tc>
          <w:tcPr>
            <w:tcW w:w="684" w:type="pct"/>
            <w:tcBorders>
              <w:top w:val="single" w:color="000000" w:sz="4" w:space="0"/>
              <w:left w:val="nil"/>
              <w:bottom w:val="single" w:color="000000" w:sz="4" w:space="0"/>
              <w:right w:val="single" w:color="000000" w:sz="4" w:space="0"/>
            </w:tcBorders>
            <w:noWrap/>
            <w:vAlign w:val="center"/>
          </w:tcPr>
          <w:p w14:paraId="148FB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26.55</w:t>
            </w:r>
          </w:p>
        </w:tc>
        <w:tc>
          <w:tcPr>
            <w:tcW w:w="825" w:type="pct"/>
            <w:tcBorders>
              <w:top w:val="single" w:color="000000" w:sz="4" w:space="0"/>
              <w:left w:val="nil"/>
              <w:bottom w:val="single" w:color="000000" w:sz="4" w:space="0"/>
              <w:right w:val="single" w:color="000000" w:sz="4" w:space="0"/>
            </w:tcBorders>
            <w:noWrap/>
            <w:vAlign w:val="center"/>
          </w:tcPr>
          <w:p w14:paraId="628E73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B077D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E91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CACEF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48C4D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w:t>
            </w:r>
          </w:p>
        </w:tc>
        <w:tc>
          <w:tcPr>
            <w:tcW w:w="684" w:type="pct"/>
            <w:tcBorders>
              <w:top w:val="single" w:color="000000" w:sz="4" w:space="0"/>
              <w:left w:val="nil"/>
              <w:bottom w:val="single" w:color="000000" w:sz="4" w:space="0"/>
              <w:right w:val="single" w:color="000000" w:sz="4" w:space="0"/>
            </w:tcBorders>
            <w:noWrap/>
            <w:vAlign w:val="center"/>
          </w:tcPr>
          <w:p w14:paraId="1BD8C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w:t>
            </w:r>
          </w:p>
        </w:tc>
        <w:tc>
          <w:tcPr>
            <w:tcW w:w="825" w:type="pct"/>
            <w:tcBorders>
              <w:top w:val="single" w:color="000000" w:sz="4" w:space="0"/>
              <w:left w:val="nil"/>
              <w:bottom w:val="single" w:color="000000" w:sz="4" w:space="0"/>
              <w:right w:val="single" w:color="000000" w:sz="4" w:space="0"/>
            </w:tcBorders>
            <w:noWrap/>
            <w:vAlign w:val="center"/>
          </w:tcPr>
          <w:p w14:paraId="79EE5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0F7F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67F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65B6F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C753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0.33</w:t>
            </w:r>
          </w:p>
        </w:tc>
        <w:tc>
          <w:tcPr>
            <w:tcW w:w="684" w:type="pct"/>
            <w:tcBorders>
              <w:top w:val="single" w:color="000000" w:sz="4" w:space="0"/>
              <w:left w:val="nil"/>
              <w:bottom w:val="single" w:color="000000" w:sz="4" w:space="0"/>
              <w:right w:val="single" w:color="000000" w:sz="4" w:space="0"/>
            </w:tcBorders>
            <w:noWrap/>
            <w:vAlign w:val="center"/>
          </w:tcPr>
          <w:p w14:paraId="2A2CC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0.33</w:t>
            </w:r>
          </w:p>
        </w:tc>
        <w:tc>
          <w:tcPr>
            <w:tcW w:w="825" w:type="pct"/>
            <w:tcBorders>
              <w:top w:val="single" w:color="000000" w:sz="4" w:space="0"/>
              <w:left w:val="nil"/>
              <w:bottom w:val="single" w:color="000000" w:sz="4" w:space="0"/>
              <w:right w:val="single" w:color="000000" w:sz="4" w:space="0"/>
            </w:tcBorders>
            <w:noWrap/>
            <w:vAlign w:val="center"/>
          </w:tcPr>
          <w:p w14:paraId="1C098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F439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3A9D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3CA72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9AED2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0.33</w:t>
            </w:r>
          </w:p>
        </w:tc>
        <w:tc>
          <w:tcPr>
            <w:tcW w:w="684" w:type="pct"/>
            <w:tcBorders>
              <w:top w:val="single" w:color="000000" w:sz="4" w:space="0"/>
              <w:left w:val="nil"/>
              <w:bottom w:val="single" w:color="000000" w:sz="4" w:space="0"/>
              <w:right w:val="single" w:color="000000" w:sz="4" w:space="0"/>
            </w:tcBorders>
            <w:noWrap/>
            <w:vAlign w:val="center"/>
          </w:tcPr>
          <w:p w14:paraId="3EBA8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0.33</w:t>
            </w:r>
          </w:p>
        </w:tc>
        <w:tc>
          <w:tcPr>
            <w:tcW w:w="825" w:type="pct"/>
            <w:tcBorders>
              <w:top w:val="single" w:color="000000" w:sz="4" w:space="0"/>
              <w:left w:val="nil"/>
              <w:bottom w:val="single" w:color="000000" w:sz="4" w:space="0"/>
              <w:right w:val="single" w:color="000000" w:sz="4" w:space="0"/>
            </w:tcBorders>
            <w:noWrap/>
            <w:vAlign w:val="center"/>
          </w:tcPr>
          <w:p w14:paraId="730D3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6426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9A8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8BD0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86E3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684" w:type="pct"/>
            <w:tcBorders>
              <w:top w:val="single" w:color="000000" w:sz="4" w:space="0"/>
              <w:left w:val="nil"/>
              <w:bottom w:val="single" w:color="000000" w:sz="4" w:space="0"/>
              <w:right w:val="single" w:color="000000" w:sz="4" w:space="0"/>
            </w:tcBorders>
            <w:noWrap/>
            <w:vAlign w:val="center"/>
          </w:tcPr>
          <w:p w14:paraId="42FCC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825" w:type="pct"/>
            <w:tcBorders>
              <w:top w:val="single" w:color="000000" w:sz="4" w:space="0"/>
              <w:left w:val="nil"/>
              <w:bottom w:val="single" w:color="000000" w:sz="4" w:space="0"/>
              <w:right w:val="single" w:color="000000" w:sz="4" w:space="0"/>
            </w:tcBorders>
            <w:noWrap/>
            <w:vAlign w:val="center"/>
          </w:tcPr>
          <w:p w14:paraId="60DFC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CD82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263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07FA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522D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684" w:type="pct"/>
            <w:tcBorders>
              <w:top w:val="single" w:color="000000" w:sz="4" w:space="0"/>
              <w:left w:val="nil"/>
              <w:bottom w:val="single" w:color="000000" w:sz="4" w:space="0"/>
              <w:right w:val="single" w:color="000000" w:sz="4" w:space="0"/>
            </w:tcBorders>
            <w:noWrap/>
            <w:vAlign w:val="center"/>
          </w:tcPr>
          <w:p w14:paraId="683FA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11.28</w:t>
            </w:r>
          </w:p>
        </w:tc>
        <w:tc>
          <w:tcPr>
            <w:tcW w:w="825" w:type="pct"/>
            <w:tcBorders>
              <w:top w:val="single" w:color="000000" w:sz="4" w:space="0"/>
              <w:left w:val="nil"/>
              <w:bottom w:val="single" w:color="000000" w:sz="4" w:space="0"/>
              <w:right w:val="single" w:color="000000" w:sz="4" w:space="0"/>
            </w:tcBorders>
            <w:noWrap/>
            <w:vAlign w:val="center"/>
          </w:tcPr>
          <w:p w14:paraId="69187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210B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7B3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D7E2A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A070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11.28</w:t>
            </w:r>
          </w:p>
        </w:tc>
        <w:tc>
          <w:tcPr>
            <w:tcW w:w="684" w:type="pct"/>
            <w:tcBorders>
              <w:top w:val="single" w:color="000000" w:sz="4" w:space="0"/>
              <w:left w:val="nil"/>
              <w:bottom w:val="single" w:color="000000" w:sz="4" w:space="0"/>
              <w:right w:val="single" w:color="000000" w:sz="4" w:space="0"/>
            </w:tcBorders>
            <w:noWrap/>
            <w:vAlign w:val="center"/>
          </w:tcPr>
          <w:p w14:paraId="4D843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11.28</w:t>
            </w:r>
          </w:p>
        </w:tc>
        <w:tc>
          <w:tcPr>
            <w:tcW w:w="825" w:type="pct"/>
            <w:tcBorders>
              <w:top w:val="single" w:color="000000" w:sz="4" w:space="0"/>
              <w:left w:val="nil"/>
              <w:bottom w:val="single" w:color="000000" w:sz="4" w:space="0"/>
              <w:right w:val="single" w:color="000000" w:sz="4" w:space="0"/>
            </w:tcBorders>
            <w:noWrap/>
            <w:vAlign w:val="center"/>
          </w:tcPr>
          <w:p w14:paraId="40E19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D542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38198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579" w:type="pct"/>
            <w:tcBorders>
              <w:top w:val="single" w:color="000000" w:sz="4" w:space="0"/>
              <w:left w:val="nil"/>
              <w:bottom w:val="single" w:color="000000" w:sz="4" w:space="0"/>
              <w:right w:val="single" w:color="000000" w:sz="4" w:space="0"/>
            </w:tcBorders>
            <w:noWrap/>
            <w:vAlign w:val="center"/>
          </w:tcPr>
          <w:p w14:paraId="6828C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056" w:type="pct"/>
            <w:tcBorders>
              <w:top w:val="single" w:color="000000" w:sz="4" w:space="0"/>
              <w:left w:val="nil"/>
              <w:bottom w:val="single" w:color="000000" w:sz="4" w:space="0"/>
              <w:right w:val="single" w:color="000000" w:sz="4" w:space="0"/>
            </w:tcBorders>
            <w:noWrap/>
            <w:vAlign w:val="center"/>
          </w:tcPr>
          <w:p w14:paraId="78C0D7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191.36</w:t>
            </w:r>
          </w:p>
        </w:tc>
        <w:tc>
          <w:tcPr>
            <w:tcW w:w="684" w:type="pct"/>
            <w:tcBorders>
              <w:top w:val="single" w:color="000000" w:sz="4" w:space="0"/>
              <w:left w:val="nil"/>
              <w:bottom w:val="single" w:color="000000" w:sz="4" w:space="0"/>
              <w:right w:val="single" w:color="000000" w:sz="4" w:space="0"/>
            </w:tcBorders>
            <w:noWrap/>
            <w:vAlign w:val="center"/>
          </w:tcPr>
          <w:p w14:paraId="1CD4D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129.36</w:t>
            </w:r>
          </w:p>
        </w:tc>
        <w:tc>
          <w:tcPr>
            <w:tcW w:w="825" w:type="pct"/>
            <w:tcBorders>
              <w:top w:val="single" w:color="000000" w:sz="4" w:space="0"/>
              <w:left w:val="nil"/>
              <w:bottom w:val="single" w:color="000000" w:sz="4" w:space="0"/>
              <w:right w:val="single" w:color="000000" w:sz="4" w:space="0"/>
            </w:tcBorders>
            <w:noWrap/>
            <w:vAlign w:val="center"/>
          </w:tcPr>
          <w:p w14:paraId="3A213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42909B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224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579" w:type="pct"/>
            <w:tcBorders>
              <w:top w:val="single" w:color="000000" w:sz="4" w:space="0"/>
              <w:left w:val="nil"/>
              <w:bottom w:val="single" w:color="000000" w:sz="4" w:space="0"/>
              <w:right w:val="single" w:color="000000" w:sz="4" w:space="0"/>
            </w:tcBorders>
            <w:noWrap/>
            <w:vAlign w:val="center"/>
          </w:tcPr>
          <w:p w14:paraId="3D6E6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056" w:type="pct"/>
            <w:tcBorders>
              <w:top w:val="single" w:color="000000" w:sz="4" w:space="0"/>
              <w:left w:val="nil"/>
              <w:bottom w:val="single" w:color="000000" w:sz="4" w:space="0"/>
              <w:right w:val="single" w:color="000000" w:sz="4" w:space="0"/>
            </w:tcBorders>
            <w:noWrap/>
            <w:vAlign w:val="center"/>
          </w:tcPr>
          <w:p w14:paraId="5EB0D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191.36</w:t>
            </w:r>
          </w:p>
        </w:tc>
        <w:tc>
          <w:tcPr>
            <w:tcW w:w="684" w:type="pct"/>
            <w:tcBorders>
              <w:top w:val="single" w:color="000000" w:sz="4" w:space="0"/>
              <w:left w:val="nil"/>
              <w:bottom w:val="single" w:color="000000" w:sz="4" w:space="0"/>
              <w:right w:val="single" w:color="000000" w:sz="4" w:space="0"/>
            </w:tcBorders>
            <w:noWrap/>
            <w:vAlign w:val="center"/>
          </w:tcPr>
          <w:p w14:paraId="35244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129.36</w:t>
            </w:r>
          </w:p>
        </w:tc>
        <w:tc>
          <w:tcPr>
            <w:tcW w:w="825" w:type="pct"/>
            <w:tcBorders>
              <w:top w:val="single" w:color="000000" w:sz="4" w:space="0"/>
              <w:left w:val="nil"/>
              <w:bottom w:val="single" w:color="000000" w:sz="4" w:space="0"/>
              <w:right w:val="single" w:color="000000" w:sz="4" w:space="0"/>
            </w:tcBorders>
            <w:noWrap/>
            <w:vAlign w:val="center"/>
          </w:tcPr>
          <w:p w14:paraId="4E9C74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197F9B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DB3C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1579" w:type="pct"/>
            <w:tcBorders>
              <w:top w:val="single" w:color="000000" w:sz="4" w:space="0"/>
              <w:left w:val="nil"/>
              <w:bottom w:val="single" w:color="000000" w:sz="4" w:space="0"/>
              <w:right w:val="single" w:color="000000" w:sz="4" w:space="0"/>
            </w:tcBorders>
            <w:noWrap/>
            <w:vAlign w:val="center"/>
          </w:tcPr>
          <w:p w14:paraId="4959D5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9863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128.87</w:t>
            </w:r>
          </w:p>
        </w:tc>
        <w:tc>
          <w:tcPr>
            <w:tcW w:w="684" w:type="pct"/>
            <w:tcBorders>
              <w:top w:val="single" w:color="000000" w:sz="4" w:space="0"/>
              <w:left w:val="nil"/>
              <w:bottom w:val="single" w:color="000000" w:sz="4" w:space="0"/>
              <w:right w:val="single" w:color="000000" w:sz="4" w:space="0"/>
            </w:tcBorders>
            <w:noWrap/>
            <w:vAlign w:val="center"/>
          </w:tcPr>
          <w:p w14:paraId="4B84C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128.87</w:t>
            </w:r>
          </w:p>
        </w:tc>
        <w:tc>
          <w:tcPr>
            <w:tcW w:w="825" w:type="pct"/>
            <w:tcBorders>
              <w:top w:val="single" w:color="000000" w:sz="4" w:space="0"/>
              <w:left w:val="nil"/>
              <w:bottom w:val="single" w:color="000000" w:sz="4" w:space="0"/>
              <w:right w:val="single" w:color="000000" w:sz="4" w:space="0"/>
            </w:tcBorders>
            <w:noWrap/>
            <w:vAlign w:val="center"/>
          </w:tcPr>
          <w:p w14:paraId="66BB8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2757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5FF9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579" w:type="pct"/>
            <w:tcBorders>
              <w:top w:val="single" w:color="000000" w:sz="4" w:space="0"/>
              <w:left w:val="nil"/>
              <w:bottom w:val="single" w:color="000000" w:sz="4" w:space="0"/>
              <w:right w:val="single" w:color="000000" w:sz="4" w:space="0"/>
            </w:tcBorders>
            <w:noWrap/>
            <w:vAlign w:val="center"/>
          </w:tcPr>
          <w:p w14:paraId="5B23D0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1056" w:type="pct"/>
            <w:tcBorders>
              <w:top w:val="single" w:color="000000" w:sz="4" w:space="0"/>
              <w:left w:val="nil"/>
              <w:bottom w:val="single" w:color="000000" w:sz="4" w:space="0"/>
              <w:right w:val="single" w:color="000000" w:sz="4" w:space="0"/>
            </w:tcBorders>
            <w:noWrap/>
            <w:vAlign w:val="center"/>
          </w:tcPr>
          <w:p w14:paraId="42F09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62.49</w:t>
            </w:r>
          </w:p>
        </w:tc>
        <w:tc>
          <w:tcPr>
            <w:tcW w:w="684" w:type="pct"/>
            <w:tcBorders>
              <w:top w:val="single" w:color="000000" w:sz="4" w:space="0"/>
              <w:left w:val="nil"/>
              <w:bottom w:val="single" w:color="000000" w:sz="4" w:space="0"/>
              <w:right w:val="single" w:color="000000" w:sz="4" w:space="0"/>
            </w:tcBorders>
            <w:noWrap/>
            <w:vAlign w:val="center"/>
          </w:tcPr>
          <w:p w14:paraId="40803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0.49</w:t>
            </w:r>
          </w:p>
        </w:tc>
        <w:tc>
          <w:tcPr>
            <w:tcW w:w="825" w:type="pct"/>
            <w:tcBorders>
              <w:top w:val="single" w:color="000000" w:sz="4" w:space="0"/>
              <w:left w:val="nil"/>
              <w:bottom w:val="single" w:color="000000" w:sz="4" w:space="0"/>
              <w:right w:val="single" w:color="000000" w:sz="4" w:space="0"/>
            </w:tcBorders>
            <w:noWrap/>
            <w:vAlign w:val="center"/>
          </w:tcPr>
          <w:p w14:paraId="28487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r>
      <w:tr w14:paraId="1ED763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C18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3F8D4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6548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684" w:type="pct"/>
            <w:tcBorders>
              <w:top w:val="single" w:color="000000" w:sz="4" w:space="0"/>
              <w:left w:val="nil"/>
              <w:bottom w:val="single" w:color="000000" w:sz="4" w:space="0"/>
              <w:right w:val="single" w:color="000000" w:sz="4" w:space="0"/>
            </w:tcBorders>
            <w:noWrap/>
            <w:vAlign w:val="center"/>
          </w:tcPr>
          <w:p w14:paraId="6C874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825" w:type="pct"/>
            <w:tcBorders>
              <w:top w:val="single" w:color="000000" w:sz="4" w:space="0"/>
              <w:left w:val="nil"/>
              <w:bottom w:val="single" w:color="000000" w:sz="4" w:space="0"/>
              <w:right w:val="single" w:color="000000" w:sz="4" w:space="0"/>
            </w:tcBorders>
            <w:noWrap/>
            <w:vAlign w:val="center"/>
          </w:tcPr>
          <w:p w14:paraId="42979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A1CF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D37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9D1A8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4423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684" w:type="pct"/>
            <w:tcBorders>
              <w:top w:val="single" w:color="000000" w:sz="4" w:space="0"/>
              <w:left w:val="nil"/>
              <w:bottom w:val="single" w:color="000000" w:sz="4" w:space="0"/>
              <w:right w:val="single" w:color="000000" w:sz="4" w:space="0"/>
            </w:tcBorders>
            <w:noWrap/>
            <w:vAlign w:val="center"/>
          </w:tcPr>
          <w:p w14:paraId="26101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19.91</w:t>
            </w:r>
          </w:p>
        </w:tc>
        <w:tc>
          <w:tcPr>
            <w:tcW w:w="825" w:type="pct"/>
            <w:tcBorders>
              <w:top w:val="single" w:color="000000" w:sz="4" w:space="0"/>
              <w:left w:val="nil"/>
              <w:bottom w:val="single" w:color="000000" w:sz="4" w:space="0"/>
              <w:right w:val="single" w:color="000000" w:sz="4" w:space="0"/>
            </w:tcBorders>
            <w:noWrap/>
            <w:vAlign w:val="center"/>
          </w:tcPr>
          <w:p w14:paraId="6B0339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62B6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B68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7281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E93F2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19.91</w:t>
            </w:r>
          </w:p>
        </w:tc>
        <w:tc>
          <w:tcPr>
            <w:tcW w:w="684" w:type="pct"/>
            <w:tcBorders>
              <w:top w:val="single" w:color="000000" w:sz="4" w:space="0"/>
              <w:left w:val="nil"/>
              <w:bottom w:val="single" w:color="000000" w:sz="4" w:space="0"/>
              <w:right w:val="single" w:color="000000" w:sz="4" w:space="0"/>
            </w:tcBorders>
            <w:noWrap/>
            <w:vAlign w:val="center"/>
          </w:tcPr>
          <w:p w14:paraId="353FB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19.91</w:t>
            </w:r>
          </w:p>
        </w:tc>
        <w:tc>
          <w:tcPr>
            <w:tcW w:w="825" w:type="pct"/>
            <w:tcBorders>
              <w:top w:val="single" w:color="000000" w:sz="4" w:space="0"/>
              <w:left w:val="nil"/>
              <w:bottom w:val="single" w:color="000000" w:sz="4" w:space="0"/>
              <w:right w:val="single" w:color="000000" w:sz="4" w:space="0"/>
            </w:tcBorders>
            <w:noWrap/>
            <w:vAlign w:val="center"/>
          </w:tcPr>
          <w:p w14:paraId="4FFB1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D46954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9FB0831">
        <w:tblPrEx>
          <w:tblCellMar>
            <w:top w:w="0" w:type="dxa"/>
            <w:left w:w="108" w:type="dxa"/>
            <w:bottom w:w="0" w:type="dxa"/>
            <w:right w:w="108" w:type="dxa"/>
          </w:tblCellMar>
        </w:tblPrEx>
        <w:trPr>
          <w:trHeight w:val="585" w:hRule="atLeast"/>
        </w:trPr>
        <w:tc>
          <w:tcPr>
            <w:tcW w:w="5000" w:type="pct"/>
            <w:gridSpan w:val="5"/>
            <w:noWrap/>
            <w:vAlign w:val="center"/>
          </w:tcPr>
          <w:p w14:paraId="03544D2F">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0F1B00F">
        <w:tblPrEx>
          <w:tblCellMar>
            <w:top w:w="0" w:type="dxa"/>
            <w:left w:w="108" w:type="dxa"/>
            <w:bottom w:w="0" w:type="dxa"/>
            <w:right w:w="108" w:type="dxa"/>
          </w:tblCellMar>
        </w:tblPrEx>
        <w:trPr>
          <w:trHeight w:val="420" w:hRule="atLeast"/>
        </w:trPr>
        <w:tc>
          <w:tcPr>
            <w:tcW w:w="2398" w:type="pct"/>
            <w:gridSpan w:val="2"/>
            <w:noWrap/>
            <w:vAlign w:val="center"/>
          </w:tcPr>
          <w:p w14:paraId="7103B1A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填报单位:401景德镇市珠山区珠山街道办事处</w:t>
            </w:r>
          </w:p>
        </w:tc>
        <w:tc>
          <w:tcPr>
            <w:tcW w:w="891" w:type="pct"/>
            <w:noWrap/>
            <w:vAlign w:val="bottom"/>
          </w:tcPr>
          <w:p w14:paraId="748A3F0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A7CD1E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51FEAF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042FCD7">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BF1B4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12FA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548A577">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47D5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9AA7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38EC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F63B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EDA1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70550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BAB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AFA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A49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253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127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A6262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AF1EB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024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404A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495.10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06C3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419.65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2754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75.45</w:t>
            </w:r>
          </w:p>
        </w:tc>
      </w:tr>
      <w:tr w14:paraId="1E5CC9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BE6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8CF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2C85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394.24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E15A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394.24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A6EA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9BE31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B6F0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5A7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AACA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315A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C405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9A8E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B48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284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9FFF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EB0A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4797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CD89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E036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D40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D716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43D2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15CA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C23D5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2DA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27D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9281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F1C4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E8FF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90DB06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F9D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154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604E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5FAC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C5D6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619D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815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948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B589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0535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C335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1E2D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25B3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F856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A8DA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520F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31AD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5E50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9A9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B11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E541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F468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D215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EB2979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ED1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49B8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6613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D546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8C93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F4F1C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483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E64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8ABE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2ED4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3375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91E2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EA22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F21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774A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54A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38AB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75.45</w:t>
            </w:r>
          </w:p>
        </w:tc>
      </w:tr>
      <w:tr w14:paraId="2F5DAA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33D6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0F2B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2D63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C87F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D94F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38.97</w:t>
            </w:r>
          </w:p>
        </w:tc>
      </w:tr>
      <w:tr w14:paraId="558834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90B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88E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BA9A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B0E0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F1F5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5DB49C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CCD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5326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77B9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4365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F30A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r>
      <w:tr w14:paraId="64162C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75C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FFE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A9B0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5881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F7FD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r>
      <w:tr w14:paraId="1BDF16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12A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A15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C9D1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A550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408C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7BB92E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09BD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6C7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12C0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2E82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9A5A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621DE3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503C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3347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EB8B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4337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EBB4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0F1109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5A4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40C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D97C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D615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B156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5.45</w:t>
            </w:r>
          </w:p>
        </w:tc>
      </w:tr>
      <w:tr w14:paraId="48CE24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875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C9A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FB08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C4E6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1CC9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D0937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B3D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089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9734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129A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E913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56D4B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C3B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A8C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7D77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E57A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F9A9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89C3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5DC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9E0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3EFB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A70E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A70E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32F152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5DDD9BF">
        <w:tblPrEx>
          <w:tblCellMar>
            <w:top w:w="0" w:type="dxa"/>
            <w:left w:w="108" w:type="dxa"/>
            <w:bottom w:w="0" w:type="dxa"/>
            <w:right w:w="108" w:type="dxa"/>
          </w:tblCellMar>
        </w:tblPrEx>
        <w:trPr>
          <w:trHeight w:val="450" w:hRule="atLeast"/>
          <w:tblHeader/>
        </w:trPr>
        <w:tc>
          <w:tcPr>
            <w:tcW w:w="636" w:type="pct"/>
            <w:noWrap/>
            <w:vAlign w:val="bottom"/>
          </w:tcPr>
          <w:p w14:paraId="5B4449F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34C4E96">
            <w:pPr>
              <w:widowControl/>
              <w:jc w:val="left"/>
              <w:rPr>
                <w:rFonts w:ascii="Times New Roman" w:hAnsi="Times New Roman" w:eastAsia="宋体"/>
                <w:kern w:val="0"/>
                <w:sz w:val="20"/>
                <w:szCs w:val="20"/>
              </w:rPr>
            </w:pPr>
          </w:p>
        </w:tc>
        <w:tc>
          <w:tcPr>
            <w:tcW w:w="684" w:type="pct"/>
            <w:noWrap/>
            <w:vAlign w:val="bottom"/>
          </w:tcPr>
          <w:p w14:paraId="52817798">
            <w:pPr>
              <w:widowControl/>
              <w:jc w:val="left"/>
              <w:rPr>
                <w:rFonts w:ascii="Times New Roman" w:hAnsi="Times New Roman" w:eastAsia="宋体"/>
                <w:kern w:val="0"/>
                <w:sz w:val="20"/>
                <w:szCs w:val="20"/>
              </w:rPr>
            </w:pPr>
          </w:p>
        </w:tc>
        <w:tc>
          <w:tcPr>
            <w:tcW w:w="538" w:type="pct"/>
            <w:noWrap/>
            <w:vAlign w:val="bottom"/>
          </w:tcPr>
          <w:p w14:paraId="1C96A112">
            <w:pPr>
              <w:widowControl/>
              <w:jc w:val="left"/>
              <w:rPr>
                <w:rFonts w:ascii="Times New Roman" w:hAnsi="Times New Roman" w:eastAsia="宋体"/>
                <w:kern w:val="0"/>
                <w:sz w:val="20"/>
                <w:szCs w:val="20"/>
              </w:rPr>
            </w:pPr>
          </w:p>
        </w:tc>
        <w:tc>
          <w:tcPr>
            <w:tcW w:w="2836" w:type="pct"/>
            <w:gridSpan w:val="5"/>
            <w:noWrap/>
            <w:vAlign w:val="center"/>
          </w:tcPr>
          <w:p w14:paraId="13E51D9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0944CBD">
        <w:tblPrEx>
          <w:tblCellMar>
            <w:top w:w="0" w:type="dxa"/>
            <w:left w:w="108" w:type="dxa"/>
            <w:bottom w:w="0" w:type="dxa"/>
            <w:right w:w="108" w:type="dxa"/>
          </w:tblCellMar>
        </w:tblPrEx>
        <w:trPr>
          <w:trHeight w:val="485" w:hRule="atLeast"/>
          <w:tblHeader/>
        </w:trPr>
        <w:tc>
          <w:tcPr>
            <w:tcW w:w="5000" w:type="pct"/>
            <w:gridSpan w:val="9"/>
            <w:noWrap/>
            <w:vAlign w:val="center"/>
          </w:tcPr>
          <w:p w14:paraId="0024FF45">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D9A1712">
        <w:tblPrEx>
          <w:tblCellMar>
            <w:top w:w="0" w:type="dxa"/>
            <w:left w:w="108" w:type="dxa"/>
            <w:bottom w:w="0" w:type="dxa"/>
            <w:right w:w="108" w:type="dxa"/>
          </w:tblCellMar>
        </w:tblPrEx>
        <w:trPr>
          <w:trHeight w:val="340" w:hRule="atLeast"/>
          <w:tblHeader/>
        </w:trPr>
        <w:tc>
          <w:tcPr>
            <w:tcW w:w="2163" w:type="pct"/>
            <w:gridSpan w:val="4"/>
            <w:noWrap/>
            <w:vAlign w:val="center"/>
          </w:tcPr>
          <w:p w14:paraId="50BBF8BA">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填报单位:401景德镇市珠山区珠山街道办事处</w:t>
            </w:r>
          </w:p>
        </w:tc>
        <w:tc>
          <w:tcPr>
            <w:tcW w:w="742" w:type="pct"/>
            <w:noWrap/>
            <w:vAlign w:val="bottom"/>
          </w:tcPr>
          <w:p w14:paraId="3DF2653F">
            <w:pPr>
              <w:widowControl/>
              <w:jc w:val="left"/>
              <w:rPr>
                <w:rFonts w:ascii="Times New Roman" w:hAnsi="Times New Roman" w:eastAsia="宋体"/>
                <w:kern w:val="0"/>
                <w:sz w:val="20"/>
                <w:szCs w:val="20"/>
              </w:rPr>
            </w:pPr>
          </w:p>
        </w:tc>
        <w:tc>
          <w:tcPr>
            <w:tcW w:w="474" w:type="pct"/>
            <w:noWrap/>
            <w:vAlign w:val="bottom"/>
          </w:tcPr>
          <w:p w14:paraId="3EB18385">
            <w:pPr>
              <w:widowControl/>
              <w:jc w:val="left"/>
              <w:rPr>
                <w:rFonts w:ascii="Times New Roman" w:hAnsi="Times New Roman" w:eastAsia="宋体"/>
                <w:kern w:val="0"/>
                <w:sz w:val="20"/>
                <w:szCs w:val="20"/>
              </w:rPr>
            </w:pPr>
          </w:p>
        </w:tc>
        <w:tc>
          <w:tcPr>
            <w:tcW w:w="596" w:type="pct"/>
            <w:noWrap/>
            <w:vAlign w:val="bottom"/>
          </w:tcPr>
          <w:p w14:paraId="1E213A70">
            <w:pPr>
              <w:widowControl/>
              <w:jc w:val="left"/>
              <w:rPr>
                <w:rFonts w:ascii="Times New Roman" w:hAnsi="Times New Roman" w:eastAsia="宋体"/>
                <w:kern w:val="0"/>
                <w:sz w:val="20"/>
                <w:szCs w:val="20"/>
              </w:rPr>
            </w:pPr>
          </w:p>
        </w:tc>
        <w:tc>
          <w:tcPr>
            <w:tcW w:w="1023" w:type="pct"/>
            <w:gridSpan w:val="2"/>
            <w:noWrap/>
            <w:vAlign w:val="bottom"/>
          </w:tcPr>
          <w:p w14:paraId="107017F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4A32B9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0DB65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36AF1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9C8F4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E084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FE537E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4D434D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AA23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8DA3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DCE3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2E7FC6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9598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70C5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56424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081267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68E015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B055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AB2E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E5BE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58442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937F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9528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1423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18C173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778F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78543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D65B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5E5B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47D7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6" w:type="pct"/>
            <w:tcBorders>
              <w:top w:val="single" w:color="000000" w:sz="4" w:space="0"/>
              <w:left w:val="single" w:color="000000" w:sz="4" w:space="0"/>
              <w:bottom w:val="single" w:color="000000" w:sz="4" w:space="0"/>
              <w:right w:val="nil"/>
            </w:tcBorders>
            <w:vAlign w:val="center"/>
          </w:tcPr>
          <w:p w14:paraId="50A46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006D0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092F28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F130DDA">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4742EEB">
        <w:tblPrEx>
          <w:tblCellMar>
            <w:top w:w="0" w:type="dxa"/>
            <w:left w:w="108" w:type="dxa"/>
            <w:bottom w:w="0" w:type="dxa"/>
            <w:right w:w="108" w:type="dxa"/>
          </w:tblCellMar>
        </w:tblPrEx>
        <w:trPr>
          <w:trHeight w:val="507" w:hRule="atLeast"/>
          <w:tblHeader/>
        </w:trPr>
        <w:tc>
          <w:tcPr>
            <w:tcW w:w="976" w:type="pct"/>
            <w:noWrap/>
            <w:vAlign w:val="bottom"/>
          </w:tcPr>
          <w:p w14:paraId="4D988BD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175EA16">
            <w:pPr>
              <w:widowControl/>
              <w:jc w:val="left"/>
              <w:rPr>
                <w:rFonts w:ascii="Times New Roman" w:hAnsi="Times New Roman" w:eastAsia="宋体"/>
                <w:kern w:val="0"/>
                <w:sz w:val="20"/>
                <w:szCs w:val="20"/>
              </w:rPr>
            </w:pPr>
          </w:p>
        </w:tc>
        <w:tc>
          <w:tcPr>
            <w:tcW w:w="2801" w:type="pct"/>
            <w:gridSpan w:val="3"/>
            <w:noWrap/>
            <w:vAlign w:val="center"/>
          </w:tcPr>
          <w:p w14:paraId="05CBE37E">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045DEB6">
        <w:tblPrEx>
          <w:tblCellMar>
            <w:top w:w="0" w:type="dxa"/>
            <w:left w:w="108" w:type="dxa"/>
            <w:bottom w:w="0" w:type="dxa"/>
            <w:right w:w="108" w:type="dxa"/>
          </w:tblCellMar>
        </w:tblPrEx>
        <w:trPr>
          <w:trHeight w:val="564" w:hRule="atLeast"/>
          <w:tblHeader/>
        </w:trPr>
        <w:tc>
          <w:tcPr>
            <w:tcW w:w="5000" w:type="pct"/>
            <w:gridSpan w:val="5"/>
            <w:noWrap/>
            <w:vAlign w:val="center"/>
          </w:tcPr>
          <w:p w14:paraId="479354F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2E9B12A">
        <w:tblPrEx>
          <w:tblCellMar>
            <w:top w:w="0" w:type="dxa"/>
            <w:left w:w="108" w:type="dxa"/>
            <w:bottom w:w="0" w:type="dxa"/>
            <w:right w:w="108" w:type="dxa"/>
          </w:tblCellMar>
        </w:tblPrEx>
        <w:trPr>
          <w:trHeight w:val="405" w:hRule="atLeast"/>
          <w:tblHeader/>
        </w:trPr>
        <w:tc>
          <w:tcPr>
            <w:tcW w:w="2198" w:type="pct"/>
            <w:gridSpan w:val="2"/>
            <w:noWrap/>
            <w:vAlign w:val="center"/>
          </w:tcPr>
          <w:p w14:paraId="3AA9061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填报单位:401景德镇市珠山区珠山街道办事处</w:t>
            </w:r>
          </w:p>
        </w:tc>
        <w:tc>
          <w:tcPr>
            <w:tcW w:w="1099" w:type="pct"/>
            <w:noWrap/>
            <w:vAlign w:val="bottom"/>
          </w:tcPr>
          <w:p w14:paraId="46C441D5">
            <w:pPr>
              <w:rPr>
                <w:rFonts w:hint="eastAsia" w:ascii="宋体" w:hAnsi="宋体" w:eastAsia="宋体" w:cs="Arial"/>
                <w:color w:val="000000"/>
                <w:kern w:val="0"/>
                <w:sz w:val="24"/>
                <w:szCs w:val="24"/>
              </w:rPr>
            </w:pPr>
          </w:p>
        </w:tc>
        <w:tc>
          <w:tcPr>
            <w:tcW w:w="766" w:type="pct"/>
            <w:noWrap/>
            <w:vAlign w:val="bottom"/>
          </w:tcPr>
          <w:p w14:paraId="458A6B67">
            <w:pPr>
              <w:widowControl/>
              <w:jc w:val="left"/>
              <w:rPr>
                <w:rFonts w:ascii="Times New Roman" w:hAnsi="Times New Roman" w:eastAsia="宋体"/>
                <w:kern w:val="0"/>
                <w:sz w:val="20"/>
                <w:szCs w:val="20"/>
              </w:rPr>
            </w:pPr>
          </w:p>
        </w:tc>
        <w:tc>
          <w:tcPr>
            <w:tcW w:w="935" w:type="pct"/>
            <w:noWrap/>
            <w:vAlign w:val="center"/>
          </w:tcPr>
          <w:p w14:paraId="7B09817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46C417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7318C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DC87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94091A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D32C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8BC4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A5D65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42E1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BC089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C732EE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6A26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DB32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2A36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A89A5B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7A8A3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194A1B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0AE4B01">
        <w:tblPrEx>
          <w:tblCellMar>
            <w:top w:w="0" w:type="dxa"/>
            <w:left w:w="108" w:type="dxa"/>
            <w:bottom w:w="0" w:type="dxa"/>
            <w:right w:w="108" w:type="dxa"/>
          </w:tblCellMar>
        </w:tblPrEx>
        <w:trPr>
          <w:trHeight w:val="619" w:hRule="atLeast"/>
          <w:tblHeader/>
        </w:trPr>
        <w:tc>
          <w:tcPr>
            <w:tcW w:w="960" w:type="pct"/>
            <w:noWrap/>
            <w:vAlign w:val="bottom"/>
          </w:tcPr>
          <w:p w14:paraId="684EBE40">
            <w:pPr>
              <w:rPr>
                <w:rStyle w:val="13"/>
                <w:rFonts w:hint="eastAsia" w:ascii="仿宋" w:hAnsi="仿宋" w:eastAsia="仿宋"/>
                <w:bCs/>
                <w:sz w:val="32"/>
                <w:szCs w:val="32"/>
              </w:rPr>
            </w:pPr>
          </w:p>
        </w:tc>
        <w:tc>
          <w:tcPr>
            <w:tcW w:w="1233" w:type="pct"/>
            <w:noWrap/>
            <w:vAlign w:val="bottom"/>
          </w:tcPr>
          <w:p w14:paraId="4D639472">
            <w:pPr>
              <w:widowControl/>
              <w:jc w:val="left"/>
              <w:rPr>
                <w:rFonts w:ascii="Times New Roman" w:hAnsi="Times New Roman" w:eastAsia="宋体"/>
                <w:kern w:val="0"/>
                <w:sz w:val="20"/>
                <w:szCs w:val="20"/>
              </w:rPr>
            </w:pPr>
          </w:p>
        </w:tc>
        <w:tc>
          <w:tcPr>
            <w:tcW w:w="2805" w:type="pct"/>
            <w:gridSpan w:val="3"/>
            <w:noWrap/>
            <w:vAlign w:val="center"/>
          </w:tcPr>
          <w:p w14:paraId="3396F53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195AC28">
        <w:tblPrEx>
          <w:tblCellMar>
            <w:top w:w="0" w:type="dxa"/>
            <w:left w:w="108" w:type="dxa"/>
            <w:bottom w:w="0" w:type="dxa"/>
            <w:right w:w="108" w:type="dxa"/>
          </w:tblCellMar>
        </w:tblPrEx>
        <w:trPr>
          <w:trHeight w:val="613" w:hRule="atLeast"/>
          <w:tblHeader/>
        </w:trPr>
        <w:tc>
          <w:tcPr>
            <w:tcW w:w="5000" w:type="pct"/>
            <w:gridSpan w:val="5"/>
            <w:noWrap/>
            <w:vAlign w:val="center"/>
          </w:tcPr>
          <w:p w14:paraId="44C6BCF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74BAA14">
        <w:tblPrEx>
          <w:tblCellMar>
            <w:top w:w="0" w:type="dxa"/>
            <w:left w:w="108" w:type="dxa"/>
            <w:bottom w:w="0" w:type="dxa"/>
            <w:right w:w="108" w:type="dxa"/>
          </w:tblCellMar>
        </w:tblPrEx>
        <w:trPr>
          <w:trHeight w:val="413" w:hRule="atLeast"/>
          <w:tblHeader/>
        </w:trPr>
        <w:tc>
          <w:tcPr>
            <w:tcW w:w="3282" w:type="pct"/>
            <w:gridSpan w:val="3"/>
            <w:noWrap/>
            <w:vAlign w:val="center"/>
          </w:tcPr>
          <w:p w14:paraId="02E6B7B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填报单位:401景德镇市珠山区珠山街道办事处</w:t>
            </w:r>
          </w:p>
        </w:tc>
        <w:tc>
          <w:tcPr>
            <w:tcW w:w="762" w:type="pct"/>
            <w:noWrap/>
            <w:vAlign w:val="bottom"/>
          </w:tcPr>
          <w:p w14:paraId="2064579D">
            <w:pPr>
              <w:widowControl/>
              <w:jc w:val="left"/>
              <w:rPr>
                <w:rFonts w:ascii="Times New Roman" w:hAnsi="Times New Roman" w:eastAsia="宋体"/>
                <w:kern w:val="0"/>
                <w:sz w:val="20"/>
                <w:szCs w:val="20"/>
              </w:rPr>
            </w:pPr>
          </w:p>
        </w:tc>
        <w:tc>
          <w:tcPr>
            <w:tcW w:w="954" w:type="pct"/>
            <w:noWrap/>
            <w:vAlign w:val="center"/>
          </w:tcPr>
          <w:p w14:paraId="653C389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0CF2D8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7ABE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B43E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BB3F5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BD88B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5499A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5CA3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B699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62CF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C3B53F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507D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526E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3F37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BA49BC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540D1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C9F87D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2DAB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C122FD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F97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323A2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7E0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401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277BA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5F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景德镇市珠山区珠山街道办事处</w:t>
            </w:r>
          </w:p>
        </w:tc>
      </w:tr>
      <w:tr w14:paraId="4228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0E1A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C3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抓经济、促发展，营商环境持续推进。狠抓项目建设、加大招商引资力度，推动经济实现加速发展。（2）树文明、扬新风，城市建设持续优化。紧紧围绕“举旗帜、聚民心、育新人、兴文化、展形象”开展“十大整治活动”。紧紧围绕“汇聚暖心力量、服务群众冷暖”开展常态化志愿服务活动。（3）惠民生，强保障，群众幸福指数提高。落实民生保障，大力宣传国家保障政策，落实医疗救助，加强困难帮扶。（4）援助就业困难人员实现再就业。保障就业困难人员的基本生活，维护社会稳定。扎实推进城乡居民参保工作高质量完成，提升医保覆盖率。（5）抓安全、促稳定，社会秩序和谐稳定。坚持“服务于民、问需于民”服务宗旨。充分发挥矛盾调解优势助力</w:t>
            </w:r>
          </w:p>
        </w:tc>
      </w:tr>
      <w:tr w14:paraId="0CC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95A2514">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D743">
            <w:pPr>
              <w:jc w:val="center"/>
              <w:rPr>
                <w:rFonts w:hint="eastAsia" w:asciiTheme="minorEastAsia" w:hAnsiTheme="minorEastAsia" w:eastAsiaTheme="minorEastAsia" w:cstheme="minorEastAsia"/>
                <w:b w:val="0"/>
                <w:i w:val="0"/>
                <w:iCs w:val="0"/>
                <w:color w:val="000000"/>
                <w:sz w:val="18"/>
                <w:szCs w:val="18"/>
                <w:u w:val="none"/>
              </w:rPr>
            </w:pPr>
          </w:p>
        </w:tc>
      </w:tr>
      <w:tr w14:paraId="6A97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D47E6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8D52">
            <w:pPr>
              <w:jc w:val="center"/>
              <w:rPr>
                <w:rFonts w:hint="eastAsia" w:asciiTheme="minorEastAsia" w:hAnsiTheme="minorEastAsia" w:eastAsiaTheme="minorEastAsia" w:cstheme="minorEastAsia"/>
                <w:b w:val="0"/>
                <w:i w:val="0"/>
                <w:iCs w:val="0"/>
                <w:color w:val="000000"/>
                <w:sz w:val="18"/>
                <w:szCs w:val="18"/>
                <w:u w:val="none"/>
              </w:rPr>
            </w:pPr>
          </w:p>
        </w:tc>
      </w:tr>
      <w:tr w14:paraId="5DBB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71915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03CC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DCCD9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B298F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4576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9BFCA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35B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98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3E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2D9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医保续费人数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04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D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FB9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0F8D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44B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CD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FA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居民养老保险新增</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45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0F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1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692C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A50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C9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CDB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居民养老保险待遇核定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5A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D1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80D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25B2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8B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B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50E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矛盾纠纷调整案件数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A0E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A7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49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起</w:t>
            </w:r>
          </w:p>
        </w:tc>
      </w:tr>
      <w:tr w14:paraId="6EBE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601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2C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D3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开展扫黑除恶宣传涉及人数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2E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B8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3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58BC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3C5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4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4D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城镇医疗保险覆盖率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22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24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0C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784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D40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DF4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B6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居民养老保险覆盖率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16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12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69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CC8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5D5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7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11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开展扫黑除恶宣传覆盖率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3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D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1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B45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62B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63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5D9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居民医疗保险续费及时率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3D6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FC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0A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E7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63F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3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3E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居民养老保险续费及时率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B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2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B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A9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5566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95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9F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成镇低保医疗救助及时率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CE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6D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40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FE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75C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92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E0A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1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C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829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319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E78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C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6B5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56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91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CD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A5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063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1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76A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44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0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5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6F1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6E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8D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F56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A6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F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0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0D3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7D65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6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B8F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促进社会和嘴与稳定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A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5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CF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DB6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1D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E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EE2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增加城镇新就业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2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E7B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E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963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B95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5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3F6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促进经济发展，优化营商环境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C2A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6A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9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B5C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EA7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1C3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C23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探激创新城市基层治理体系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8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5D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4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429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B72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AD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E8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7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4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37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F43259A">
      <w:pPr>
        <w:rPr>
          <w:rFonts w:hint="eastAsia"/>
          <w:lang w:eastAsia="zh-CN"/>
        </w:rPr>
      </w:pPr>
    </w:p>
    <w:p w14:paraId="475E7044">
      <w:pPr>
        <w:rPr>
          <w:rFonts w:hint="eastAsia"/>
          <w:lang w:eastAsia="zh-CN"/>
        </w:rPr>
      </w:pPr>
    </w:p>
    <w:p w14:paraId="38CE73DA">
      <w:pPr>
        <w:rPr>
          <w:rFonts w:hint="eastAsia"/>
          <w:lang w:eastAsia="zh-CN"/>
        </w:rPr>
      </w:pPr>
    </w:p>
    <w:p w14:paraId="55AEBA73">
      <w:pPr>
        <w:rPr>
          <w:rFonts w:hint="eastAsia"/>
          <w:lang w:eastAsia="zh-CN"/>
        </w:rPr>
      </w:pPr>
    </w:p>
    <w:p w14:paraId="04E43334">
      <w:pPr>
        <w:rPr>
          <w:rFonts w:hint="eastAsia"/>
          <w:lang w:eastAsia="zh-CN"/>
        </w:rPr>
      </w:pPr>
    </w:p>
    <w:p w14:paraId="791E4FBC">
      <w:pPr>
        <w:rPr>
          <w:rFonts w:hint="eastAsia"/>
          <w:lang w:eastAsia="zh-CN"/>
        </w:rPr>
      </w:pPr>
    </w:p>
    <w:p w14:paraId="413CEFED">
      <w:pPr>
        <w:rPr>
          <w:rFonts w:hint="eastAsia"/>
          <w:lang w:eastAsia="zh-CN"/>
        </w:rPr>
      </w:pPr>
    </w:p>
    <w:p w14:paraId="76194527">
      <w:pPr>
        <w:rPr>
          <w:rFonts w:hint="eastAsia"/>
          <w:lang w:eastAsia="zh-CN"/>
        </w:rPr>
      </w:pPr>
    </w:p>
    <w:p w14:paraId="2A33F3E7">
      <w:pPr>
        <w:rPr>
          <w:rFonts w:hint="eastAsia"/>
          <w:lang w:eastAsia="zh-CN"/>
        </w:rPr>
      </w:pPr>
    </w:p>
    <w:tbl>
      <w:tblPr>
        <w:tblStyle w:val="7"/>
        <w:tblW w:w="85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4"/>
        <w:gridCol w:w="1176"/>
        <w:gridCol w:w="2778"/>
        <w:gridCol w:w="1176"/>
        <w:gridCol w:w="2208"/>
      </w:tblGrid>
      <w:tr w14:paraId="12D7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5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24AC">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0769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07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2A5C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5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F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城乡社区</w:t>
            </w:r>
          </w:p>
        </w:tc>
      </w:tr>
      <w:tr w14:paraId="6EAD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B1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D9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401-景德镇市珠山区珠山街道办事处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A8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0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景德镇市珠山区珠山街道办事处</w:t>
            </w:r>
          </w:p>
        </w:tc>
      </w:tr>
      <w:tr w14:paraId="253C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18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1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F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62.00</w:t>
            </w:r>
          </w:p>
        </w:tc>
      </w:tr>
      <w:tr w14:paraId="7D07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DF5">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3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0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192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049">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9E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20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784E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A3B0">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CC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95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16F1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29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088B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F016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社区建设、社区管理。社区服务体系是指以社区为基本单元，以各类社区服务设施为依托，以社区全体居民、驻社区单位为对象，以公共服务、志愿服务、便民利民服务为主要内容，以满足社区居民生活需求、提高社区居民生活质量为目标，党委统一领导、政府主导支持、社会多元参与的服务网络及运行机制。打造社区文化品牌。宣传资料5000份，办公设备采购8台数量，开展活动15次，网络宽带维护数量15次。</w:t>
            </w:r>
          </w:p>
        </w:tc>
      </w:tr>
      <w:tr w14:paraId="7EA1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88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95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E6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0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3376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75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12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6A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日常工作开展维持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C1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≤40万元</w:t>
            </w:r>
          </w:p>
        </w:tc>
      </w:tr>
      <w:tr w14:paraId="07F0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BE6">
            <w:pPr>
              <w:jc w:val="center"/>
              <w:rPr>
                <w:rFonts w:hint="eastAsia" w:ascii="微软雅黑" w:hAnsi="微软雅黑" w:eastAsia="微软雅黑" w:cs="微软雅黑"/>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E63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E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88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≤5万元</w:t>
            </w:r>
          </w:p>
        </w:tc>
      </w:tr>
      <w:tr w14:paraId="41E6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6B6">
            <w:pPr>
              <w:jc w:val="center"/>
              <w:rPr>
                <w:rFonts w:hint="eastAsia" w:ascii="微软雅黑" w:hAnsi="微软雅黑" w:eastAsia="微软雅黑" w:cs="微软雅黑"/>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6FFC">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39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城市整治活动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FF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≤10万元</w:t>
            </w:r>
          </w:p>
        </w:tc>
      </w:tr>
      <w:tr w14:paraId="4977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526">
            <w:pPr>
              <w:jc w:val="center"/>
              <w:rPr>
                <w:rFonts w:hint="eastAsia" w:ascii="微软雅黑" w:hAnsi="微软雅黑" w:eastAsia="微软雅黑" w:cs="微软雅黑"/>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CA5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B5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办公用品及设备采购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0A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≤5万元</w:t>
            </w:r>
          </w:p>
        </w:tc>
      </w:tr>
      <w:tr w14:paraId="45AA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B61E">
            <w:pPr>
              <w:jc w:val="center"/>
              <w:rPr>
                <w:rFonts w:hint="eastAsia" w:ascii="微软雅黑" w:hAnsi="微软雅黑" w:eastAsia="微软雅黑" w:cs="微软雅黑"/>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F17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32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安全维稳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C5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≤2万元</w:t>
            </w:r>
          </w:p>
        </w:tc>
      </w:tr>
      <w:tr w14:paraId="7AE3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E8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09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37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下设社区数量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7F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=3个</w:t>
            </w:r>
          </w:p>
        </w:tc>
      </w:tr>
      <w:tr w14:paraId="4C59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FA6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43E5">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社区活动开展次数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4C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≥10次</w:t>
            </w:r>
          </w:p>
        </w:tc>
      </w:tr>
      <w:tr w14:paraId="03DB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E62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A52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D6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城市整治活动开展次数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56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≥12次</w:t>
            </w:r>
          </w:p>
        </w:tc>
      </w:tr>
      <w:tr w14:paraId="3489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A3F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22E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D6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办公用品及设备采购完成率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6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44C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AEE3">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29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26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6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2EF8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4A5A">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5A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13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活动开展合规率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8E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5CA0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5A2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B74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E5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城市整治活动开展合规率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75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446D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434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61D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17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办公用品及设备采购验收合格率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3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54B8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3820">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F8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BC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各项工作开展及时率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C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4974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CA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2B4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57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资金使用及时率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6F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4FE5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205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DAD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B3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城市整治活动开展及时率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88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4F0D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5A4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1D1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AC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办公用品及设备采购及时率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E5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48B8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B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E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EF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丰富社区居民的精神文明生活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BB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定性有所提高</w:t>
            </w:r>
          </w:p>
        </w:tc>
      </w:tr>
      <w:tr w14:paraId="6936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F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2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DC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7D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3A632ACE">
      <w:pPr>
        <w:rPr>
          <w:rFonts w:hint="eastAsia"/>
          <w:lang w:eastAsia="zh-CN"/>
        </w:rPr>
        <w:sectPr>
          <w:pgSz w:w="11906" w:h="16838"/>
          <w:pgMar w:top="720" w:right="720" w:bottom="720" w:left="720" w:header="851" w:footer="992" w:gutter="0"/>
          <w:cols w:space="425" w:num="1"/>
          <w:docGrid w:type="lines" w:linePitch="312" w:charSpace="0"/>
        </w:sectPr>
      </w:pPr>
    </w:p>
    <w:p w14:paraId="11A8493B">
      <w:pPr>
        <w:pStyle w:val="18"/>
        <w:numPr>
          <w:ilvl w:val="0"/>
          <w:numId w:val="0"/>
        </w:numPr>
        <w:bidi w:val="0"/>
        <w:ind w:left="420" w:leftChars="200"/>
        <w:jc w:val="center"/>
        <w:rPr>
          <w:rFonts w:hint="eastAsia"/>
          <w:lang w:eastAsia="zh-CN"/>
        </w:rPr>
      </w:pPr>
      <w:r>
        <w:rPr>
          <w:rFonts w:hint="eastAsia"/>
          <w:lang w:val="en-US" w:eastAsia="zh-CN"/>
        </w:rPr>
        <w:t>第三部分  景德镇市珠山区珠山街道办事处2026年部门预算情况说明</w:t>
      </w:r>
    </w:p>
    <w:p w14:paraId="4BA630A6">
      <w:pPr>
        <w:widowControl/>
        <w:spacing w:line="580" w:lineRule="exact"/>
        <w:jc w:val="center"/>
        <w:rPr>
          <w:rFonts w:ascii="仿宋_GB2312" w:eastAsia="仿宋_GB2312"/>
          <w:b/>
          <w:sz w:val="32"/>
          <w:szCs w:val="30"/>
        </w:rPr>
      </w:pPr>
    </w:p>
    <w:p w14:paraId="574B797F">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306B908A">
      <w:pPr>
        <w:pStyle w:val="20"/>
        <w:numPr>
          <w:ilvl w:val="0"/>
          <w:numId w:val="0"/>
        </w:numPr>
        <w:bidi w:val="0"/>
        <w:ind w:left="420" w:leftChars="200"/>
        <w:rPr>
          <w:rFonts w:hint="eastAsia"/>
        </w:rPr>
      </w:pPr>
      <w:r>
        <w:rPr>
          <w:rFonts w:hint="eastAsia"/>
        </w:rPr>
        <w:t xml:space="preserve"> (一)收入预算情况</w:t>
      </w:r>
    </w:p>
    <w:p w14:paraId="30641A29">
      <w:pPr>
        <w:pStyle w:val="19"/>
        <w:bidi w:val="0"/>
        <w:rPr>
          <w:rFonts w:hint="eastAsia"/>
        </w:rPr>
      </w:pPr>
      <w:r>
        <w:rPr>
          <w:rFonts w:hint="eastAsia"/>
          <w:lang w:eastAsia="zh-CN"/>
        </w:rPr>
        <w:t>2026</w:t>
      </w:r>
      <w:r>
        <w:rPr>
          <w:rFonts w:hint="eastAsia"/>
        </w:rPr>
        <w:t>年</w:t>
      </w:r>
      <w:r>
        <w:rPr>
          <w:rFonts w:hint="eastAsia"/>
          <w:lang w:eastAsia="zh-CN"/>
        </w:rPr>
        <w:t>景德镇市珠山区珠山街道办事处</w:t>
      </w:r>
      <w:r>
        <w:rPr>
          <w:rFonts w:hint="eastAsia"/>
        </w:rPr>
        <w:t>收入预算总额为558.18万元</w:t>
      </w:r>
      <w:r>
        <w:rPr>
          <w:rFonts w:hint="eastAsia"/>
          <w:lang w:eastAsia="zh-CN"/>
        </w:rPr>
        <w:t>，</w:t>
      </w:r>
      <w:r>
        <w:rPr>
          <w:rFonts w:hint="eastAsia"/>
        </w:rPr>
        <w:t>较上年预算安排减少</w:t>
      </w:r>
      <w:r>
        <w:rPr>
          <w:rFonts w:hint="eastAsia"/>
          <w:lang w:val="en-US" w:eastAsia="zh-CN"/>
        </w:rPr>
        <w:t>49.81</w:t>
      </w:r>
      <w:r>
        <w:rPr>
          <w:rFonts w:hint="eastAsia"/>
        </w:rPr>
        <w:t>万元</w:t>
      </w:r>
      <w:r>
        <w:rPr>
          <w:rFonts w:hint="eastAsia"/>
          <w:lang w:eastAsia="zh-CN"/>
        </w:rPr>
        <w:t>；本年收入合计557.10万元，较上年预算安排减少</w:t>
      </w:r>
      <w:r>
        <w:rPr>
          <w:rFonts w:hint="eastAsia"/>
          <w:lang w:val="en-US" w:eastAsia="zh-CN"/>
        </w:rPr>
        <w:t>50.89</w:t>
      </w:r>
      <w:r>
        <w:rPr>
          <w:rFonts w:hint="eastAsia"/>
          <w:lang w:eastAsia="zh-CN"/>
        </w:rPr>
        <w:t>万元；包括：财政拨款收入557.10万元，较上年预算安排减少</w:t>
      </w:r>
      <w:r>
        <w:rPr>
          <w:rFonts w:hint="eastAsia"/>
          <w:lang w:val="en-US" w:eastAsia="zh-CN"/>
        </w:rPr>
        <w:t>50.89</w:t>
      </w:r>
      <w:r>
        <w:rPr>
          <w:rFonts w:hint="eastAsia"/>
          <w:lang w:eastAsia="zh-CN"/>
        </w:rPr>
        <w:t>万元。上年结转1.08万元，较上年预算安排</w:t>
      </w:r>
      <w:r>
        <w:rPr>
          <w:rFonts w:hint="eastAsia"/>
          <w:lang w:val="en-US" w:eastAsia="zh-CN"/>
        </w:rPr>
        <w:t>减少0.92</w:t>
      </w:r>
      <w:r>
        <w:rPr>
          <w:rFonts w:hint="eastAsia"/>
          <w:lang w:eastAsia="zh-CN"/>
        </w:rPr>
        <w:t>万元。</w:t>
      </w:r>
    </w:p>
    <w:p w14:paraId="7428E960">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D0E3147">
      <w:pPr>
        <w:pStyle w:val="19"/>
        <w:bidi w:val="0"/>
        <w:rPr>
          <w:rFonts w:hint="eastAsia"/>
        </w:rPr>
      </w:pPr>
      <w:r>
        <w:rPr>
          <w:rFonts w:hint="eastAsia"/>
          <w:lang w:eastAsia="zh-CN"/>
        </w:rPr>
        <w:t>2026</w:t>
      </w:r>
      <w:r>
        <w:rPr>
          <w:rFonts w:hint="eastAsia"/>
        </w:rPr>
        <w:t>年</w:t>
      </w:r>
      <w:r>
        <w:rPr>
          <w:rFonts w:hint="eastAsia"/>
          <w:lang w:eastAsia="zh-CN"/>
        </w:rPr>
        <w:t>景德镇市珠山区珠山街道办事处</w:t>
      </w:r>
      <w:r>
        <w:rPr>
          <w:rFonts w:hint="eastAsia"/>
        </w:rPr>
        <w:t>支出预算总额为558.18万元</w:t>
      </w:r>
      <w:r>
        <w:rPr>
          <w:rFonts w:hint="eastAsia"/>
          <w:lang w:eastAsia="zh-CN"/>
        </w:rPr>
        <w:t>，</w:t>
      </w:r>
      <w:r>
        <w:rPr>
          <w:rFonts w:hint="eastAsia"/>
        </w:rPr>
        <w:t>较上年预算安排</w:t>
      </w:r>
      <w:r>
        <w:rPr>
          <w:rFonts w:hint="eastAsia"/>
          <w:lang w:val="en-US" w:eastAsia="zh-CN"/>
        </w:rPr>
        <w:t>49.81</w:t>
      </w:r>
      <w:r>
        <w:rPr>
          <w:rFonts w:hint="eastAsia"/>
        </w:rPr>
        <w:t xml:space="preserve">万元。 </w:t>
      </w:r>
    </w:p>
    <w:p w14:paraId="26B58155">
      <w:pPr>
        <w:pStyle w:val="19"/>
        <w:bidi w:val="0"/>
        <w:rPr>
          <w:rFonts w:hint="eastAsia"/>
        </w:rPr>
      </w:pPr>
      <w:r>
        <w:rPr>
          <w:rFonts w:hint="eastAsia"/>
        </w:rPr>
        <w:t>按支出项目类别划分：基本支出495.10万元</w:t>
      </w:r>
      <w:r>
        <w:rPr>
          <w:rFonts w:hint="eastAsia"/>
          <w:lang w:eastAsia="zh-CN"/>
        </w:rPr>
        <w:t>，</w:t>
      </w:r>
      <w:r>
        <w:rPr>
          <w:rFonts w:hint="eastAsia"/>
        </w:rPr>
        <w:t>较上年预算安排</w:t>
      </w:r>
      <w:r>
        <w:rPr>
          <w:rFonts w:hint="eastAsia"/>
          <w:lang w:val="en-US" w:eastAsia="zh-CN"/>
        </w:rPr>
        <w:t>减少0.92</w:t>
      </w:r>
      <w:r>
        <w:rPr>
          <w:rFonts w:hint="eastAsia"/>
        </w:rPr>
        <w:t>万元</w:t>
      </w:r>
      <w:r>
        <w:rPr>
          <w:rFonts w:hint="eastAsia"/>
          <w:lang w:eastAsia="zh-CN"/>
        </w:rPr>
        <w:t>；</w:t>
      </w:r>
      <w:r>
        <w:rPr>
          <w:rFonts w:hint="eastAsia"/>
        </w:rPr>
        <w:t>项目支出63.08万元</w:t>
      </w:r>
      <w:r>
        <w:rPr>
          <w:rFonts w:hint="eastAsia"/>
          <w:lang w:eastAsia="zh-CN"/>
        </w:rPr>
        <w:t>，</w:t>
      </w:r>
      <w:r>
        <w:rPr>
          <w:rFonts w:hint="eastAsia"/>
        </w:rPr>
        <w:t>较上年预算安排</w:t>
      </w:r>
      <w:r>
        <w:rPr>
          <w:rFonts w:hint="eastAsia"/>
          <w:lang w:val="en-US" w:eastAsia="zh-CN"/>
        </w:rPr>
        <w:t>减少46.9</w:t>
      </w:r>
      <w:r>
        <w:rPr>
          <w:rFonts w:hint="eastAsia"/>
        </w:rPr>
        <w:t>万元。</w:t>
      </w:r>
    </w:p>
    <w:p w14:paraId="1EE65241">
      <w:pPr>
        <w:pStyle w:val="19"/>
        <w:bidi w:val="0"/>
        <w:rPr>
          <w:rFonts w:hint="eastAsia"/>
        </w:rPr>
      </w:pPr>
      <w:r>
        <w:rPr>
          <w:rFonts w:hint="eastAsia"/>
        </w:rPr>
        <w:t>按支出功能科目划分：一般公共服务支出307.66万元，较上年预算安排减少</w:t>
      </w:r>
      <w:r>
        <w:rPr>
          <w:rFonts w:hint="eastAsia"/>
          <w:lang w:val="en-US" w:eastAsia="zh-CN"/>
        </w:rPr>
        <w:t>58.57</w:t>
      </w:r>
      <w:r>
        <w:rPr>
          <w:rFonts w:hint="eastAsia"/>
        </w:rPr>
        <w:t>万元；文化旅游体育与传媒支出</w:t>
      </w:r>
      <w:r>
        <w:rPr>
          <w:rFonts w:hint="eastAsia"/>
          <w:lang w:val="en-US" w:eastAsia="zh-CN"/>
        </w:rPr>
        <w:t>0</w:t>
      </w:r>
      <w:r>
        <w:rPr>
          <w:rFonts w:hint="eastAsia"/>
        </w:rPr>
        <w:t>.50万元，较上年预算安排</w:t>
      </w:r>
      <w:r>
        <w:rPr>
          <w:rFonts w:hint="eastAsia"/>
          <w:lang w:val="en-US" w:eastAsia="zh-CN"/>
        </w:rPr>
        <w:t>增加0.50</w:t>
      </w:r>
      <w:r>
        <w:rPr>
          <w:rFonts w:hint="eastAsia"/>
        </w:rPr>
        <w:t>万元；社会保障和就业支出26.88万元，较上年预算安排增加</w:t>
      </w:r>
      <w:r>
        <w:rPr>
          <w:rFonts w:hint="eastAsia"/>
          <w:lang w:val="en-US" w:eastAsia="zh-CN"/>
        </w:rPr>
        <w:t>3.37</w:t>
      </w:r>
      <w:r>
        <w:rPr>
          <w:rFonts w:hint="eastAsia"/>
        </w:rPr>
        <w:t>万元；卫生健康支出11.28万元，较上年预算安排增加</w:t>
      </w:r>
      <w:r>
        <w:rPr>
          <w:rFonts w:hint="eastAsia"/>
          <w:lang w:val="en-US" w:eastAsia="zh-CN"/>
        </w:rPr>
        <w:t>1.85</w:t>
      </w:r>
      <w:r>
        <w:rPr>
          <w:rFonts w:hint="eastAsia"/>
        </w:rPr>
        <w:t>万元；城乡社区支出191.36万元，较上年预算安排增加</w:t>
      </w:r>
      <w:r>
        <w:rPr>
          <w:rFonts w:hint="eastAsia"/>
          <w:lang w:val="en-US" w:eastAsia="zh-CN"/>
        </w:rPr>
        <w:t>3.07</w:t>
      </w:r>
      <w:r>
        <w:rPr>
          <w:rFonts w:hint="eastAsia"/>
        </w:rPr>
        <w:t>万元；住房保障支出19.91万元，较上年预算安排增加</w:t>
      </w:r>
      <w:r>
        <w:rPr>
          <w:rFonts w:hint="eastAsia"/>
          <w:lang w:val="en-US" w:eastAsia="zh-CN"/>
        </w:rPr>
        <w:t>2.49</w:t>
      </w:r>
      <w:r>
        <w:rPr>
          <w:rFonts w:hint="eastAsia"/>
        </w:rPr>
        <w:t>万元；灾害防治及应急管理支出</w:t>
      </w:r>
      <w:r>
        <w:rPr>
          <w:rFonts w:hint="eastAsia"/>
          <w:lang w:val="en-US" w:eastAsia="zh-CN"/>
        </w:rPr>
        <w:t>0</w:t>
      </w:r>
      <w:r>
        <w:rPr>
          <w:rFonts w:hint="eastAsia"/>
        </w:rPr>
        <w:t>.58万元，较上年预算安排增加</w:t>
      </w:r>
      <w:r>
        <w:rPr>
          <w:rFonts w:hint="eastAsia"/>
          <w:lang w:val="en-US" w:eastAsia="zh-CN"/>
        </w:rPr>
        <w:t>0.58</w:t>
      </w:r>
      <w:r>
        <w:rPr>
          <w:rFonts w:hint="eastAsia"/>
        </w:rPr>
        <w:t>万元。</w:t>
      </w:r>
    </w:p>
    <w:p w14:paraId="1D0C260D">
      <w:pPr>
        <w:pStyle w:val="19"/>
        <w:bidi w:val="0"/>
        <w:rPr>
          <w:rFonts w:hint="eastAsia"/>
        </w:rPr>
      </w:pPr>
      <w:r>
        <w:rPr>
          <w:rFonts w:hint="eastAsia"/>
        </w:rPr>
        <w:t>按支出经济分类划分：工资福利支出394.24万元，较上年预算安排增加</w:t>
      </w:r>
      <w:r>
        <w:rPr>
          <w:rFonts w:hint="eastAsia"/>
          <w:lang w:val="en-US" w:eastAsia="zh-CN"/>
        </w:rPr>
        <w:t>4.19</w:t>
      </w:r>
      <w:r>
        <w:rPr>
          <w:rFonts w:hint="eastAsia"/>
        </w:rPr>
        <w:t>万元；商品和服务支出138.53万元，较上年预算安排增加</w:t>
      </w:r>
      <w:r>
        <w:rPr>
          <w:rFonts w:hint="eastAsia"/>
          <w:lang w:val="en-US" w:eastAsia="zh-CN"/>
        </w:rPr>
        <w:t>59.33</w:t>
      </w:r>
      <w:r>
        <w:rPr>
          <w:rFonts w:hint="eastAsia"/>
        </w:rPr>
        <w:t>万元；对个人和家庭的补助25.41万元，较上年预算安排增加</w:t>
      </w:r>
      <w:r>
        <w:rPr>
          <w:rFonts w:hint="eastAsia"/>
          <w:lang w:val="en-US" w:eastAsia="zh-CN"/>
        </w:rPr>
        <w:t>1.35</w:t>
      </w:r>
      <w:r>
        <w:rPr>
          <w:rFonts w:hint="eastAsia"/>
        </w:rPr>
        <w:t>万元。</w:t>
      </w:r>
    </w:p>
    <w:p w14:paraId="6854EBEE">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77DB769A">
      <w:pPr>
        <w:pStyle w:val="19"/>
        <w:bidi w:val="0"/>
        <w:rPr>
          <w:rFonts w:hint="eastAsia"/>
        </w:rPr>
      </w:pPr>
      <w:r>
        <w:rPr>
          <w:rFonts w:hint="eastAsia"/>
          <w:lang w:eastAsia="zh-CN"/>
        </w:rPr>
        <w:t>2026</w:t>
      </w:r>
      <w:r>
        <w:rPr>
          <w:rFonts w:hint="eastAsia"/>
        </w:rPr>
        <w:t>年</w:t>
      </w:r>
      <w:r>
        <w:rPr>
          <w:rFonts w:hint="eastAsia"/>
          <w:lang w:eastAsia="zh-CN"/>
        </w:rPr>
        <w:t>景德镇市珠山区珠山街道办事处</w:t>
      </w:r>
      <w:r>
        <w:rPr>
          <w:rFonts w:hint="eastAsia"/>
        </w:rPr>
        <w:t>财政拨款支出预算总额558.18万元,较上年预算安排减少</w:t>
      </w:r>
      <w:r>
        <w:rPr>
          <w:rFonts w:hint="eastAsia"/>
          <w:lang w:val="en-US" w:eastAsia="zh-CN"/>
        </w:rPr>
        <w:t>49.81</w:t>
      </w:r>
      <w:r>
        <w:rPr>
          <w:rFonts w:hint="eastAsia"/>
        </w:rPr>
        <w:t>万元。</w:t>
      </w:r>
    </w:p>
    <w:p w14:paraId="301495CB">
      <w:pPr>
        <w:pStyle w:val="19"/>
        <w:bidi w:val="0"/>
        <w:rPr>
          <w:rFonts w:hint="eastAsia"/>
        </w:rPr>
      </w:pPr>
      <w:r>
        <w:rPr>
          <w:rFonts w:hint="eastAsia"/>
        </w:rPr>
        <w:t>按支出功能科目划分：一般公共服务支出307.66万元，文化旅游体育与传媒支出0.50万元，社会保障和就业支出26.88万元，卫生健康支出11.28万元，城乡社区支出191.36万元，住房保障支出19.91万元，灾害防治及应急管理支出0.58万元。</w:t>
      </w:r>
    </w:p>
    <w:p w14:paraId="22E9894E">
      <w:pPr>
        <w:pStyle w:val="19"/>
        <w:bidi w:val="0"/>
        <w:rPr>
          <w:rFonts w:hint="eastAsia"/>
        </w:rPr>
      </w:pPr>
      <w:r>
        <w:rPr>
          <w:rFonts w:hint="eastAsia"/>
        </w:rPr>
        <w:t>按支出项目类别划分：基本支出495.10万元,项目支出63.08万元。</w:t>
      </w:r>
    </w:p>
    <w:p w14:paraId="296B2E7E">
      <w:pPr>
        <w:pStyle w:val="19"/>
        <w:bidi w:val="0"/>
        <w:rPr>
          <w:rFonts w:hint="eastAsia"/>
        </w:rPr>
      </w:pPr>
      <w:r>
        <w:rPr>
          <w:rFonts w:hint="eastAsia"/>
        </w:rPr>
        <w:t>按支</w:t>
      </w:r>
      <w:r>
        <w:rPr>
          <w:rFonts w:hint="eastAsia"/>
          <w:lang w:val="en-US" w:eastAsia="zh-CN"/>
        </w:rPr>
        <w:t>出经济分类</w:t>
      </w:r>
      <w:r>
        <w:rPr>
          <w:rFonts w:hint="eastAsia"/>
        </w:rPr>
        <w:t>划分：工资福利支出394.24万元，商品和服务支出138.53万元，对个人和家庭的补助25.41万元。</w:t>
      </w:r>
    </w:p>
    <w:p w14:paraId="2001813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40FD857">
      <w:pPr>
        <w:pStyle w:val="19"/>
        <w:bidi w:val="0"/>
        <w:rPr>
          <w:rFonts w:hint="eastAsia" w:eastAsia="仿宋_GB2312"/>
          <w:lang w:val="en-US" w:eastAsia="zh-CN"/>
        </w:rPr>
      </w:pPr>
      <w:r>
        <w:rPr>
          <w:rFonts w:hint="eastAsia"/>
          <w:lang w:val="en-US" w:eastAsia="zh-CN"/>
        </w:rPr>
        <w:t>2026年</w:t>
      </w:r>
      <w:r>
        <w:rPr>
          <w:rFonts w:hint="eastAsia"/>
        </w:rPr>
        <w:t>本部门没有使用政府性基金预算拨款安排的支</w:t>
      </w:r>
      <w:r>
        <w:rPr>
          <w:rFonts w:hint="eastAsia"/>
          <w:lang w:val="en-US" w:eastAsia="zh-CN"/>
        </w:rPr>
        <w:t>出</w:t>
      </w:r>
    </w:p>
    <w:p w14:paraId="76127C6E">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3581E9F7">
      <w:pPr>
        <w:pStyle w:val="19"/>
        <w:bidi w:val="0"/>
        <w:rPr>
          <w:rFonts w:hint="eastAsia" w:eastAsia="仿宋_GB2312"/>
          <w:lang w:eastAsia="zh-CN"/>
        </w:rPr>
      </w:pPr>
      <w:r>
        <w:rPr>
          <w:rFonts w:hint="eastAsia"/>
          <w:lang w:val="en-US" w:eastAsia="zh-CN"/>
        </w:rPr>
        <w:t>2026年</w:t>
      </w:r>
      <w:r>
        <w:rPr>
          <w:rFonts w:hint="eastAsia"/>
        </w:rPr>
        <w:t>本部门没有使用国有资本经营预算拨款安排的支出</w:t>
      </w:r>
      <w:r>
        <w:rPr>
          <w:rFonts w:hint="eastAsia"/>
          <w:lang w:eastAsia="zh-CN"/>
        </w:rPr>
        <w:t>。</w:t>
      </w:r>
    </w:p>
    <w:p w14:paraId="7F85CD4D">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DD0BC6F">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75.45</w:t>
      </w:r>
      <w:r>
        <w:rPr>
          <w:rFonts w:hint="eastAsia"/>
        </w:rPr>
        <w:t>万元，比2025年预算减少</w:t>
      </w:r>
      <w:r>
        <w:rPr>
          <w:rFonts w:hint="eastAsia"/>
          <w:lang w:val="en-US" w:eastAsia="zh-CN"/>
        </w:rPr>
        <w:t>3.75</w:t>
      </w:r>
      <w:r>
        <w:rPr>
          <w:rFonts w:hint="eastAsia"/>
        </w:rPr>
        <w:t>万元，</w:t>
      </w:r>
      <w:r>
        <w:rPr>
          <w:rFonts w:hint="eastAsia"/>
          <w:lang w:val="en-US" w:eastAsia="zh-CN"/>
        </w:rPr>
        <w:t>减少4.7</w:t>
      </w:r>
      <w:r>
        <w:rPr>
          <w:rFonts w:hint="eastAsia"/>
        </w:rPr>
        <w:t>%。</w:t>
      </w:r>
    </w:p>
    <w:p w14:paraId="735FF4F5">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6AEA656F">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66B85046">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2324225">
      <w:pPr>
        <w:pStyle w:val="19"/>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59D5A95">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无该项支出</w:t>
      </w:r>
      <w:r>
        <w:rPr>
          <w:rFonts w:hint="eastAsia"/>
          <w:lang w:eastAsia="zh-CN"/>
        </w:rPr>
        <w:t>。</w:t>
      </w:r>
    </w:p>
    <w:p w14:paraId="11292EEA">
      <w:pPr>
        <w:pStyle w:val="20"/>
        <w:numPr>
          <w:ilvl w:val="0"/>
          <w:numId w:val="0"/>
        </w:numPr>
        <w:bidi w:val="0"/>
        <w:ind w:firstLine="643" w:firstLineChars="200"/>
        <w:rPr>
          <w:rFonts w:hint="eastAsia"/>
          <w:lang w:val="en-US" w:eastAsia="zh-CN"/>
        </w:rPr>
      </w:pPr>
      <w:r>
        <w:rPr>
          <w:rFonts w:hint="eastAsia"/>
          <w:lang w:val="en-US" w:eastAsia="zh-CN"/>
        </w:rPr>
        <w:t>(九)城乡社区项目情况说明</w:t>
      </w:r>
    </w:p>
    <w:p w14:paraId="21A7F606">
      <w:pPr>
        <w:pStyle w:val="4"/>
        <w:spacing w:before="218" w:line="330" w:lineRule="auto"/>
        <w:ind w:right="13" w:firstLine="640" w:firstLineChars="200"/>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spacing w:val="7"/>
        </w:rPr>
        <w:t>社区建设、社区管理。社区服务体系是指以社区为基本单元，以各类社区服务设施为依托，以社区全体居民、驻社区单位为对象，以公共服务、志愿服务、便民利民服务为主要内容，以满足社区居民生活需求、提高社区居民生活质量为目标，党委统一领导、政府主导支持、社会多元参与的服务网络及运行机制。打造社区文化品牌。提高社区居民生活质量为目标，党委统一领导、政府主导支持、社会多元参与的服务网络及运行机制。打造社区文化品牌，为居民群众创造一个安全、舒适、整洁、方便的生活环境</w:t>
      </w:r>
      <w:r>
        <w:rPr>
          <w:spacing w:val="6"/>
        </w:rPr>
        <w:t>。</w:t>
      </w:r>
    </w:p>
    <w:p w14:paraId="4EFC1E44">
      <w:pPr>
        <w:pStyle w:val="4"/>
        <w:spacing w:before="234" w:line="323" w:lineRule="auto"/>
        <w:ind w:right="16" w:firstLine="620" w:firstLineChars="200"/>
      </w:pPr>
      <w:r>
        <w:rPr>
          <w:rFonts w:hint="eastAsia"/>
          <w:lang w:eastAsia="zh-CN"/>
        </w:rPr>
        <w:t xml:space="preserve">   2）立项依据：</w:t>
      </w:r>
      <w:r>
        <w:rPr>
          <w:spacing w:val="8"/>
        </w:rPr>
        <w:t>立足新发展阶段，贯彻新发展理</w:t>
      </w:r>
      <w:r>
        <w:rPr>
          <w:spacing w:val="7"/>
        </w:rPr>
        <w:t>念，</w:t>
      </w:r>
      <w:r>
        <w:t xml:space="preserve"> </w:t>
      </w:r>
      <w:r>
        <w:rPr>
          <w:spacing w:val="9"/>
        </w:rPr>
        <w:t>服务新发展格局，聚焦经济社会发展全局，培养造就高水平会计人才队伍。</w:t>
      </w:r>
    </w:p>
    <w:p w14:paraId="5A54A258">
      <w:pPr>
        <w:pStyle w:val="19"/>
        <w:bidi w:val="0"/>
        <w:ind w:left="0" w:leftChars="0" w:firstLine="960" w:firstLineChars="300"/>
        <w:rPr>
          <w:rFonts w:hint="eastAsia"/>
          <w:lang w:eastAsia="zh-CN"/>
        </w:rPr>
      </w:pPr>
      <w:r>
        <w:rPr>
          <w:rFonts w:hint="eastAsia"/>
          <w:lang w:eastAsia="zh-CN"/>
        </w:rPr>
        <w:t xml:space="preserve"> 3）实施主体：</w:t>
      </w:r>
      <w:r>
        <w:rPr>
          <w:rFonts w:hint="eastAsia"/>
          <w:spacing w:val="6"/>
          <w:lang w:eastAsia="zh-CN"/>
        </w:rPr>
        <w:t>景德镇市珠山区珠山街道办事处</w:t>
      </w:r>
    </w:p>
    <w:p w14:paraId="79EA3DEF">
      <w:pPr>
        <w:pStyle w:val="4"/>
        <w:spacing w:before="216" w:line="312" w:lineRule="auto"/>
        <w:ind w:right="13" w:firstLine="620" w:firstLineChars="200"/>
        <w:rPr>
          <w:rFonts w:hint="eastAsia"/>
          <w:lang w:eastAsia="zh-CN"/>
        </w:rPr>
      </w:pPr>
      <w:r>
        <w:rPr>
          <w:rFonts w:hint="eastAsia"/>
          <w:lang w:eastAsia="zh-CN"/>
        </w:rPr>
        <w:t xml:space="preserve">   4）实施方案：</w:t>
      </w:r>
      <w:r>
        <w:rPr>
          <w:rFonts w:hint="eastAsia"/>
          <w:spacing w:val="8"/>
        </w:rPr>
        <w:t>社区建设、社区管理。社区服务体系是指以社区为基本单元，以各类社区服务设施为依托，以社区全体居民、驻社区单位为对象，以公共服务、志愿服务、便民利民服务为主要内容，以满足社区居民生活需求、提高社区居民生活质量为目标，党委统一领导、政府主导支持、社会多元参与的服务网络及运行机制。打造社区文化品牌。提高社区居民生活质量为目标，党委统一领导、政府主导支持、社会多元参与的服务网络及运行机制。打造社区文化品牌，为居民群众创造一个安全、舒适、整洁、方便的生活环境。</w:t>
      </w:r>
    </w:p>
    <w:p w14:paraId="0FCC65E1">
      <w:pPr>
        <w:pStyle w:val="19"/>
        <w:bidi w:val="0"/>
        <w:rPr>
          <w:rFonts w:hint="default"/>
          <w:lang w:val="en-US" w:eastAsia="zh-CN"/>
        </w:rPr>
      </w:pPr>
      <w:r>
        <w:rPr>
          <w:rFonts w:hint="eastAsia"/>
          <w:lang w:eastAsia="zh-CN"/>
        </w:rPr>
        <w:t xml:space="preserve">   5）实施周期：</w:t>
      </w:r>
      <w:r>
        <w:rPr>
          <w:rFonts w:hint="eastAsia"/>
          <w:lang w:val="en-US" w:eastAsia="zh-CN"/>
        </w:rPr>
        <w:t>2026年</w:t>
      </w:r>
    </w:p>
    <w:p w14:paraId="05DEFBF1">
      <w:pPr>
        <w:pStyle w:val="19"/>
        <w:bidi w:val="0"/>
        <w:rPr>
          <w:rFonts w:hint="default"/>
          <w:lang w:val="en-US" w:eastAsia="zh-CN"/>
        </w:rPr>
      </w:pPr>
      <w:r>
        <w:rPr>
          <w:rFonts w:hint="eastAsia"/>
          <w:lang w:eastAsia="zh-CN"/>
        </w:rPr>
        <w:t xml:space="preserve">   6）年度预算安排：</w:t>
      </w:r>
      <w:r>
        <w:rPr>
          <w:rFonts w:hint="eastAsia"/>
          <w:lang w:val="en-US" w:eastAsia="zh-CN"/>
        </w:rPr>
        <w:t>62万</w:t>
      </w:r>
    </w:p>
    <w:p w14:paraId="24B1C9D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0775CE9">
      <w:pPr>
        <w:pStyle w:val="19"/>
        <w:bidi w:val="0"/>
        <w:rPr>
          <w:rFonts w:hint="eastAsia"/>
          <w:lang w:eastAsia="zh-CN"/>
        </w:rPr>
      </w:pPr>
      <w:r>
        <w:rPr>
          <w:rFonts w:hint="eastAsia"/>
          <w:lang w:eastAsia="zh-CN"/>
        </w:rPr>
        <w:t>2026年景德镇市珠山区珠山街道办事处财政拨款"三公"经费安排5.03万元，其中：</w:t>
      </w:r>
    </w:p>
    <w:p w14:paraId="2DDB98F8">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8D3C397">
      <w:pPr>
        <w:pStyle w:val="19"/>
        <w:bidi w:val="0"/>
        <w:rPr>
          <w:rFonts w:hint="eastAsia"/>
          <w:lang w:eastAsia="zh-CN"/>
        </w:rPr>
      </w:pPr>
      <w:r>
        <w:rPr>
          <w:rFonts w:hint="eastAsia"/>
          <w:lang w:eastAsia="zh-CN"/>
        </w:rPr>
        <w:t>公务接待5.03万元,比上年</w:t>
      </w:r>
      <w:r>
        <w:rPr>
          <w:rFonts w:hint="eastAsia"/>
          <w:lang w:val="en-US" w:eastAsia="zh-CN"/>
        </w:rPr>
        <w:t>递减0.05</w:t>
      </w:r>
      <w:r>
        <w:rPr>
          <w:rFonts w:hint="eastAsia"/>
          <w:lang w:eastAsia="zh-CN"/>
        </w:rPr>
        <w:t>万元，主要原因是：</w:t>
      </w:r>
      <w:r>
        <w:rPr>
          <w:rFonts w:hint="eastAsia"/>
          <w:lang w:val="en-US" w:eastAsia="zh-CN"/>
        </w:rPr>
        <w:t>节</w:t>
      </w:r>
      <w:bookmarkStart w:id="0" w:name="_GoBack"/>
      <w:bookmarkEnd w:id="0"/>
      <w:r>
        <w:rPr>
          <w:rFonts w:hint="eastAsia"/>
          <w:spacing w:val="3"/>
          <w:lang w:val="en-US" w:eastAsia="zh-CN"/>
        </w:rPr>
        <w:t>约开支，三公递减</w:t>
      </w:r>
      <w:r>
        <w:rPr>
          <w:rFonts w:hint="eastAsia"/>
          <w:lang w:eastAsia="zh-CN"/>
        </w:rPr>
        <w:t>。</w:t>
      </w:r>
    </w:p>
    <w:p w14:paraId="3BA6F72F">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DC4F845">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0B70EA87">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B93404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A84B9EA">
      <w:pPr>
        <w:pStyle w:val="19"/>
        <w:bidi w:val="0"/>
        <w:rPr>
          <w:rFonts w:hint="eastAsia"/>
          <w:lang w:eastAsia="zh-CN"/>
        </w:rPr>
      </w:pPr>
      <w:r>
        <w:rPr>
          <w:rFonts w:hint="eastAsia"/>
          <w:lang w:eastAsia="zh-CN"/>
        </w:rPr>
        <w:t>各部门结合实际进行解释。</w:t>
      </w:r>
    </w:p>
    <w:p w14:paraId="5167A087">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1EEE94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747ECF7">
      <w:pPr>
        <w:pStyle w:val="19"/>
        <w:bidi w:val="0"/>
        <w:rPr>
          <w:rFonts w:hint="eastAsia"/>
          <w:lang w:eastAsia="zh-CN"/>
        </w:rPr>
      </w:pPr>
      <w:r>
        <w:rPr>
          <w:rFonts w:hint="eastAsia"/>
          <w:lang w:eastAsia="zh-CN"/>
        </w:rPr>
        <w:t>（三）事业收入：指事业单位开展专业业务活动及辅助活动取得的收入。</w:t>
      </w:r>
    </w:p>
    <w:p w14:paraId="395E9622">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9F678FE">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5918A61">
      <w:pPr>
        <w:pStyle w:val="19"/>
        <w:bidi w:val="0"/>
        <w:rPr>
          <w:rFonts w:hint="eastAsia"/>
          <w:lang w:eastAsia="zh-CN"/>
        </w:rPr>
      </w:pPr>
      <w:r>
        <w:rPr>
          <w:rFonts w:hint="eastAsia"/>
          <w:lang w:eastAsia="zh-CN"/>
        </w:rPr>
        <w:t>（六）上级补助收入：指事业单位从主管部门和上级单位取得的非财政补助收入。</w:t>
      </w:r>
    </w:p>
    <w:p w14:paraId="1D806595">
      <w:pPr>
        <w:pStyle w:val="19"/>
        <w:bidi w:val="0"/>
        <w:rPr>
          <w:rFonts w:hint="eastAsia"/>
          <w:lang w:eastAsia="zh-CN"/>
        </w:rPr>
      </w:pPr>
      <w:r>
        <w:rPr>
          <w:rFonts w:hint="eastAsia"/>
          <w:lang w:eastAsia="zh-CN"/>
        </w:rPr>
        <w:t>（七）其他收入：指除财政拨款、事业收入、事业单位经营收入等以外的各项收入。</w:t>
      </w:r>
    </w:p>
    <w:p w14:paraId="3A1F5BF9">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886BEE2">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85FEEDE">
      <w:pPr>
        <w:ind w:firstLine="640" w:firstLineChars="200"/>
        <w:rPr>
          <w:rFonts w:ascii="Adobe 仿宋 Std R" w:hAnsi="Adobe 仿宋 Std R" w:eastAsia="Adobe 仿宋 Std R"/>
          <w:sz w:val="32"/>
          <w:szCs w:val="32"/>
        </w:rPr>
      </w:pPr>
    </w:p>
    <w:p w14:paraId="19F13EA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5DF0ED55">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42CB4E5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07C8787">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2768F58">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B20D107">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BD3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6ECF5120"/>
    <w:multiLevelType w:val="singleLevel"/>
    <w:tmpl w:val="6ECF5120"/>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A05265"/>
    <w:rsid w:val="15F1786F"/>
    <w:rsid w:val="161C45A6"/>
    <w:rsid w:val="163B041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33FD2"/>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AE1D7A"/>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D50B85"/>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2169</Words>
  <Characters>2885</Characters>
  <Lines>47</Lines>
  <Paragraphs>13</Paragraphs>
  <TotalTime>1</TotalTime>
  <ScaleCrop>false</ScaleCrop>
  <LinksUpToDate>false</LinksUpToDate>
  <CharactersWithSpaces>2959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D58B9B09ADF74C7E9529AC80F81AB65F_13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