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75D8A">
      <w:pPr>
        <w:pStyle w:val="16"/>
        <w:bidi w:val="0"/>
        <w:rPr>
          <w:rFonts w:hint="eastAsia"/>
        </w:rPr>
      </w:pPr>
      <w:r>
        <w:rPr>
          <w:rFonts w:hint="eastAsia"/>
          <w:lang w:eastAsia="zh-CN"/>
        </w:rPr>
        <w:t>景德镇市珠山区工业和信息化局2026</w:t>
      </w:r>
      <w:r>
        <w:rPr>
          <w:rFonts w:hint="eastAsia"/>
        </w:rPr>
        <w:t>年部门预算</w:t>
      </w:r>
    </w:p>
    <w:p w14:paraId="2FBC8BD9">
      <w:pPr>
        <w:pStyle w:val="13"/>
        <w:spacing w:line="600" w:lineRule="atLeast"/>
        <w:jc w:val="center"/>
        <w:rPr>
          <w:rFonts w:ascii="黑体" w:hAnsi="黑体" w:eastAsia="黑体"/>
          <w:color w:val="000000"/>
          <w:sz w:val="32"/>
          <w:szCs w:val="32"/>
        </w:rPr>
      </w:pPr>
    </w:p>
    <w:p w14:paraId="6665D8E3">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000233C0">
      <w:pPr>
        <w:pStyle w:val="13"/>
        <w:rPr>
          <w:rFonts w:ascii="宋体" w:hAnsi="宋体"/>
          <w:color w:val="000000"/>
        </w:rPr>
      </w:pPr>
    </w:p>
    <w:p w14:paraId="1616EDC7">
      <w:pPr>
        <w:pStyle w:val="17"/>
        <w:numPr>
          <w:ilvl w:val="0"/>
          <w:numId w:val="0"/>
        </w:numPr>
        <w:bidi w:val="0"/>
        <w:ind w:left="420" w:leftChars="200"/>
        <w:jc w:val="left"/>
        <w:rPr>
          <w:rFonts w:hint="eastAsia"/>
          <w:lang w:eastAsia="zh-CN"/>
        </w:rPr>
      </w:pPr>
      <w:r>
        <w:rPr>
          <w:rFonts w:hint="eastAsia"/>
          <w:lang w:val="en-US" w:eastAsia="zh-CN"/>
        </w:rPr>
        <w:t>第一部分  景德镇市珠山区工业和信息化局概况</w:t>
      </w:r>
    </w:p>
    <w:p w14:paraId="535BC018">
      <w:pPr>
        <w:pStyle w:val="18"/>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3F9694BB">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03767FB4">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景德镇市珠山区工业和信息化局2026</w:t>
      </w:r>
      <w:r>
        <w:rPr>
          <w:rFonts w:hint="eastAsia"/>
        </w:rPr>
        <w:t>年部门预算表</w:t>
      </w:r>
    </w:p>
    <w:p w14:paraId="2DBFFB13">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16592403">
      <w:pPr>
        <w:pStyle w:val="18"/>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4F9ED2BB">
      <w:pPr>
        <w:pStyle w:val="18"/>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766B1CF2">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4B0CEFAC">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4290932E">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365B8162">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0D351613">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46DC8DAC">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0AAF7CA3">
      <w:pPr>
        <w:pStyle w:val="18"/>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4BD1C6B6">
      <w:pPr>
        <w:pStyle w:val="18"/>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06324F33">
      <w:pPr>
        <w:pStyle w:val="17"/>
        <w:numPr>
          <w:ilvl w:val="0"/>
          <w:numId w:val="0"/>
        </w:numPr>
        <w:bidi w:val="0"/>
        <w:ind w:left="420" w:leftChars="200"/>
        <w:jc w:val="left"/>
        <w:rPr>
          <w:rFonts w:hint="eastAsia"/>
          <w:lang w:eastAsia="zh-CN"/>
        </w:rPr>
      </w:pPr>
      <w:r>
        <w:rPr>
          <w:rFonts w:hint="eastAsia"/>
          <w:lang w:eastAsia="zh-CN"/>
        </w:rPr>
        <w:t>第三部分 景德镇市珠山区工业和信息化局 2026年部门预算情况说明</w:t>
      </w:r>
    </w:p>
    <w:p w14:paraId="2645C5AE">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76FB7F14">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3A44DA76">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7296AFCA">
      <w:pPr>
        <w:pStyle w:val="17"/>
        <w:numPr>
          <w:ilvl w:val="0"/>
          <w:numId w:val="0"/>
        </w:numPr>
        <w:bidi w:val="0"/>
        <w:ind w:left="420" w:leftChars="200"/>
        <w:jc w:val="left"/>
        <w:rPr>
          <w:rFonts w:hint="eastAsia"/>
          <w:lang w:eastAsia="zh-CN"/>
        </w:rPr>
      </w:pPr>
      <w:r>
        <w:rPr>
          <w:rFonts w:hint="eastAsia"/>
          <w:lang w:eastAsia="zh-CN"/>
        </w:rPr>
        <w:t>第四部分  名词解释</w:t>
      </w:r>
    </w:p>
    <w:p w14:paraId="5017AD4B">
      <w:pPr>
        <w:widowControl/>
        <w:spacing w:line="580" w:lineRule="exact"/>
        <w:jc w:val="center"/>
        <w:rPr>
          <w:rFonts w:ascii="仿宋_GB2312" w:eastAsia="仿宋_GB2312"/>
          <w:b/>
          <w:sz w:val="32"/>
          <w:szCs w:val="30"/>
        </w:rPr>
      </w:pPr>
    </w:p>
    <w:p w14:paraId="27BCB229">
      <w:pPr>
        <w:widowControl/>
        <w:spacing w:line="580" w:lineRule="exact"/>
        <w:jc w:val="center"/>
        <w:rPr>
          <w:rFonts w:ascii="仿宋_GB2312" w:eastAsia="仿宋_GB2312"/>
          <w:b/>
          <w:sz w:val="32"/>
          <w:szCs w:val="30"/>
        </w:rPr>
      </w:pPr>
    </w:p>
    <w:p w14:paraId="5A275ED4">
      <w:pPr>
        <w:widowControl/>
        <w:spacing w:line="580" w:lineRule="exact"/>
        <w:jc w:val="center"/>
        <w:rPr>
          <w:rFonts w:ascii="仿宋_GB2312" w:eastAsia="仿宋_GB2312"/>
          <w:b/>
          <w:sz w:val="32"/>
          <w:szCs w:val="30"/>
        </w:rPr>
      </w:pPr>
    </w:p>
    <w:p w14:paraId="272DE141">
      <w:pPr>
        <w:widowControl/>
        <w:spacing w:line="580" w:lineRule="exact"/>
        <w:jc w:val="center"/>
        <w:rPr>
          <w:rFonts w:ascii="仿宋_GB2312" w:eastAsia="仿宋_GB2312"/>
          <w:b/>
          <w:sz w:val="32"/>
          <w:szCs w:val="30"/>
        </w:rPr>
      </w:pPr>
    </w:p>
    <w:p w14:paraId="0BE27802">
      <w:pPr>
        <w:widowControl/>
        <w:spacing w:line="580" w:lineRule="exact"/>
        <w:jc w:val="center"/>
        <w:rPr>
          <w:rFonts w:ascii="仿宋_GB2312" w:eastAsia="仿宋_GB2312"/>
          <w:b/>
          <w:sz w:val="32"/>
          <w:szCs w:val="30"/>
        </w:rPr>
      </w:pPr>
    </w:p>
    <w:p w14:paraId="3EF74931">
      <w:pPr>
        <w:widowControl/>
        <w:spacing w:line="580" w:lineRule="exact"/>
        <w:jc w:val="center"/>
        <w:rPr>
          <w:rFonts w:ascii="仿宋_GB2312" w:eastAsia="仿宋_GB2312"/>
          <w:b/>
          <w:sz w:val="32"/>
          <w:szCs w:val="30"/>
        </w:rPr>
      </w:pPr>
    </w:p>
    <w:p w14:paraId="7F083304">
      <w:pPr>
        <w:widowControl/>
        <w:spacing w:line="580" w:lineRule="exact"/>
        <w:jc w:val="center"/>
        <w:rPr>
          <w:rFonts w:ascii="仿宋_GB2312" w:eastAsia="仿宋_GB2312"/>
          <w:b/>
          <w:sz w:val="32"/>
          <w:szCs w:val="30"/>
        </w:rPr>
      </w:pPr>
    </w:p>
    <w:p w14:paraId="1A952764">
      <w:pPr>
        <w:widowControl/>
        <w:spacing w:line="580" w:lineRule="exact"/>
        <w:jc w:val="center"/>
        <w:rPr>
          <w:rFonts w:ascii="仿宋_GB2312" w:eastAsia="仿宋_GB2312"/>
          <w:b/>
          <w:sz w:val="32"/>
          <w:szCs w:val="30"/>
        </w:rPr>
      </w:pPr>
    </w:p>
    <w:p w14:paraId="478F038C">
      <w:pPr>
        <w:widowControl/>
        <w:spacing w:line="580" w:lineRule="exact"/>
        <w:jc w:val="center"/>
        <w:rPr>
          <w:rFonts w:ascii="仿宋_GB2312" w:eastAsia="仿宋_GB2312"/>
          <w:b/>
          <w:sz w:val="32"/>
          <w:szCs w:val="30"/>
        </w:rPr>
      </w:pPr>
    </w:p>
    <w:p w14:paraId="609EF8C4">
      <w:pPr>
        <w:widowControl/>
        <w:spacing w:line="580" w:lineRule="exact"/>
        <w:jc w:val="center"/>
        <w:rPr>
          <w:rFonts w:ascii="仿宋_GB2312" w:eastAsia="仿宋_GB2312"/>
          <w:b/>
          <w:sz w:val="32"/>
          <w:szCs w:val="30"/>
        </w:rPr>
      </w:pPr>
    </w:p>
    <w:p w14:paraId="77EB4DC6">
      <w:pPr>
        <w:widowControl/>
        <w:spacing w:line="580" w:lineRule="exact"/>
        <w:jc w:val="center"/>
        <w:rPr>
          <w:rFonts w:ascii="仿宋_GB2312" w:eastAsia="仿宋_GB2312"/>
          <w:b/>
          <w:sz w:val="32"/>
          <w:szCs w:val="30"/>
        </w:rPr>
      </w:pPr>
    </w:p>
    <w:p w14:paraId="33D3DED8">
      <w:pPr>
        <w:widowControl/>
        <w:spacing w:line="580" w:lineRule="exact"/>
        <w:jc w:val="center"/>
        <w:rPr>
          <w:rFonts w:ascii="仿宋_GB2312" w:eastAsia="仿宋_GB2312"/>
          <w:b/>
          <w:sz w:val="32"/>
          <w:szCs w:val="30"/>
        </w:rPr>
      </w:pPr>
    </w:p>
    <w:p w14:paraId="4634A2EB">
      <w:pPr>
        <w:widowControl/>
        <w:spacing w:line="580" w:lineRule="exact"/>
        <w:jc w:val="center"/>
        <w:rPr>
          <w:rFonts w:ascii="仿宋_GB2312" w:eastAsia="仿宋_GB2312"/>
          <w:b/>
          <w:sz w:val="32"/>
          <w:szCs w:val="30"/>
        </w:rPr>
      </w:pPr>
    </w:p>
    <w:p w14:paraId="382859F4">
      <w:pPr>
        <w:widowControl/>
        <w:spacing w:line="580" w:lineRule="exact"/>
        <w:jc w:val="center"/>
        <w:rPr>
          <w:rFonts w:ascii="仿宋_GB2312" w:eastAsia="仿宋_GB2312"/>
          <w:b/>
          <w:sz w:val="32"/>
          <w:szCs w:val="30"/>
        </w:rPr>
      </w:pPr>
    </w:p>
    <w:p w14:paraId="60395423">
      <w:pPr>
        <w:pStyle w:val="17"/>
        <w:numPr>
          <w:ilvl w:val="0"/>
          <w:numId w:val="0"/>
        </w:numPr>
        <w:bidi w:val="0"/>
        <w:ind w:left="420" w:leftChars="200"/>
        <w:jc w:val="center"/>
        <w:rPr>
          <w:rFonts w:hint="eastAsia"/>
          <w:lang w:eastAsia="zh-CN"/>
        </w:rPr>
      </w:pPr>
      <w:r>
        <w:rPr>
          <w:rFonts w:hint="eastAsia"/>
          <w:lang w:eastAsia="zh-CN"/>
        </w:rPr>
        <w:t>第一部分  景德镇市珠山区工业和信息化局概况</w:t>
      </w:r>
    </w:p>
    <w:p w14:paraId="56B859E0">
      <w:pPr>
        <w:widowControl/>
        <w:spacing w:line="580" w:lineRule="exact"/>
        <w:jc w:val="left"/>
        <w:rPr>
          <w:rFonts w:asciiTheme="minorEastAsia" w:hAnsiTheme="minorEastAsia"/>
          <w:b/>
          <w:sz w:val="36"/>
          <w:szCs w:val="36"/>
        </w:rPr>
      </w:pPr>
    </w:p>
    <w:p w14:paraId="1A159B4D">
      <w:pPr>
        <w:pStyle w:val="17"/>
        <w:numPr>
          <w:ilvl w:val="0"/>
          <w:numId w:val="0"/>
        </w:numPr>
        <w:bidi w:val="0"/>
        <w:ind w:left="420" w:leftChars="200" w:firstLine="320" w:firstLineChars="100"/>
        <w:rPr>
          <w:rFonts w:hint="eastAsia"/>
        </w:rPr>
      </w:pPr>
      <w:r>
        <w:rPr>
          <w:rFonts w:hint="eastAsia"/>
        </w:rPr>
        <w:t>一、部门主要职责</w:t>
      </w:r>
    </w:p>
    <w:p w14:paraId="42890270">
      <w:pPr>
        <w:pStyle w:val="18"/>
        <w:bidi w:val="0"/>
        <w:rPr>
          <w:rFonts w:hint="eastAsia" w:ascii="仿宋_GB2312" w:hAnsi="仿宋_GB2312" w:eastAsia="仿宋_GB2312" w:cs="仿宋_GB2312"/>
        </w:rPr>
      </w:pPr>
      <w:r>
        <w:rPr>
          <w:rFonts w:hint="eastAsia" w:ascii="仿宋_GB2312" w:hAnsi="仿宋_GB2312" w:eastAsia="仿宋_GB2312" w:cs="仿宋_GB2312"/>
        </w:rPr>
        <w:t>景德镇市珠山区工业和信息化局是主管全区工业和信息化以及交通运输工作的区人民政府组成部门，主要职责是：</w:t>
      </w:r>
    </w:p>
    <w:p w14:paraId="0251368A">
      <w:pPr>
        <w:pStyle w:val="18"/>
        <w:numPr>
          <w:ilvl w:val="0"/>
          <w:numId w:val="3"/>
        </w:numPr>
        <w:bidi w:val="0"/>
        <w:rPr>
          <w:rFonts w:hint="eastAsia" w:ascii="仿宋_GB2312" w:hAnsi="仿宋_GB2312" w:eastAsia="仿宋_GB2312" w:cs="仿宋_GB2312"/>
        </w:rPr>
      </w:pPr>
      <w:r>
        <w:rPr>
          <w:rFonts w:hint="eastAsia" w:ascii="仿宋_GB2312" w:hAnsi="仿宋_GB2312" w:eastAsia="仿宋_GB2312" w:cs="仿宋_GB2312"/>
        </w:rPr>
        <w:t>拟订全区工业和信息化地方性政策和规范性文件并组织实施，对文件和政策的执行情况进行监督检查。</w:t>
      </w:r>
    </w:p>
    <w:p w14:paraId="510CFCA0">
      <w:pPr>
        <w:pStyle w:val="18"/>
        <w:keepNext w:val="0"/>
        <w:keepLines w:val="0"/>
        <w:pageBreakBefore w:val="0"/>
        <w:widowControl w:val="0"/>
        <w:numPr>
          <w:ilvl w:val="0"/>
          <w:numId w:val="3"/>
        </w:numPr>
        <w:kinsoku/>
        <w:wordWrap/>
        <w:overflowPunct/>
        <w:topLinePunct w:val="0"/>
        <w:autoSpaceDE/>
        <w:autoSpaceDN/>
        <w:bidi w:val="0"/>
        <w:adjustRightInd/>
        <w:snapToGrid/>
        <w:ind w:left="0" w:leftChars="0" w:firstLine="640" w:firstLineChars="200"/>
        <w:textAlignment w:val="auto"/>
        <w:rPr>
          <w:sz w:val="32"/>
          <w:szCs w:val="32"/>
        </w:rPr>
      </w:pPr>
      <w:r>
        <w:rPr>
          <w:rFonts w:hint="eastAsia" w:ascii="仿宋_GB2312" w:hAnsi="仿宋_GB2312" w:eastAsia="仿宋_GB2312" w:cs="仿宋_GB2312"/>
        </w:rPr>
        <w:t>提出新型工业化发展战略和产业政策，协调解决新型工业化进程中的重大</w:t>
      </w:r>
      <w:r>
        <w:rPr>
          <w:rFonts w:hint="eastAsia" w:ascii="仿宋_GB2312" w:hAnsi="仿宋_GB2312" w:eastAsia="仿宋_GB2312" w:cs="仿宋_GB2312"/>
          <w:spacing w:val="-11"/>
          <w:sz w:val="32"/>
        </w:rPr>
        <w:t>问题，落实鄱阳湖生态经济区建设中的重大战略决策；拟订并组织实施工业</w:t>
      </w:r>
      <w:r>
        <w:rPr>
          <w:rFonts w:hint="eastAsia" w:ascii="仿宋_GB2312" w:hAnsi="仿宋_GB2312" w:eastAsia="仿宋_GB2312" w:cs="仿宋_GB2312"/>
        </w:rPr>
        <w:t>化与信息化发展规划，在工业和信息化的融合进程中推进产业结构战略性调整和优化升级。</w:t>
      </w:r>
    </w:p>
    <w:p w14:paraId="384E0202">
      <w:pPr>
        <w:pStyle w:val="18"/>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sz w:val="32"/>
          <w:szCs w:val="32"/>
        </w:rPr>
      </w:pPr>
      <w:r>
        <w:rPr>
          <w:rFonts w:ascii="仿宋" w:hAnsi="仿宋" w:eastAsia="仿宋" w:cs="仿宋"/>
          <w:color w:val="000000"/>
          <w:kern w:val="0"/>
          <w:sz w:val="32"/>
          <w:szCs w:val="32"/>
          <w:lang w:val="en-US" w:eastAsia="zh-CN" w:bidi="ar"/>
        </w:rPr>
        <w:t>（三）制定并组织实施工业行业规划、计划和产业政策</w:t>
      </w:r>
      <w:r>
        <w:rPr>
          <w:rFonts w:hint="eastAsia" w:ascii="仿宋" w:hAnsi="仿宋" w:eastAsia="仿宋" w:cs="仿宋"/>
          <w:color w:val="000000"/>
          <w:kern w:val="0"/>
          <w:sz w:val="32"/>
          <w:szCs w:val="32"/>
          <w:lang w:val="en-US" w:eastAsia="zh-CN" w:bidi="ar"/>
        </w:rPr>
        <w:t>提出优化产业布局、结构调整的政策建议；负责工业行业管理和协调，指导行业质量工作。</w:t>
      </w:r>
    </w:p>
    <w:p w14:paraId="0C11817E">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000000"/>
          <w:kern w:val="0"/>
          <w:sz w:val="30"/>
          <w:szCs w:val="30"/>
          <w:lang w:val="en-US" w:eastAsia="zh-CN" w:bidi="ar"/>
        </w:rPr>
      </w:pPr>
      <w:r>
        <w:rPr>
          <w:rFonts w:ascii="仿宋" w:hAnsi="仿宋" w:eastAsia="仿宋" w:cs="仿宋"/>
          <w:color w:val="000000"/>
          <w:kern w:val="0"/>
          <w:sz w:val="30"/>
          <w:szCs w:val="30"/>
          <w:lang w:val="en-US" w:eastAsia="zh-CN" w:bidi="ar"/>
        </w:rPr>
        <w:t>（四）监测分析エ业经济、中小企业及非公有制经济运</w:t>
      </w:r>
      <w:r>
        <w:rPr>
          <w:rFonts w:hint="eastAsia" w:ascii="仿宋" w:hAnsi="仿宋" w:eastAsia="仿宋" w:cs="仿宋"/>
          <w:color w:val="000000"/>
          <w:kern w:val="0"/>
          <w:sz w:val="30"/>
          <w:szCs w:val="30"/>
          <w:lang w:val="en-US" w:eastAsia="zh-CN" w:bidi="ar"/>
        </w:rPr>
        <w:t>行态势，进行预测预警；加强信息引导、指导工作，协调解决经济运行中的有关问题并提出政策建议，负责工业应急管理工作。</w:t>
      </w:r>
    </w:p>
    <w:p w14:paraId="6F1C5967">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000000"/>
          <w:kern w:val="0"/>
          <w:sz w:val="30"/>
          <w:szCs w:val="30"/>
          <w:lang w:val="en-US" w:eastAsia="zh-CN" w:bidi="ar"/>
        </w:rPr>
      </w:pPr>
      <w:r>
        <w:rPr>
          <w:rFonts w:ascii="仿宋" w:hAnsi="仿宋" w:eastAsia="仿宋" w:cs="仿宋"/>
          <w:color w:val="000000"/>
          <w:kern w:val="0"/>
          <w:sz w:val="30"/>
          <w:szCs w:val="30"/>
          <w:lang w:val="en-US" w:eastAsia="zh-CN" w:bidi="ar"/>
        </w:rPr>
        <w:t>（五）制定并组织实施全区工业园区发展规划，提出园</w:t>
      </w:r>
      <w:r>
        <w:rPr>
          <w:rFonts w:hint="eastAsia" w:ascii="仿宋" w:hAnsi="仿宋" w:eastAsia="仿宋" w:cs="仿宋"/>
          <w:color w:val="000000"/>
          <w:kern w:val="0"/>
          <w:sz w:val="30"/>
          <w:szCs w:val="30"/>
          <w:lang w:val="en-US" w:eastAsia="zh-CN" w:bidi="ar"/>
        </w:rPr>
        <w:t>区企业扶持政策；监测分析工业园区运行态势；负责全区工业园区的综合协调和指导服务；组织实施全区工业园区的考</w:t>
      </w:r>
      <w:r>
        <w:rPr>
          <w:rFonts w:ascii="仿宋" w:hAnsi="仿宋" w:eastAsia="仿宋" w:cs="仿宋"/>
          <w:color w:val="000000"/>
          <w:kern w:val="0"/>
          <w:sz w:val="30"/>
          <w:szCs w:val="30"/>
          <w:lang w:val="en-US" w:eastAsia="zh-CN" w:bidi="ar"/>
        </w:rPr>
        <w:t>核评比工作；负责产业基地的扶持培育和评估认定，推进产</w:t>
      </w:r>
      <w:r>
        <w:rPr>
          <w:rFonts w:hint="eastAsia" w:ascii="仿宋" w:hAnsi="仿宋" w:eastAsia="仿宋" w:cs="仿宋"/>
          <w:color w:val="000000"/>
          <w:kern w:val="0"/>
          <w:sz w:val="30"/>
          <w:szCs w:val="30"/>
          <w:lang w:val="en-US" w:eastAsia="zh-CN" w:bidi="ar"/>
        </w:rPr>
        <w:t>业集群式发展。</w:t>
      </w:r>
    </w:p>
    <w:p w14:paraId="33649A86">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pPr>
      <w:r>
        <w:rPr>
          <w:rFonts w:ascii="仿宋" w:hAnsi="仿宋" w:eastAsia="仿宋" w:cs="仿宋"/>
          <w:color w:val="000000"/>
          <w:kern w:val="0"/>
          <w:sz w:val="30"/>
          <w:szCs w:val="30"/>
          <w:lang w:val="en-US" w:eastAsia="zh-CN" w:bidi="ar"/>
        </w:rPr>
        <w:t>（六）负责提出工业和信息化固定资产投资规模和方向</w:t>
      </w:r>
      <w:r>
        <w:rPr>
          <w:rFonts w:hint="eastAsia" w:ascii="仿宋" w:hAnsi="仿宋" w:eastAsia="仿宋" w:cs="仿宋"/>
          <w:color w:val="000000"/>
          <w:kern w:val="0"/>
          <w:sz w:val="30"/>
          <w:szCs w:val="30"/>
          <w:lang w:val="en-US" w:eastAsia="zh-CN" w:bidi="ar"/>
        </w:rPr>
        <w:t>,提出由国家、省、市安排的财政性建设资金申报意见；安排和管理全区工业和信息化专项资金；按规定权限，审批、核准规划内和年度计划规模内工业和信息化固定资产投资项目。</w:t>
      </w:r>
    </w:p>
    <w:p w14:paraId="766B2F13">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pPr>
      <w:r>
        <w:rPr>
          <w:rFonts w:ascii="仿宋" w:hAnsi="仿宋" w:eastAsia="仿宋" w:cs="仿宋"/>
          <w:color w:val="000000"/>
          <w:kern w:val="0"/>
          <w:sz w:val="30"/>
          <w:szCs w:val="30"/>
          <w:lang w:val="en-US" w:eastAsia="zh-CN" w:bidi="ar"/>
        </w:rPr>
        <w:t>（七）承担全区工业节能管理工作，负责工业节能监察</w:t>
      </w:r>
      <w:r>
        <w:rPr>
          <w:rFonts w:hint="eastAsia" w:ascii="仿宋" w:hAnsi="仿宋" w:eastAsia="仿宋" w:cs="仿宋"/>
          <w:color w:val="000000"/>
          <w:kern w:val="0"/>
          <w:sz w:val="30"/>
          <w:szCs w:val="30"/>
          <w:lang w:val="en-US" w:eastAsia="zh-CN" w:bidi="ar"/>
        </w:rPr>
        <w:t>执法工作；拟订并组织实施工业能源节约、资源综合利用、清洁生产促进政策和建设规划。</w:t>
      </w:r>
    </w:p>
    <w:p w14:paraId="148AA832">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pPr>
      <w:r>
        <w:rPr>
          <w:rFonts w:ascii="仿宋" w:hAnsi="仿宋" w:eastAsia="仿宋" w:cs="仿宋"/>
          <w:color w:val="000000"/>
          <w:kern w:val="0"/>
          <w:sz w:val="30"/>
          <w:szCs w:val="30"/>
          <w:lang w:val="en-US" w:eastAsia="zh-CN" w:bidi="ar"/>
        </w:rPr>
        <w:t>（八）推进工业体制改革和管理创新，提高行业综合素</w:t>
      </w:r>
      <w:r>
        <w:rPr>
          <w:rFonts w:hint="eastAsia" w:ascii="仿宋" w:hAnsi="仿宋" w:eastAsia="仿宋" w:cs="仿宋"/>
          <w:color w:val="000000"/>
          <w:kern w:val="0"/>
          <w:sz w:val="30"/>
          <w:szCs w:val="30"/>
          <w:lang w:val="en-US" w:eastAsia="zh-CN" w:bidi="ar"/>
        </w:rPr>
        <w:t>质和核心竞争力；建立服务全区重点工业企业（项目）的工作体系，提出支持重点工业企业（项目）的政策、建议，着力协调优化重点工业企业生产经营环境；制定企业经营管理人员培训规划，组织实施企业经营管理人员培训工作，加强企业家队伍建设。</w:t>
      </w:r>
    </w:p>
    <w:p w14:paraId="4D2A1A75">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000000"/>
          <w:kern w:val="0"/>
          <w:sz w:val="30"/>
          <w:szCs w:val="30"/>
          <w:lang w:val="en-US" w:eastAsia="zh-CN" w:bidi="ar"/>
        </w:rPr>
      </w:pPr>
      <w:r>
        <w:rPr>
          <w:rFonts w:ascii="仿宋" w:hAnsi="仿宋" w:eastAsia="仿宋" w:cs="仿宋"/>
          <w:color w:val="000000"/>
          <w:kern w:val="0"/>
          <w:sz w:val="30"/>
          <w:szCs w:val="30"/>
          <w:lang w:val="en-US" w:eastAsia="zh-CN" w:bidi="ar"/>
        </w:rPr>
        <w:t>（九）促进银企合作，建立和拓宽企业融资渠道，协调</w:t>
      </w:r>
      <w:r>
        <w:rPr>
          <w:rFonts w:hint="eastAsia" w:ascii="仿宋" w:hAnsi="仿宋" w:eastAsia="仿宋" w:cs="仿宋"/>
          <w:color w:val="000000"/>
          <w:kern w:val="0"/>
          <w:sz w:val="30"/>
          <w:szCs w:val="30"/>
          <w:lang w:val="en-US" w:eastAsia="zh-CN" w:bidi="ar"/>
        </w:rPr>
        <w:t>解决企业融资有关问题，优化企业投融资环境；负责对全区中小企业信用担保机构设立的前期审核、日常监管工作。</w:t>
      </w:r>
    </w:p>
    <w:p w14:paraId="15DC6C7C">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pPr>
      <w:r>
        <w:rPr>
          <w:rFonts w:hint="eastAsia" w:ascii="仿宋" w:hAnsi="仿宋" w:eastAsia="仿宋" w:cs="仿宋"/>
          <w:color w:val="000000"/>
          <w:kern w:val="0"/>
          <w:sz w:val="30"/>
          <w:szCs w:val="30"/>
          <w:lang w:val="en-US" w:eastAsia="zh-CN" w:bidi="ar"/>
        </w:rPr>
        <w:t>（十）指导全区中小企业发展；协调解决中小企业的重大问题，建立和完善中小企业服务体系；负责小企业创业基地的规划和建设，组织实施创业企业的扶持、培育工作。</w:t>
      </w:r>
    </w:p>
    <w:p w14:paraId="258B46B8">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pPr>
      <w:r>
        <w:rPr>
          <w:rFonts w:ascii="仿宋" w:hAnsi="仿宋" w:eastAsia="仿宋" w:cs="仿宋"/>
          <w:color w:val="000000"/>
          <w:kern w:val="0"/>
          <w:sz w:val="30"/>
          <w:szCs w:val="30"/>
          <w:lang w:val="en-US" w:eastAsia="zh-CN" w:bidi="ar"/>
        </w:rPr>
        <w:t>（十ー)统筹推进全区信息化工作，组织制定相关政策</w:t>
      </w:r>
      <w:r>
        <w:rPr>
          <w:rFonts w:hint="eastAsia" w:ascii="仿宋" w:hAnsi="仿宋" w:eastAsia="仿宋" w:cs="仿宋"/>
          <w:color w:val="000000"/>
          <w:kern w:val="0"/>
          <w:sz w:val="30"/>
          <w:szCs w:val="30"/>
          <w:lang w:val="en-US" w:eastAsia="zh-CN" w:bidi="ar"/>
        </w:rPr>
        <w:t>并协调信息化建设中的重大问题。指导协调电子商务发展。</w:t>
      </w:r>
    </w:p>
    <w:p w14:paraId="75DEE840">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000000"/>
          <w:kern w:val="0"/>
          <w:sz w:val="30"/>
          <w:szCs w:val="30"/>
          <w:lang w:val="en-US" w:eastAsia="zh-CN" w:bidi="ar"/>
        </w:rPr>
      </w:pPr>
      <w:r>
        <w:rPr>
          <w:rFonts w:ascii="仿宋" w:hAnsi="仿宋" w:eastAsia="仿宋" w:cs="仿宋"/>
          <w:color w:val="000000"/>
          <w:kern w:val="0"/>
          <w:sz w:val="30"/>
          <w:szCs w:val="30"/>
          <w:lang w:val="en-US" w:eastAsia="zh-CN" w:bidi="ar"/>
        </w:rPr>
        <w:t>（十ニ)管理区属企业，负责指导和处理区属大集体企</w:t>
      </w:r>
      <w:r>
        <w:rPr>
          <w:rFonts w:hint="eastAsia" w:ascii="仿宋" w:hAnsi="仿宋" w:eastAsia="仿宋" w:cs="仿宋"/>
          <w:color w:val="000000"/>
          <w:kern w:val="0"/>
          <w:sz w:val="30"/>
          <w:szCs w:val="30"/>
          <w:lang w:val="en-US" w:eastAsia="zh-CN" w:bidi="ar"/>
        </w:rPr>
        <w:t>业的改制和发展工作，做好信访维稳及矛盾纠纷的化解工作。</w:t>
      </w:r>
    </w:p>
    <w:p w14:paraId="615BE4A2">
      <w:pPr>
        <w:keepNext w:val="0"/>
        <w:keepLines w:val="0"/>
        <w:pageBreakBefore w:val="0"/>
        <w:widowControl/>
        <w:numPr>
          <w:ilvl w:val="0"/>
          <w:numId w:val="4"/>
        </w:numPr>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开展工业交通和信息化的对外合作与交流。</w:t>
      </w:r>
    </w:p>
    <w:p w14:paraId="73BF4E0F">
      <w:pPr>
        <w:keepNext w:val="0"/>
        <w:keepLines w:val="0"/>
        <w:pageBreakBefore w:val="0"/>
        <w:widowControl/>
        <w:numPr>
          <w:ilvl w:val="0"/>
          <w:numId w:val="4"/>
        </w:numPr>
        <w:suppressLineNumbers w:val="0"/>
        <w:kinsoku/>
        <w:wordWrap/>
        <w:overflowPunct/>
        <w:topLinePunct w:val="0"/>
        <w:autoSpaceDE/>
        <w:autoSpaceDN/>
        <w:bidi w:val="0"/>
        <w:adjustRightInd/>
        <w:snapToGrid/>
        <w:ind w:left="0" w:leftChars="0" w:firstLine="600" w:firstLineChars="200"/>
        <w:jc w:val="left"/>
        <w:textAlignment w:val="auto"/>
        <w:rPr>
          <w:rFonts w:hint="eastAsia" w:ascii="仿宋" w:hAnsi="仿宋" w:eastAsia="仿宋" w:cs="仿宋"/>
          <w:color w:val="000000"/>
          <w:kern w:val="0"/>
          <w:sz w:val="30"/>
          <w:szCs w:val="30"/>
          <w:lang w:val="en-US" w:eastAsia="zh-CN" w:bidi="ar"/>
        </w:rPr>
      </w:pPr>
      <w:r>
        <w:rPr>
          <w:rFonts w:ascii="仿宋" w:hAnsi="仿宋" w:eastAsia="仿宋" w:cs="仿宋"/>
          <w:color w:val="000000"/>
          <w:kern w:val="0"/>
          <w:sz w:val="30"/>
          <w:szCs w:val="30"/>
          <w:lang w:val="en-US" w:eastAsia="zh-CN" w:bidi="ar"/>
        </w:rPr>
        <w:t>贯彻执行国家和省、市有关交通运输的法律法</w:t>
      </w:r>
      <w:r>
        <w:rPr>
          <w:rFonts w:hint="eastAsia" w:ascii="仿宋" w:hAnsi="仿宋" w:eastAsia="仿宋" w:cs="仿宋"/>
          <w:color w:val="000000"/>
          <w:kern w:val="0"/>
          <w:sz w:val="30"/>
          <w:szCs w:val="30"/>
          <w:lang w:val="en-US" w:eastAsia="zh-CN" w:bidi="ar"/>
        </w:rPr>
        <w:t>规和政策，拟订有关地方性政策措施。在全区经济社会发展总体规划的框架内，拟订全区公路行业规划、政策、标准并组织实施。</w:t>
      </w:r>
    </w:p>
    <w:p w14:paraId="54688BED">
      <w:pPr>
        <w:keepNext w:val="0"/>
        <w:keepLines w:val="0"/>
        <w:pageBreakBefore w:val="0"/>
        <w:widowControl/>
        <w:numPr>
          <w:ilvl w:val="0"/>
          <w:numId w:val="4"/>
        </w:numPr>
        <w:suppressLineNumbers w:val="0"/>
        <w:kinsoku/>
        <w:wordWrap/>
        <w:overflowPunct/>
        <w:topLinePunct w:val="0"/>
        <w:autoSpaceDE/>
        <w:autoSpaceDN/>
        <w:bidi w:val="0"/>
        <w:adjustRightInd/>
        <w:snapToGrid/>
        <w:ind w:left="0" w:leftChars="0" w:firstLine="600" w:firstLineChars="200"/>
        <w:jc w:val="left"/>
        <w:textAlignment w:val="auto"/>
        <w:rPr>
          <w:rFonts w:hint="eastAsia" w:ascii="仿宋" w:hAnsi="仿宋" w:eastAsia="仿宋" w:cs="仿宋"/>
          <w:color w:val="000000"/>
          <w:kern w:val="0"/>
          <w:sz w:val="30"/>
          <w:szCs w:val="30"/>
          <w:lang w:val="en-US" w:eastAsia="zh-CN" w:bidi="ar"/>
        </w:rPr>
      </w:pPr>
      <w:r>
        <w:rPr>
          <w:rFonts w:ascii="仿宋" w:hAnsi="仿宋" w:eastAsia="仿宋" w:cs="仿宋"/>
          <w:color w:val="000000"/>
          <w:kern w:val="0"/>
          <w:sz w:val="30"/>
          <w:szCs w:val="30"/>
          <w:lang w:val="en-US" w:eastAsia="zh-CN" w:bidi="ar"/>
        </w:rPr>
        <w:t>承担公路运输体系的协调工作，在全区经济社</w:t>
      </w:r>
      <w:r>
        <w:rPr>
          <w:rFonts w:hint="eastAsia" w:ascii="仿宋" w:hAnsi="仿宋" w:eastAsia="仿宋" w:cs="仿宋"/>
          <w:color w:val="000000"/>
          <w:kern w:val="0"/>
          <w:sz w:val="30"/>
          <w:szCs w:val="30"/>
          <w:lang w:val="en-US" w:eastAsia="zh-CN" w:bidi="ar"/>
        </w:rPr>
        <w:t>会发展总体规划的框架内，组织编制公路运输体系规划，指导公路运输枢纽管理。参与拟订物流业发展战略和规划，拟订有关具体办法并监督实施。</w:t>
      </w:r>
    </w:p>
    <w:p w14:paraId="5CEFEFC4">
      <w:pPr>
        <w:keepNext w:val="0"/>
        <w:keepLines w:val="0"/>
        <w:pageBreakBefore w:val="0"/>
        <w:widowControl/>
        <w:numPr>
          <w:ilvl w:val="0"/>
          <w:numId w:val="4"/>
        </w:numPr>
        <w:suppressLineNumbers w:val="0"/>
        <w:kinsoku/>
        <w:wordWrap/>
        <w:overflowPunct/>
        <w:topLinePunct w:val="0"/>
        <w:autoSpaceDE/>
        <w:autoSpaceDN/>
        <w:bidi w:val="0"/>
        <w:adjustRightInd/>
        <w:snapToGrid/>
        <w:ind w:left="0" w:leftChars="0" w:firstLine="600" w:firstLineChars="200"/>
        <w:jc w:val="left"/>
        <w:textAlignment w:val="auto"/>
        <w:rPr>
          <w:rFonts w:hint="eastAsia" w:ascii="仿宋" w:hAnsi="仿宋" w:eastAsia="仿宋" w:cs="仿宋"/>
          <w:color w:val="000000"/>
          <w:kern w:val="0"/>
          <w:sz w:val="30"/>
          <w:szCs w:val="30"/>
          <w:lang w:val="en-US" w:eastAsia="zh-CN" w:bidi="ar"/>
        </w:rPr>
      </w:pPr>
      <w:r>
        <w:rPr>
          <w:rFonts w:ascii="仿宋" w:hAnsi="仿宋" w:eastAsia="仿宋" w:cs="仿宋"/>
          <w:color w:val="000000"/>
          <w:kern w:val="0"/>
          <w:sz w:val="30"/>
          <w:szCs w:val="30"/>
          <w:lang w:val="en-US" w:eastAsia="zh-CN" w:bidi="ar"/>
        </w:rPr>
        <w:t>负责提出公路固定资产投资规模和区财政性资</w:t>
      </w:r>
      <w:r>
        <w:rPr>
          <w:rFonts w:hint="eastAsia" w:ascii="仿宋" w:hAnsi="仿宋" w:eastAsia="仿宋" w:cs="仿宋"/>
          <w:color w:val="000000"/>
          <w:kern w:val="0"/>
          <w:sz w:val="30"/>
          <w:szCs w:val="30"/>
          <w:lang w:val="en-US" w:eastAsia="zh-CN" w:bidi="ar"/>
        </w:rPr>
        <w:t>金安排意见，按区政府规定权限审批、核准全区规划内和年度计划规模内固定投资项目。拟订公路有关规费政策并监督实施，提出有关财政、土地、价格等政策建议。</w:t>
      </w:r>
    </w:p>
    <w:p w14:paraId="6522005F">
      <w:pPr>
        <w:keepNext w:val="0"/>
        <w:keepLines w:val="0"/>
        <w:pageBreakBefore w:val="0"/>
        <w:widowControl/>
        <w:numPr>
          <w:ilvl w:val="0"/>
          <w:numId w:val="4"/>
        </w:numPr>
        <w:suppressLineNumbers w:val="0"/>
        <w:kinsoku/>
        <w:wordWrap/>
        <w:overflowPunct/>
        <w:topLinePunct w:val="0"/>
        <w:autoSpaceDE/>
        <w:autoSpaceDN/>
        <w:bidi w:val="0"/>
        <w:adjustRightInd/>
        <w:snapToGrid/>
        <w:ind w:left="0" w:leftChars="0" w:firstLine="600" w:firstLineChars="200"/>
        <w:jc w:val="left"/>
        <w:textAlignment w:val="auto"/>
        <w:rPr>
          <w:rFonts w:ascii="仿宋" w:hAnsi="仿宋" w:eastAsia="仿宋" w:cs="仿宋"/>
          <w:color w:val="000000"/>
          <w:kern w:val="0"/>
          <w:sz w:val="30"/>
          <w:szCs w:val="30"/>
          <w:lang w:val="en-US" w:eastAsia="zh-CN" w:bidi="ar"/>
        </w:rPr>
      </w:pPr>
      <w:r>
        <w:rPr>
          <w:rFonts w:ascii="仿宋" w:hAnsi="仿宋" w:eastAsia="仿宋" w:cs="仿宋"/>
          <w:color w:val="000000"/>
          <w:kern w:val="0"/>
          <w:sz w:val="30"/>
          <w:szCs w:val="30"/>
          <w:lang w:val="en-US" w:eastAsia="zh-CN" w:bidi="ar"/>
        </w:rPr>
        <w:t xml:space="preserve">负责盐业行政管理和专营工作。 </w:t>
      </w:r>
    </w:p>
    <w:p w14:paraId="1F19F123">
      <w:pPr>
        <w:keepNext w:val="0"/>
        <w:keepLines w:val="0"/>
        <w:pageBreakBefore w:val="0"/>
        <w:widowControl/>
        <w:numPr>
          <w:ilvl w:val="0"/>
          <w:numId w:val="4"/>
        </w:numPr>
        <w:suppressLineNumbers w:val="0"/>
        <w:kinsoku/>
        <w:wordWrap/>
        <w:overflowPunct/>
        <w:topLinePunct w:val="0"/>
        <w:autoSpaceDE/>
        <w:autoSpaceDN/>
        <w:bidi w:val="0"/>
        <w:adjustRightInd/>
        <w:snapToGrid/>
        <w:ind w:left="0" w:leftChars="0" w:firstLine="600" w:firstLineChars="200"/>
        <w:jc w:val="left"/>
        <w:textAlignment w:val="auto"/>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协调本管辖内渔船检验和监督管理工作。</w:t>
      </w:r>
    </w:p>
    <w:p w14:paraId="6DC2D0D4">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600" w:firstLineChars="200"/>
        <w:jc w:val="left"/>
        <w:textAlignment w:val="auto"/>
        <w:rPr>
          <w:rFonts w:hint="eastAsia" w:ascii="仿宋_GB2312" w:hAnsi="仿宋_GB2312" w:eastAsia="仿宋_GB2312" w:cs="仿宋_GB2312"/>
        </w:rPr>
      </w:pPr>
      <w:r>
        <w:rPr>
          <w:rFonts w:hint="eastAsia" w:ascii="仿宋" w:hAnsi="仿宋" w:eastAsia="仿宋" w:cs="仿宋"/>
          <w:color w:val="000000"/>
          <w:kern w:val="0"/>
          <w:sz w:val="30"/>
          <w:szCs w:val="30"/>
          <w:lang w:val="en-US" w:eastAsia="zh-CN" w:bidi="ar"/>
        </w:rPr>
        <w:t>（十九）完成区委、区政府交办的其他任务。</w:t>
      </w:r>
    </w:p>
    <w:p w14:paraId="4CBE0D1B">
      <w:pPr>
        <w:pStyle w:val="17"/>
        <w:numPr>
          <w:ilvl w:val="0"/>
          <w:numId w:val="0"/>
        </w:numPr>
        <w:bidi w:val="0"/>
        <w:ind w:left="420" w:leftChars="200" w:firstLine="320" w:firstLineChars="100"/>
        <w:rPr>
          <w:rFonts w:hint="eastAsia"/>
        </w:rPr>
      </w:pPr>
      <w:r>
        <w:rPr>
          <w:rFonts w:hint="eastAsia"/>
        </w:rPr>
        <w:t>二、机构设置及人员情况</w:t>
      </w:r>
    </w:p>
    <w:p w14:paraId="77FAE9DE">
      <w:pPr>
        <w:pStyle w:val="18"/>
        <w:bidi w:val="0"/>
        <w:rPr>
          <w:rFonts w:hint="eastAsia" w:ascii="仿宋_GB2312" w:hAnsi="仿宋_GB2312" w:eastAsia="仿宋_GB2312" w:cs="仿宋_GB2312"/>
        </w:rPr>
      </w:pPr>
      <w:r>
        <w:rPr>
          <w:rFonts w:hint="eastAsia" w:ascii="仿宋_GB2312" w:hAnsi="仿宋_GB2312" w:eastAsia="仿宋_GB2312" w:cs="仿宋_GB2312"/>
          <w:lang w:eastAsia="zh-CN"/>
        </w:rPr>
        <w:t>景德镇市珠山区工业和信息化局共有预算单位2个，包括景德镇市珠山区工业和信息化局和1个所属预算单位，所属预算单位具体包括：</w:t>
      </w:r>
      <w:r>
        <w:rPr>
          <w:rFonts w:hint="eastAsia" w:ascii="仿宋_GB2312" w:hAnsi="仿宋_GB2312" w:eastAsia="仿宋_GB2312" w:cs="仿宋_GB2312"/>
        </w:rPr>
        <w:t>珠山区交通运输事业发展中心。</w:t>
      </w:r>
    </w:p>
    <w:p w14:paraId="47105443">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ascii="仿宋" w:hAnsi="仿宋" w:eastAsia="仿宋" w:cs="仿宋"/>
          <w:color w:val="000000"/>
          <w:kern w:val="0"/>
          <w:sz w:val="32"/>
          <w:szCs w:val="32"/>
          <w:lang w:val="en-US" w:eastAsia="zh-CN" w:bidi="ar"/>
        </w:rPr>
        <w:t>编制人数小计</w:t>
      </w:r>
      <w:r>
        <w:rPr>
          <w:rFonts w:hint="eastAsia" w:ascii="仿宋" w:hAnsi="仿宋" w:eastAsia="仿宋" w:cs="仿宋"/>
          <w:color w:val="000000"/>
          <w:kern w:val="0"/>
          <w:sz w:val="32"/>
          <w:szCs w:val="32"/>
          <w:lang w:val="en-US" w:eastAsia="zh-CN" w:bidi="ar"/>
        </w:rPr>
        <w:t>9</w:t>
      </w:r>
      <w:r>
        <w:rPr>
          <w:rFonts w:ascii="仿宋" w:hAnsi="仿宋" w:eastAsia="仿宋" w:cs="仿宋"/>
          <w:color w:val="000000"/>
          <w:kern w:val="0"/>
          <w:sz w:val="32"/>
          <w:szCs w:val="32"/>
          <w:lang w:val="en-US" w:eastAsia="zh-CN" w:bidi="ar"/>
        </w:rPr>
        <w:t>人,其中：行政编制人数4人,参照公务</w:t>
      </w:r>
      <w:r>
        <w:rPr>
          <w:rFonts w:hint="eastAsia" w:ascii="仿宋" w:hAnsi="仿宋" w:eastAsia="仿宋" w:cs="仿宋"/>
          <w:color w:val="000000"/>
          <w:kern w:val="0"/>
          <w:sz w:val="32"/>
          <w:szCs w:val="32"/>
          <w:lang w:val="en-US" w:eastAsia="zh-CN" w:bidi="ar"/>
        </w:rPr>
        <w:t>员管理的事业编制人数0人,全部补助事业编制人数5人,自收自支编制人数0人。实有人数小计9人,其中：在职人数小计9人,行政在职人数4人,参照公务员管理的事业单位在职人数0人,全部补助事业在职人数5人。离休人数小计0人,退休人数小计1人,退职人员0人,遗属人数0人。</w:t>
      </w:r>
    </w:p>
    <w:p w14:paraId="1E4BF201">
      <w:pPr>
        <w:pStyle w:val="18"/>
        <w:bidi w:val="0"/>
        <w:rPr>
          <w:rFonts w:hint="eastAsia" w:ascii="仿宋_GB2312" w:hAnsi="仿宋_GB2312" w:eastAsia="仿宋_GB2312" w:cs="仿宋_GB2312"/>
        </w:rPr>
      </w:pPr>
    </w:p>
    <w:p w14:paraId="1ACF50BA">
      <w:pPr>
        <w:pStyle w:val="18"/>
        <w:bidi w:val="0"/>
        <w:rPr>
          <w:rFonts w:hint="eastAsia" w:ascii="仿宋_GB2312" w:hAnsi="仿宋_GB2312" w:eastAsia="仿宋_GB2312" w:cs="仿宋_GB2312"/>
        </w:rPr>
      </w:pPr>
    </w:p>
    <w:p w14:paraId="45148D59">
      <w:pPr>
        <w:widowControl/>
        <w:spacing w:line="580" w:lineRule="exact"/>
        <w:jc w:val="center"/>
        <w:rPr>
          <w:rFonts w:ascii="仿宋_GB2312" w:eastAsia="仿宋_GB2312"/>
          <w:b/>
          <w:szCs w:val="30"/>
        </w:rPr>
      </w:pPr>
    </w:p>
    <w:p w14:paraId="5A6BA21E">
      <w:pPr>
        <w:pStyle w:val="17"/>
        <w:numPr>
          <w:ilvl w:val="0"/>
          <w:numId w:val="0"/>
        </w:numPr>
        <w:bidi w:val="0"/>
        <w:ind w:left="420" w:leftChars="200"/>
        <w:jc w:val="center"/>
        <w:rPr>
          <w:rFonts w:hint="eastAsia"/>
          <w:lang w:eastAsia="zh-CN"/>
        </w:rPr>
      </w:pPr>
      <w:r>
        <w:rPr>
          <w:rFonts w:hint="eastAsia"/>
          <w:lang w:eastAsia="zh-CN"/>
        </w:rPr>
        <w:t>第二部分  景德镇市珠山区工业和信息化局2026年部门预算表</w:t>
      </w:r>
    </w:p>
    <w:p w14:paraId="42ABDB2F">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14:paraId="6FEF9CD4">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2CD9D794">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645324FE">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1AE211A1">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133景德镇市珠山区工业和信息化局</w:t>
            </w:r>
          </w:p>
        </w:tc>
        <w:tc>
          <w:tcPr>
            <w:tcW w:w="1655" w:type="pct"/>
            <w:noWrap/>
            <w:vAlign w:val="bottom"/>
          </w:tcPr>
          <w:p w14:paraId="49F11A3E">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79D41C23">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462221CD">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46255BB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20ABDEC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68134493">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015E0E5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780A7F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28AA02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3B5360E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3DDBE37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3DB7AB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7F4DBD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454.45</w:t>
            </w:r>
          </w:p>
        </w:tc>
        <w:tc>
          <w:tcPr>
            <w:tcW w:w="1655" w:type="pct"/>
            <w:tcBorders>
              <w:top w:val="nil"/>
              <w:left w:val="nil"/>
              <w:bottom w:val="single" w:color="000000" w:sz="4" w:space="0"/>
              <w:right w:val="single" w:color="000000" w:sz="4" w:space="0"/>
            </w:tcBorders>
            <w:noWrap/>
            <w:vAlign w:val="center"/>
          </w:tcPr>
          <w:p w14:paraId="6C2212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社会保障和就业支出</w:t>
            </w:r>
          </w:p>
        </w:tc>
        <w:tc>
          <w:tcPr>
            <w:tcW w:w="829" w:type="pct"/>
            <w:tcBorders>
              <w:top w:val="nil"/>
              <w:left w:val="nil"/>
              <w:bottom w:val="single" w:color="000000" w:sz="4" w:space="0"/>
              <w:right w:val="single" w:color="000000" w:sz="4" w:space="0"/>
            </w:tcBorders>
            <w:noWrap/>
            <w:vAlign w:val="center"/>
          </w:tcPr>
          <w:p w14:paraId="614E12E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12.78</w:t>
            </w:r>
          </w:p>
        </w:tc>
      </w:tr>
      <w:tr w14:paraId="7C29921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F23717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4D9D41F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454.45</w:t>
            </w:r>
          </w:p>
        </w:tc>
        <w:tc>
          <w:tcPr>
            <w:tcW w:w="1655" w:type="pct"/>
            <w:tcBorders>
              <w:top w:val="nil"/>
              <w:left w:val="nil"/>
              <w:bottom w:val="single" w:color="000000" w:sz="4" w:space="0"/>
              <w:right w:val="single" w:color="000000" w:sz="4" w:space="0"/>
            </w:tcBorders>
            <w:noWrap/>
            <w:vAlign w:val="center"/>
          </w:tcPr>
          <w:p w14:paraId="2B91EE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234B94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5.39</w:t>
            </w:r>
          </w:p>
        </w:tc>
      </w:tr>
      <w:tr w14:paraId="3CC0774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20D8DF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649D79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8989BA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交通运输支出</w:t>
            </w:r>
          </w:p>
        </w:tc>
        <w:tc>
          <w:tcPr>
            <w:tcW w:w="829" w:type="pct"/>
            <w:tcBorders>
              <w:top w:val="nil"/>
              <w:left w:val="nil"/>
              <w:bottom w:val="single" w:color="000000" w:sz="4" w:space="0"/>
              <w:right w:val="single" w:color="000000" w:sz="4" w:space="0"/>
            </w:tcBorders>
            <w:noWrap/>
            <w:vAlign w:val="center"/>
          </w:tcPr>
          <w:p w14:paraId="55C1D7F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49.52</w:t>
            </w:r>
          </w:p>
        </w:tc>
      </w:tr>
      <w:tr w14:paraId="6751832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A88CC2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32EA5AA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4C46C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资源勘探工业信息等支出</w:t>
            </w:r>
          </w:p>
        </w:tc>
        <w:tc>
          <w:tcPr>
            <w:tcW w:w="829" w:type="pct"/>
            <w:tcBorders>
              <w:top w:val="nil"/>
              <w:left w:val="nil"/>
              <w:bottom w:val="single" w:color="000000" w:sz="4" w:space="0"/>
              <w:right w:val="single" w:color="000000" w:sz="4" w:space="0"/>
            </w:tcBorders>
            <w:noWrap/>
            <w:vAlign w:val="center"/>
          </w:tcPr>
          <w:p w14:paraId="2DB4432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385.65</w:t>
            </w:r>
          </w:p>
        </w:tc>
      </w:tr>
      <w:tr w14:paraId="3225BCA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8B660B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346F779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44495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083EFF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9.52</w:t>
            </w:r>
          </w:p>
        </w:tc>
      </w:tr>
      <w:tr w14:paraId="471571A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A30404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3339CE0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58DF5D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78BB59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5E0D2E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EB7E32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10AB3C3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734A1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EA8C0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1EF9D1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4545D5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57082DF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AE793B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7CADD7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CA6018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928895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4B2D06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FEB761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0E0937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C35868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7B57B6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587AF1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F72079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9A56CC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8D58EE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08B1A9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1DDFC3C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FD5ACA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35EC0A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E2C90F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5CDECF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4DD6D65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4E851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41B53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6F9229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427F49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9F4C9C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78C13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12BCAD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BB3E58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85F691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5CAAFB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9336B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2A494C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B4111D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C7EB98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19EBD3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6BA23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34B5D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21999C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EA6AE2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6F4AEC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4969A8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6C1BD3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83951F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63818A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8B332B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0A17A7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3E9C05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8FC85D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69AD61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592B8D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934A7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3EBF1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E1176E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65DA1F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2EE751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DF454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4C7C5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F8A523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0E1C65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C38CD7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62DB47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94831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691F37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ED89F1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75B46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5F4AB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2BA678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2E863A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A66AC1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249674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86C76C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164405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58E804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397A1C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1E0855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53DE1E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EB111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8F70EB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69F283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5BB5D3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244A0E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AAA413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DE816F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F463F1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6B5580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B68CB3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6DCD0C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B704B5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FCA04F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F5E922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8CF2C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3EDDFE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69FA28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A51CCE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F70070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061116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0DDDFC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E39387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2CF9B6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1C67D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A58775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7E0687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29ED33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06724D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D3A55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276178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270A4D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AA8CD8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6EF9761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3CD6E9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454.45</w:t>
            </w:r>
          </w:p>
        </w:tc>
        <w:tc>
          <w:tcPr>
            <w:tcW w:w="1655" w:type="pct"/>
            <w:tcBorders>
              <w:top w:val="nil"/>
              <w:left w:val="nil"/>
              <w:bottom w:val="single" w:color="auto" w:sz="4" w:space="0"/>
              <w:right w:val="single" w:color="000000" w:sz="4" w:space="0"/>
            </w:tcBorders>
            <w:noWrap/>
            <w:vAlign w:val="center"/>
          </w:tcPr>
          <w:p w14:paraId="59F97E9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106AA05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462.87</w:t>
            </w:r>
          </w:p>
        </w:tc>
      </w:tr>
      <w:tr w14:paraId="3379CF35">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4231A37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2010EB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165AAE7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59CAA5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330A398F">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58669AD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2B4DDEC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8.42</w:t>
            </w:r>
          </w:p>
        </w:tc>
        <w:tc>
          <w:tcPr>
            <w:tcW w:w="1655" w:type="pct"/>
            <w:tcBorders>
              <w:top w:val="single" w:color="auto" w:sz="4" w:space="0"/>
              <w:left w:val="nil"/>
              <w:bottom w:val="single" w:color="auto" w:sz="4" w:space="0"/>
              <w:right w:val="single" w:color="000000" w:sz="4" w:space="0"/>
            </w:tcBorders>
            <w:noWrap/>
            <w:vAlign w:val="bottom"/>
          </w:tcPr>
          <w:p w14:paraId="4348098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67602E4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E725EE4">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1A0CE67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760BC7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462.87</w:t>
            </w:r>
          </w:p>
        </w:tc>
        <w:tc>
          <w:tcPr>
            <w:tcW w:w="1655" w:type="pct"/>
            <w:tcBorders>
              <w:top w:val="single" w:color="auto" w:sz="4" w:space="0"/>
              <w:left w:val="single" w:color="auto" w:sz="4" w:space="0"/>
              <w:bottom w:val="single" w:color="auto" w:sz="4" w:space="0"/>
              <w:right w:val="single" w:color="auto" w:sz="4" w:space="0"/>
            </w:tcBorders>
            <w:noWrap/>
            <w:vAlign w:val="center"/>
          </w:tcPr>
          <w:p w14:paraId="2C7AAA6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69E69BE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462.87</w:t>
            </w:r>
          </w:p>
        </w:tc>
      </w:tr>
    </w:tbl>
    <w:p w14:paraId="56C13ABC">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985"/>
        <w:gridCol w:w="898"/>
        <w:gridCol w:w="787"/>
        <w:gridCol w:w="865"/>
        <w:gridCol w:w="963"/>
        <w:gridCol w:w="625"/>
        <w:gridCol w:w="586"/>
        <w:gridCol w:w="661"/>
        <w:gridCol w:w="837"/>
        <w:gridCol w:w="761"/>
        <w:gridCol w:w="549"/>
        <w:gridCol w:w="499"/>
        <w:gridCol w:w="761"/>
        <w:gridCol w:w="623"/>
      </w:tblGrid>
      <w:tr w14:paraId="2749E1D8">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68A6B18F">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2CD954E9">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47B07903">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填报单位:133景德镇市珠山区工业和信息化局</w:t>
            </w:r>
          </w:p>
        </w:tc>
        <w:tc>
          <w:tcPr>
            <w:tcW w:w="422" w:type="pct"/>
            <w:tcBorders>
              <w:top w:val="nil"/>
              <w:left w:val="nil"/>
              <w:bottom w:val="single" w:color="auto" w:sz="4" w:space="0"/>
              <w:right w:val="nil"/>
            </w:tcBorders>
            <w:shd w:val="clear" w:color="auto" w:fill="auto"/>
            <w:noWrap/>
            <w:vAlign w:val="bottom"/>
          </w:tcPr>
          <w:p w14:paraId="0A762F35">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1287260B">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44B9388F">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6D6C0482">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5DD65712">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1E3899B8">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51173BFC">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08405E3E">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19286B3F">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5ED6AA13">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339D091D">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F34846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0A0FF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76F2A5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090A2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2E8FC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A58A5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B52CF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63C86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CD9DA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B9AA2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56E856A9">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04DD9AEE">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5755CF4A">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4A6AB884">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3560D8C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41DD548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7D19F1B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6085E69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2E624C38">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4F0C4577">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693BE5D4">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17376667">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781128B0">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7A9BCFED">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278DD905">
            <w:pPr>
              <w:widowControl/>
              <w:jc w:val="left"/>
              <w:rPr>
                <w:rFonts w:ascii="宋体" w:hAnsi="宋体" w:eastAsia="宋体" w:cs="Arial"/>
                <w:color w:val="000000"/>
                <w:kern w:val="0"/>
                <w:sz w:val="13"/>
                <w:szCs w:val="13"/>
              </w:rPr>
            </w:pPr>
          </w:p>
        </w:tc>
      </w:tr>
      <w:tr w14:paraId="01A85590">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64C2C6">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6CA00B">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CAEE6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BE588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2A0BD8">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2879E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4128D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5C4B0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11063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0FDAD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3C2BEA">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3026D8">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98E225">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5A357D">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587EFDB8">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0238EA">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A501F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462.87</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1F409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8.42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8E0A5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454.45</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9A719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454.45</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2E335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B7160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2F0AA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BC69C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F57B9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8ACFD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7F268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F19DA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7864944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06A9C681">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535FDF">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景德镇市珠山区工业和信息化局</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4DD16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337.06</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65082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4B6DB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337.06</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2D229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337.06</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38A03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9035A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3A96B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B6442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EF464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65BB5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4B36D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E657A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22C60DE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1CF7795B">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F9B039">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珠山区交通运输事业发展中心</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BEABD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125.80</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37EED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8.42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230B6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117.38</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545CF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117.38</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F22B8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A380A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4227B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588AF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69ADF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73AFB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2BEA2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B6072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12640DD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34ABF6F3">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36834FB7">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2812BB63">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75237424">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3B709B04">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133景德镇市珠山区工业和信息化局</w:t>
            </w:r>
          </w:p>
        </w:tc>
        <w:tc>
          <w:tcPr>
            <w:tcW w:w="914" w:type="pct"/>
            <w:tcBorders>
              <w:top w:val="nil"/>
              <w:left w:val="nil"/>
              <w:bottom w:val="nil"/>
              <w:right w:val="nil"/>
            </w:tcBorders>
            <w:shd w:val="clear" w:color="auto" w:fill="auto"/>
            <w:noWrap/>
            <w:vAlign w:val="bottom"/>
          </w:tcPr>
          <w:p w14:paraId="19B28F7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076705E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019AA752">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5D1C81BC">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F6A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4A88E9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721116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34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DCC993C">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46F7FB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43E9D1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6C3575CF">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3E55C2C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00ADB917">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454D2817">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5B4964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45E3AE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0501DF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2344AB9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7E70F6A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734F8D9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B08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7EF5F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814CD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462.87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00182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206.35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FC786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256.52</w:t>
            </w:r>
          </w:p>
        </w:tc>
      </w:tr>
      <w:tr w14:paraId="6A415B5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3A4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BD1CF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3092C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12.78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FF1B8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12.78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C32E8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DB17A5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24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F5373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3DD72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12.78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18820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12.78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C08C9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F23574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67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F5C72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5EC71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12.78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185AA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12.78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8BC61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BD3C1B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215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94FD4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2BC4B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5.39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51621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5.39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9C4BE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8906B2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90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8AFC1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1DD35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5.39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D2095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5.39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904BA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F40A54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5A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9F811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7032C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01BB7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9CF0B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33A20A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E1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153E5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C5048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0E283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D41B6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07A01D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C7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214</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8A7BC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交通运输支出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9F5CA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49.52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B8392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0FE8A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49.52</w:t>
            </w:r>
          </w:p>
        </w:tc>
      </w:tr>
      <w:tr w14:paraId="0E098F5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D2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21401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EDF0F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公路水路运输</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547FD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49.52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64F0E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89122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49.52</w:t>
            </w:r>
          </w:p>
        </w:tc>
      </w:tr>
      <w:tr w14:paraId="24495A7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76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2140106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3EE1B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公路养护</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77F17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44.72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66127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5655C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44.72</w:t>
            </w:r>
          </w:p>
        </w:tc>
      </w:tr>
      <w:tr w14:paraId="03FA625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3C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2140112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0F458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公路运输管理</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58E2D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4.80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69AB1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80530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4.80</w:t>
            </w:r>
          </w:p>
        </w:tc>
      </w:tr>
      <w:tr w14:paraId="475ACC5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136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B9C65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资源勘探工业信息等支出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D554B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385.65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3F897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178.65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31B9D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207.00</w:t>
            </w:r>
          </w:p>
        </w:tc>
      </w:tr>
      <w:tr w14:paraId="6F25564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38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E27C9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工业和信息产业</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38574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385.65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B915F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178.65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98AC7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207.00</w:t>
            </w:r>
          </w:p>
        </w:tc>
      </w:tr>
      <w:tr w14:paraId="3338599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3C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2150501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80176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7A6BC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113.92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E4F7C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113.92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729D0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B0894E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F6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2150550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78757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C6FC7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64.73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C7ACF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64.73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52C14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0855D2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DB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2150599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8E5D4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其他工业和信息产业支出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EC6A3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AE6EF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213A4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207.00</w:t>
            </w:r>
          </w:p>
        </w:tc>
      </w:tr>
      <w:tr w14:paraId="6296C2D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216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944B1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47EDD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9.52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D500F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9.52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863AC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A41966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464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9E154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3FEE7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9.52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1EDC3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9.52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0E6EA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C8E1FE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CD4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CBE16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4644C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9.52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23805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9.52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B6456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4D5933C2">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011417FE">
        <w:tblPrEx>
          <w:tblCellMar>
            <w:top w:w="0" w:type="dxa"/>
            <w:left w:w="108" w:type="dxa"/>
            <w:bottom w:w="0" w:type="dxa"/>
            <w:right w:w="108" w:type="dxa"/>
          </w:tblCellMar>
        </w:tblPrEx>
        <w:trPr>
          <w:trHeight w:val="585" w:hRule="atLeast"/>
          <w:tblHeader/>
        </w:trPr>
        <w:tc>
          <w:tcPr>
            <w:tcW w:w="5000" w:type="pct"/>
            <w:gridSpan w:val="7"/>
            <w:noWrap/>
            <w:vAlign w:val="center"/>
          </w:tcPr>
          <w:p w14:paraId="0845C9B6">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59B8C4BA">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3FFFC6A7">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填报单位:133景德镇市珠山区工业和信息化局</w:t>
            </w:r>
          </w:p>
        </w:tc>
        <w:tc>
          <w:tcPr>
            <w:tcW w:w="577" w:type="pct"/>
            <w:noWrap/>
            <w:vAlign w:val="bottom"/>
          </w:tcPr>
          <w:p w14:paraId="32DE707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49BA698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537B127B">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44BFB159">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26CD26B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751210B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2BD40715">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4F02B72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7FB5343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00BF376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5188463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0DEDA81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1796392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59325C1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6C19A92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E14D055">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5DE6113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454.45</w:t>
            </w:r>
          </w:p>
        </w:tc>
        <w:tc>
          <w:tcPr>
            <w:tcW w:w="948" w:type="pct"/>
            <w:tcBorders>
              <w:top w:val="nil"/>
              <w:left w:val="nil"/>
              <w:bottom w:val="single" w:color="000000" w:sz="4" w:space="0"/>
              <w:right w:val="single" w:color="000000" w:sz="4" w:space="0"/>
            </w:tcBorders>
            <w:noWrap/>
            <w:vAlign w:val="center"/>
          </w:tcPr>
          <w:p w14:paraId="2A8EB4D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社会保障和就业支出</w:t>
            </w:r>
          </w:p>
        </w:tc>
        <w:tc>
          <w:tcPr>
            <w:tcW w:w="577" w:type="pct"/>
            <w:tcBorders>
              <w:top w:val="nil"/>
              <w:left w:val="nil"/>
              <w:bottom w:val="single" w:color="000000" w:sz="4" w:space="0"/>
              <w:right w:val="single" w:color="000000" w:sz="4" w:space="0"/>
            </w:tcBorders>
            <w:noWrap/>
            <w:vAlign w:val="center"/>
          </w:tcPr>
          <w:p w14:paraId="63D165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12.78</w:t>
            </w:r>
          </w:p>
        </w:tc>
        <w:tc>
          <w:tcPr>
            <w:tcW w:w="612" w:type="pct"/>
            <w:tcBorders>
              <w:top w:val="nil"/>
              <w:left w:val="nil"/>
              <w:bottom w:val="single" w:color="000000" w:sz="4" w:space="0"/>
              <w:right w:val="single" w:color="000000" w:sz="4" w:space="0"/>
            </w:tcBorders>
            <w:noWrap/>
            <w:vAlign w:val="center"/>
          </w:tcPr>
          <w:p w14:paraId="1D20794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12.78</w:t>
            </w:r>
          </w:p>
        </w:tc>
        <w:tc>
          <w:tcPr>
            <w:tcW w:w="602" w:type="pct"/>
            <w:tcBorders>
              <w:top w:val="nil"/>
              <w:left w:val="nil"/>
              <w:bottom w:val="single" w:color="000000" w:sz="4" w:space="0"/>
              <w:right w:val="single" w:color="000000" w:sz="4" w:space="0"/>
            </w:tcBorders>
            <w:noWrap/>
            <w:vAlign w:val="center"/>
          </w:tcPr>
          <w:p w14:paraId="065B60E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3CA13D0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5484BA8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27ED0F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5CEFC4A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454.45</w:t>
            </w:r>
          </w:p>
        </w:tc>
        <w:tc>
          <w:tcPr>
            <w:tcW w:w="948" w:type="pct"/>
            <w:tcBorders>
              <w:top w:val="nil"/>
              <w:left w:val="single" w:color="000000" w:sz="4" w:space="0"/>
              <w:bottom w:val="single" w:color="000000" w:sz="4" w:space="0"/>
              <w:right w:val="single" w:color="000000" w:sz="4" w:space="0"/>
            </w:tcBorders>
            <w:noWrap/>
            <w:vAlign w:val="center"/>
          </w:tcPr>
          <w:p w14:paraId="18D8648F">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7B6617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5.39</w:t>
            </w:r>
          </w:p>
        </w:tc>
        <w:tc>
          <w:tcPr>
            <w:tcW w:w="612" w:type="pct"/>
            <w:tcBorders>
              <w:top w:val="nil"/>
              <w:left w:val="nil"/>
              <w:bottom w:val="single" w:color="000000" w:sz="4" w:space="0"/>
              <w:right w:val="single" w:color="000000" w:sz="4" w:space="0"/>
            </w:tcBorders>
            <w:noWrap/>
            <w:vAlign w:val="center"/>
          </w:tcPr>
          <w:p w14:paraId="33A39B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5.39</w:t>
            </w:r>
          </w:p>
        </w:tc>
        <w:tc>
          <w:tcPr>
            <w:tcW w:w="602" w:type="pct"/>
            <w:tcBorders>
              <w:top w:val="nil"/>
              <w:left w:val="nil"/>
              <w:bottom w:val="single" w:color="000000" w:sz="4" w:space="0"/>
              <w:right w:val="single" w:color="000000" w:sz="4" w:space="0"/>
            </w:tcBorders>
            <w:noWrap/>
            <w:vAlign w:val="center"/>
          </w:tcPr>
          <w:p w14:paraId="3F461B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1EC6AB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47AF07C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979D7CE">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06C594D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3F00F180">
            <w:pPr>
              <w:widowControl/>
              <w:snapToGrid w:val="0"/>
              <w:jc w:val="center"/>
              <w:textAlignment w:val="center"/>
              <w:rPr>
                <w:rFonts w:hint="eastAsia" w:asciiTheme="minorEastAsia" w:hAnsiTheme="minorEastAsia" w:cstheme="minorEastAsia"/>
                <w:color w:val="000000"/>
                <w:kern w:val="0"/>
                <w:sz w:val="21"/>
                <w:szCs w:val="21"/>
                <w:lang w:bidi="ar"/>
              </w:rPr>
            </w:pPr>
            <w:r>
              <w:t>交通运输支出</w:t>
            </w:r>
          </w:p>
        </w:tc>
        <w:tc>
          <w:tcPr>
            <w:tcW w:w="577" w:type="pct"/>
            <w:tcBorders>
              <w:top w:val="nil"/>
              <w:left w:val="nil"/>
              <w:bottom w:val="single" w:color="000000" w:sz="4" w:space="0"/>
              <w:right w:val="single" w:color="000000" w:sz="4" w:space="0"/>
            </w:tcBorders>
            <w:noWrap/>
            <w:vAlign w:val="center"/>
          </w:tcPr>
          <w:p w14:paraId="7C68D4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49.52</w:t>
            </w:r>
          </w:p>
        </w:tc>
        <w:tc>
          <w:tcPr>
            <w:tcW w:w="612" w:type="pct"/>
            <w:tcBorders>
              <w:top w:val="nil"/>
              <w:left w:val="nil"/>
              <w:bottom w:val="single" w:color="000000" w:sz="4" w:space="0"/>
              <w:right w:val="single" w:color="000000" w:sz="4" w:space="0"/>
            </w:tcBorders>
            <w:noWrap/>
            <w:vAlign w:val="center"/>
          </w:tcPr>
          <w:p w14:paraId="5A65D4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49.52</w:t>
            </w:r>
          </w:p>
        </w:tc>
        <w:tc>
          <w:tcPr>
            <w:tcW w:w="602" w:type="pct"/>
            <w:tcBorders>
              <w:top w:val="nil"/>
              <w:left w:val="nil"/>
              <w:bottom w:val="single" w:color="000000" w:sz="4" w:space="0"/>
              <w:right w:val="single" w:color="000000" w:sz="4" w:space="0"/>
            </w:tcBorders>
            <w:noWrap/>
            <w:vAlign w:val="center"/>
          </w:tcPr>
          <w:p w14:paraId="4F22C1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7C244D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10BA3DB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7055A3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36676D2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4753602E">
            <w:pPr>
              <w:widowControl/>
              <w:snapToGrid w:val="0"/>
              <w:jc w:val="center"/>
              <w:textAlignment w:val="center"/>
              <w:rPr>
                <w:rFonts w:hint="eastAsia" w:asciiTheme="minorEastAsia" w:hAnsiTheme="minorEastAsia" w:cstheme="minorEastAsia"/>
                <w:color w:val="000000"/>
                <w:kern w:val="0"/>
                <w:sz w:val="21"/>
                <w:szCs w:val="21"/>
                <w:lang w:bidi="ar"/>
              </w:rPr>
            </w:pPr>
            <w:r>
              <w:t>资源勘探工业信息等支出</w:t>
            </w:r>
          </w:p>
        </w:tc>
        <w:tc>
          <w:tcPr>
            <w:tcW w:w="577" w:type="pct"/>
            <w:tcBorders>
              <w:top w:val="nil"/>
              <w:left w:val="nil"/>
              <w:bottom w:val="single" w:color="000000" w:sz="4" w:space="0"/>
              <w:right w:val="single" w:color="000000" w:sz="4" w:space="0"/>
            </w:tcBorders>
            <w:noWrap/>
            <w:vAlign w:val="center"/>
          </w:tcPr>
          <w:p w14:paraId="7D2024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385.65</w:t>
            </w:r>
          </w:p>
        </w:tc>
        <w:tc>
          <w:tcPr>
            <w:tcW w:w="612" w:type="pct"/>
            <w:tcBorders>
              <w:top w:val="nil"/>
              <w:left w:val="nil"/>
              <w:bottom w:val="single" w:color="000000" w:sz="4" w:space="0"/>
              <w:right w:val="single" w:color="000000" w:sz="4" w:space="0"/>
            </w:tcBorders>
            <w:noWrap/>
            <w:vAlign w:val="center"/>
          </w:tcPr>
          <w:p w14:paraId="5E8552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385.65</w:t>
            </w:r>
          </w:p>
        </w:tc>
        <w:tc>
          <w:tcPr>
            <w:tcW w:w="602" w:type="pct"/>
            <w:tcBorders>
              <w:top w:val="nil"/>
              <w:left w:val="nil"/>
              <w:bottom w:val="single" w:color="000000" w:sz="4" w:space="0"/>
              <w:right w:val="single" w:color="000000" w:sz="4" w:space="0"/>
            </w:tcBorders>
            <w:noWrap/>
            <w:vAlign w:val="center"/>
          </w:tcPr>
          <w:p w14:paraId="00AF10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3888B7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6B9D332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9CBAE9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2B5A3E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4D6C6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住房保障支出</w:t>
            </w:r>
          </w:p>
        </w:tc>
        <w:tc>
          <w:tcPr>
            <w:tcW w:w="577" w:type="pct"/>
            <w:tcBorders>
              <w:top w:val="nil"/>
              <w:left w:val="nil"/>
              <w:bottom w:val="single" w:color="000000" w:sz="4" w:space="0"/>
              <w:right w:val="single" w:color="000000" w:sz="4" w:space="0"/>
            </w:tcBorders>
            <w:noWrap/>
            <w:vAlign w:val="center"/>
          </w:tcPr>
          <w:p w14:paraId="1CCA49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9.52</w:t>
            </w:r>
          </w:p>
        </w:tc>
        <w:tc>
          <w:tcPr>
            <w:tcW w:w="612" w:type="pct"/>
            <w:tcBorders>
              <w:top w:val="nil"/>
              <w:left w:val="nil"/>
              <w:bottom w:val="single" w:color="000000" w:sz="4" w:space="0"/>
              <w:right w:val="single" w:color="000000" w:sz="4" w:space="0"/>
            </w:tcBorders>
            <w:noWrap/>
            <w:vAlign w:val="center"/>
          </w:tcPr>
          <w:p w14:paraId="17C0EF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9.52</w:t>
            </w:r>
          </w:p>
        </w:tc>
        <w:tc>
          <w:tcPr>
            <w:tcW w:w="602" w:type="pct"/>
            <w:tcBorders>
              <w:top w:val="nil"/>
              <w:left w:val="nil"/>
              <w:bottom w:val="single" w:color="000000" w:sz="4" w:space="0"/>
              <w:right w:val="single" w:color="000000" w:sz="4" w:space="0"/>
            </w:tcBorders>
            <w:noWrap/>
            <w:vAlign w:val="center"/>
          </w:tcPr>
          <w:p w14:paraId="50CD9D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53E63E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61BBF2E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F028E5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23C5D0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437C5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9FCB2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B9EC4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1C844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0EF4A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8F7182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1DD444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A25481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1F4A9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B6F40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26BE1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DCD3E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5C566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5BD412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4AE187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155278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A87C8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EADE8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A20DD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30287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7AD69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99A8CA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9FBFB2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F3775D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01AA7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712E7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D4C7E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C9DD4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E82F8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4F6D3B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44EEA5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B95433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D8CF0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53759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4A22A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EAB19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4D586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CE4DAC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25278F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062F63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3B86B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FEAB6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140EF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BD57C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80610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A069CB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72DC4A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0D7591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C2359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DAC88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09CC4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31FF7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AE014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941338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824FE0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42072A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5491E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1F6B0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7F37E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6A928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6C1A9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1F73E6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37ADD1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5E87AC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85EE5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4005E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A5EE0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9735C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EE4A8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D83525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E5447F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900AEE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B49BF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7F030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38B43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93547A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CE3DA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D3565B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65B5D2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0C88DC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C3BB0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98A07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F14AD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DAF69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6B9B5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42E2AC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1B3B4A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6970EB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9C8F6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3B4B2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79F28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4E0B5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12D28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A88231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E5E096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C6E546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1888C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0399C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8A815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57912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192D8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F46A06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737D83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E8A8C8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2908B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A6624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435B1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BF632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1C3E3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324BBD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1FF4F1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2406C9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54C80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06C23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2D5DD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8BB5D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3F5BC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9E3A15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52E5C9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1EC9A1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ABC4F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BFA48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F2595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14243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81129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D5E64E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268BC6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17377A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50344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B3AD8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0C8DC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3E3B2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83282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DF8BFE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9A4862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D834CA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A464F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EA10C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938CC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3851B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3D114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673A38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8FF570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9CD879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CEF50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E758C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E8B50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D0FF1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DA356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68F37C4">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0989BDF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24698FA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7FF49D3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1BF41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09065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84549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366DE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2FA7EF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554373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F3B3F4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7AF03D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2FBEF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A980C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CEF3B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DFF99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DC5AA3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07AEEC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B97C3D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B8E376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97ACC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D33D6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31212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53330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2ADCE8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E7776A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2F8E1F5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700300C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0747E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0B63B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3ADE3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5608B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3F36E0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F6FC1C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A52921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0E7B47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BCEF2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EFA14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08B87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827E1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627F19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560CF5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1384ABF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8.42　</w:t>
            </w:r>
          </w:p>
        </w:tc>
        <w:tc>
          <w:tcPr>
            <w:tcW w:w="948" w:type="pct"/>
            <w:tcBorders>
              <w:top w:val="nil"/>
              <w:left w:val="nil"/>
              <w:bottom w:val="single" w:color="auto" w:sz="4" w:space="0"/>
              <w:right w:val="single" w:color="000000" w:sz="4" w:space="0"/>
            </w:tcBorders>
            <w:noWrap/>
            <w:vAlign w:val="center"/>
          </w:tcPr>
          <w:p w14:paraId="1239AEEB">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42861A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B9BD6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2A710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622669E">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21700F9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6E42A061">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4880A90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8.42　</w:t>
            </w:r>
          </w:p>
        </w:tc>
        <w:tc>
          <w:tcPr>
            <w:tcW w:w="948" w:type="pct"/>
            <w:tcBorders>
              <w:top w:val="single" w:color="auto" w:sz="4" w:space="0"/>
              <w:left w:val="single" w:color="auto" w:sz="4" w:space="0"/>
              <w:bottom w:val="single" w:color="auto" w:sz="4" w:space="0"/>
              <w:right w:val="single" w:color="auto" w:sz="4" w:space="0"/>
            </w:tcBorders>
            <w:noWrap/>
            <w:vAlign w:val="center"/>
          </w:tcPr>
          <w:p w14:paraId="69E0666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211DFB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2463A3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3488624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298FAAD0">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196C9E92">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6E2CB5A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05747A8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single" w:color="auto" w:sz="4" w:space="0"/>
              <w:left w:val="single" w:color="auto" w:sz="4" w:space="0"/>
              <w:bottom w:val="single" w:color="auto" w:sz="4" w:space="0"/>
              <w:right w:val="single" w:color="auto" w:sz="4" w:space="0"/>
            </w:tcBorders>
            <w:noWrap/>
            <w:vAlign w:val="center"/>
          </w:tcPr>
          <w:p w14:paraId="69DCB06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51B37C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02E6E7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0F470F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4C6F0842">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148EE3DA">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0CB65E4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341304B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462.87</w:t>
            </w:r>
          </w:p>
        </w:tc>
        <w:tc>
          <w:tcPr>
            <w:tcW w:w="948" w:type="pct"/>
            <w:tcBorders>
              <w:top w:val="single" w:color="auto" w:sz="4" w:space="0"/>
              <w:left w:val="single" w:color="auto" w:sz="4" w:space="0"/>
              <w:bottom w:val="single" w:color="auto" w:sz="4" w:space="0"/>
              <w:right w:val="single" w:color="auto" w:sz="4" w:space="0"/>
            </w:tcBorders>
            <w:noWrap/>
            <w:vAlign w:val="center"/>
          </w:tcPr>
          <w:p w14:paraId="338B54E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567C90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462.87</w:t>
            </w:r>
          </w:p>
        </w:tc>
        <w:tc>
          <w:tcPr>
            <w:tcW w:w="612" w:type="pct"/>
            <w:tcBorders>
              <w:top w:val="single" w:color="auto" w:sz="4" w:space="0"/>
              <w:left w:val="single" w:color="auto" w:sz="4" w:space="0"/>
              <w:bottom w:val="single" w:color="auto" w:sz="4" w:space="0"/>
              <w:right w:val="single" w:color="auto" w:sz="4" w:space="0"/>
            </w:tcBorders>
            <w:noWrap/>
            <w:vAlign w:val="center"/>
          </w:tcPr>
          <w:p w14:paraId="572519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462.87</w:t>
            </w:r>
          </w:p>
        </w:tc>
        <w:tc>
          <w:tcPr>
            <w:tcW w:w="602" w:type="pct"/>
            <w:tcBorders>
              <w:top w:val="single" w:color="auto" w:sz="4" w:space="0"/>
              <w:left w:val="single" w:color="auto" w:sz="4" w:space="0"/>
              <w:bottom w:val="single" w:color="auto" w:sz="4" w:space="0"/>
              <w:right w:val="single" w:color="auto" w:sz="4" w:space="0"/>
            </w:tcBorders>
            <w:noWrap/>
            <w:vAlign w:val="center"/>
          </w:tcPr>
          <w:p w14:paraId="4B4212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275240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44C05315">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6C3E189E">
        <w:tblPrEx>
          <w:tblCellMar>
            <w:top w:w="0" w:type="dxa"/>
            <w:left w:w="108" w:type="dxa"/>
            <w:bottom w:w="0" w:type="dxa"/>
            <w:right w:w="108" w:type="dxa"/>
          </w:tblCellMar>
        </w:tblPrEx>
        <w:trPr>
          <w:trHeight w:val="585" w:hRule="atLeast"/>
          <w:tblHeader/>
        </w:trPr>
        <w:tc>
          <w:tcPr>
            <w:tcW w:w="5000" w:type="pct"/>
            <w:gridSpan w:val="5"/>
            <w:noWrap/>
            <w:vAlign w:val="center"/>
          </w:tcPr>
          <w:p w14:paraId="28A7EA4C">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2E86691F">
        <w:tblPrEx>
          <w:tblCellMar>
            <w:top w:w="0" w:type="dxa"/>
            <w:left w:w="108" w:type="dxa"/>
            <w:bottom w:w="0" w:type="dxa"/>
            <w:right w:w="108" w:type="dxa"/>
          </w:tblCellMar>
        </w:tblPrEx>
        <w:trPr>
          <w:trHeight w:val="420" w:hRule="atLeast"/>
          <w:tblHeader/>
        </w:trPr>
        <w:tc>
          <w:tcPr>
            <w:tcW w:w="2433" w:type="pct"/>
            <w:gridSpan w:val="2"/>
            <w:noWrap/>
            <w:vAlign w:val="center"/>
          </w:tcPr>
          <w:p w14:paraId="780ABAEC">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填报单位:133景德镇市珠山区工业和信息化局</w:t>
            </w:r>
          </w:p>
        </w:tc>
        <w:tc>
          <w:tcPr>
            <w:tcW w:w="1056" w:type="pct"/>
            <w:noWrap/>
            <w:vAlign w:val="bottom"/>
          </w:tcPr>
          <w:p w14:paraId="02DC018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5BD6661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1E2D3D5F">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36FE4326">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080186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34A937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11798B02">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36023C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6E9DE3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2BD41D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23F49C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3D7420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42C1CB5">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232EEC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102164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4C384A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0504F82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7DBEB94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2083B4E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A35F01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418A0C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6C7DDA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454.45</w:t>
            </w:r>
          </w:p>
        </w:tc>
        <w:tc>
          <w:tcPr>
            <w:tcW w:w="684" w:type="pct"/>
            <w:tcBorders>
              <w:top w:val="single" w:color="000000" w:sz="4" w:space="0"/>
              <w:left w:val="nil"/>
              <w:bottom w:val="single" w:color="000000" w:sz="4" w:space="0"/>
              <w:right w:val="single" w:color="000000" w:sz="4" w:space="0"/>
            </w:tcBorders>
            <w:noWrap/>
            <w:vAlign w:val="center"/>
          </w:tcPr>
          <w:p w14:paraId="0542AE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206.35</w:t>
            </w:r>
          </w:p>
        </w:tc>
        <w:tc>
          <w:tcPr>
            <w:tcW w:w="825" w:type="pct"/>
            <w:tcBorders>
              <w:top w:val="single" w:color="000000" w:sz="4" w:space="0"/>
              <w:left w:val="nil"/>
              <w:bottom w:val="single" w:color="000000" w:sz="4" w:space="0"/>
              <w:right w:val="single" w:color="000000" w:sz="4" w:space="0"/>
            </w:tcBorders>
            <w:noWrap/>
            <w:vAlign w:val="center"/>
          </w:tcPr>
          <w:p w14:paraId="012E18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248.10</w:t>
            </w:r>
          </w:p>
        </w:tc>
      </w:tr>
      <w:tr w14:paraId="347E06C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6F48A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798864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266390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12.78</w:t>
            </w:r>
          </w:p>
        </w:tc>
        <w:tc>
          <w:tcPr>
            <w:tcW w:w="684" w:type="pct"/>
            <w:tcBorders>
              <w:top w:val="single" w:color="000000" w:sz="4" w:space="0"/>
              <w:left w:val="nil"/>
              <w:bottom w:val="single" w:color="000000" w:sz="4" w:space="0"/>
              <w:right w:val="single" w:color="000000" w:sz="4" w:space="0"/>
            </w:tcBorders>
            <w:noWrap/>
            <w:vAlign w:val="center"/>
          </w:tcPr>
          <w:p w14:paraId="2CAC6F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12.78</w:t>
            </w:r>
          </w:p>
        </w:tc>
        <w:tc>
          <w:tcPr>
            <w:tcW w:w="825" w:type="pct"/>
            <w:tcBorders>
              <w:top w:val="single" w:color="000000" w:sz="4" w:space="0"/>
              <w:left w:val="nil"/>
              <w:bottom w:val="single" w:color="000000" w:sz="4" w:space="0"/>
              <w:right w:val="single" w:color="000000" w:sz="4" w:space="0"/>
            </w:tcBorders>
            <w:noWrap/>
            <w:vAlign w:val="center"/>
          </w:tcPr>
          <w:p w14:paraId="5163B6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0A4874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865E6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3DE3BF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3F95C5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12.78</w:t>
            </w:r>
          </w:p>
        </w:tc>
        <w:tc>
          <w:tcPr>
            <w:tcW w:w="684" w:type="pct"/>
            <w:tcBorders>
              <w:top w:val="single" w:color="000000" w:sz="4" w:space="0"/>
              <w:left w:val="nil"/>
              <w:bottom w:val="single" w:color="000000" w:sz="4" w:space="0"/>
              <w:right w:val="single" w:color="000000" w:sz="4" w:space="0"/>
            </w:tcBorders>
            <w:noWrap/>
            <w:vAlign w:val="center"/>
          </w:tcPr>
          <w:p w14:paraId="5F7D6E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12.78</w:t>
            </w:r>
          </w:p>
        </w:tc>
        <w:tc>
          <w:tcPr>
            <w:tcW w:w="825" w:type="pct"/>
            <w:tcBorders>
              <w:top w:val="single" w:color="000000" w:sz="4" w:space="0"/>
              <w:left w:val="nil"/>
              <w:bottom w:val="single" w:color="000000" w:sz="4" w:space="0"/>
              <w:right w:val="single" w:color="000000" w:sz="4" w:space="0"/>
            </w:tcBorders>
            <w:noWrap/>
            <w:vAlign w:val="center"/>
          </w:tcPr>
          <w:p w14:paraId="6F843E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307063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B49CE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74DBF5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164F32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12.78</w:t>
            </w:r>
          </w:p>
        </w:tc>
        <w:tc>
          <w:tcPr>
            <w:tcW w:w="684" w:type="pct"/>
            <w:tcBorders>
              <w:top w:val="single" w:color="000000" w:sz="4" w:space="0"/>
              <w:left w:val="nil"/>
              <w:bottom w:val="single" w:color="000000" w:sz="4" w:space="0"/>
              <w:right w:val="single" w:color="000000" w:sz="4" w:space="0"/>
            </w:tcBorders>
            <w:noWrap/>
            <w:vAlign w:val="center"/>
          </w:tcPr>
          <w:p w14:paraId="024DFA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12.78</w:t>
            </w:r>
          </w:p>
        </w:tc>
        <w:tc>
          <w:tcPr>
            <w:tcW w:w="825" w:type="pct"/>
            <w:tcBorders>
              <w:top w:val="single" w:color="000000" w:sz="4" w:space="0"/>
              <w:left w:val="nil"/>
              <w:bottom w:val="single" w:color="000000" w:sz="4" w:space="0"/>
              <w:right w:val="single" w:color="000000" w:sz="4" w:space="0"/>
            </w:tcBorders>
            <w:noWrap/>
            <w:vAlign w:val="center"/>
          </w:tcPr>
          <w:p w14:paraId="742D09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76803F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E9FE4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3E169A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0DA961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5.39</w:t>
            </w:r>
          </w:p>
        </w:tc>
        <w:tc>
          <w:tcPr>
            <w:tcW w:w="684" w:type="pct"/>
            <w:tcBorders>
              <w:top w:val="single" w:color="000000" w:sz="4" w:space="0"/>
              <w:left w:val="nil"/>
              <w:bottom w:val="single" w:color="000000" w:sz="4" w:space="0"/>
              <w:right w:val="single" w:color="000000" w:sz="4" w:space="0"/>
            </w:tcBorders>
            <w:noWrap/>
            <w:vAlign w:val="center"/>
          </w:tcPr>
          <w:p w14:paraId="09F590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5.39</w:t>
            </w:r>
          </w:p>
        </w:tc>
        <w:tc>
          <w:tcPr>
            <w:tcW w:w="825" w:type="pct"/>
            <w:tcBorders>
              <w:top w:val="single" w:color="000000" w:sz="4" w:space="0"/>
              <w:left w:val="nil"/>
              <w:bottom w:val="single" w:color="000000" w:sz="4" w:space="0"/>
              <w:right w:val="single" w:color="000000" w:sz="4" w:space="0"/>
            </w:tcBorders>
            <w:noWrap/>
            <w:vAlign w:val="center"/>
          </w:tcPr>
          <w:p w14:paraId="0144A5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FF7CD7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F892F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4597D0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6B4443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5.39</w:t>
            </w:r>
          </w:p>
        </w:tc>
        <w:tc>
          <w:tcPr>
            <w:tcW w:w="684" w:type="pct"/>
            <w:tcBorders>
              <w:top w:val="single" w:color="000000" w:sz="4" w:space="0"/>
              <w:left w:val="nil"/>
              <w:bottom w:val="single" w:color="000000" w:sz="4" w:space="0"/>
              <w:right w:val="single" w:color="000000" w:sz="4" w:space="0"/>
            </w:tcBorders>
            <w:noWrap/>
            <w:vAlign w:val="center"/>
          </w:tcPr>
          <w:p w14:paraId="5F9C25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5.39</w:t>
            </w:r>
          </w:p>
        </w:tc>
        <w:tc>
          <w:tcPr>
            <w:tcW w:w="825" w:type="pct"/>
            <w:tcBorders>
              <w:top w:val="single" w:color="000000" w:sz="4" w:space="0"/>
              <w:left w:val="nil"/>
              <w:bottom w:val="single" w:color="000000" w:sz="4" w:space="0"/>
              <w:right w:val="single" w:color="000000" w:sz="4" w:space="0"/>
            </w:tcBorders>
            <w:noWrap/>
            <w:vAlign w:val="center"/>
          </w:tcPr>
          <w:p w14:paraId="686235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81DA85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686EC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00E8B9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23F269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3.14</w:t>
            </w:r>
          </w:p>
        </w:tc>
        <w:tc>
          <w:tcPr>
            <w:tcW w:w="684" w:type="pct"/>
            <w:tcBorders>
              <w:top w:val="single" w:color="000000" w:sz="4" w:space="0"/>
              <w:left w:val="nil"/>
              <w:bottom w:val="single" w:color="000000" w:sz="4" w:space="0"/>
              <w:right w:val="single" w:color="000000" w:sz="4" w:space="0"/>
            </w:tcBorders>
            <w:noWrap/>
            <w:vAlign w:val="center"/>
          </w:tcPr>
          <w:p w14:paraId="14692E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3.14</w:t>
            </w:r>
          </w:p>
        </w:tc>
        <w:tc>
          <w:tcPr>
            <w:tcW w:w="825" w:type="pct"/>
            <w:tcBorders>
              <w:top w:val="single" w:color="000000" w:sz="4" w:space="0"/>
              <w:left w:val="nil"/>
              <w:bottom w:val="single" w:color="000000" w:sz="4" w:space="0"/>
              <w:right w:val="single" w:color="000000" w:sz="4" w:space="0"/>
            </w:tcBorders>
            <w:noWrap/>
            <w:vAlign w:val="center"/>
          </w:tcPr>
          <w:p w14:paraId="371143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F75A9C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83E5B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579" w:type="pct"/>
            <w:tcBorders>
              <w:top w:val="single" w:color="000000" w:sz="4" w:space="0"/>
              <w:left w:val="nil"/>
              <w:bottom w:val="single" w:color="000000" w:sz="4" w:space="0"/>
              <w:right w:val="single" w:color="000000" w:sz="4" w:space="0"/>
            </w:tcBorders>
            <w:noWrap/>
            <w:vAlign w:val="center"/>
          </w:tcPr>
          <w:p w14:paraId="439AC9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1056" w:type="pct"/>
            <w:tcBorders>
              <w:top w:val="single" w:color="000000" w:sz="4" w:space="0"/>
              <w:left w:val="nil"/>
              <w:bottom w:val="single" w:color="000000" w:sz="4" w:space="0"/>
              <w:right w:val="single" w:color="000000" w:sz="4" w:space="0"/>
            </w:tcBorders>
            <w:noWrap/>
            <w:vAlign w:val="center"/>
          </w:tcPr>
          <w:p w14:paraId="7EFA03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2.26</w:t>
            </w:r>
          </w:p>
        </w:tc>
        <w:tc>
          <w:tcPr>
            <w:tcW w:w="684" w:type="pct"/>
            <w:tcBorders>
              <w:top w:val="single" w:color="000000" w:sz="4" w:space="0"/>
              <w:left w:val="nil"/>
              <w:bottom w:val="single" w:color="000000" w:sz="4" w:space="0"/>
              <w:right w:val="single" w:color="000000" w:sz="4" w:space="0"/>
            </w:tcBorders>
            <w:noWrap/>
            <w:vAlign w:val="center"/>
          </w:tcPr>
          <w:p w14:paraId="2339C3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2.26</w:t>
            </w:r>
          </w:p>
        </w:tc>
        <w:tc>
          <w:tcPr>
            <w:tcW w:w="825" w:type="pct"/>
            <w:tcBorders>
              <w:top w:val="single" w:color="000000" w:sz="4" w:space="0"/>
              <w:left w:val="nil"/>
              <w:bottom w:val="single" w:color="000000" w:sz="4" w:space="0"/>
              <w:right w:val="single" w:color="000000" w:sz="4" w:space="0"/>
            </w:tcBorders>
            <w:noWrap/>
            <w:vAlign w:val="center"/>
          </w:tcPr>
          <w:p w14:paraId="36B4A1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94242E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40F42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214</w:t>
            </w:r>
          </w:p>
        </w:tc>
        <w:tc>
          <w:tcPr>
            <w:tcW w:w="1579" w:type="pct"/>
            <w:tcBorders>
              <w:top w:val="single" w:color="000000" w:sz="4" w:space="0"/>
              <w:left w:val="nil"/>
              <w:bottom w:val="single" w:color="000000" w:sz="4" w:space="0"/>
              <w:right w:val="single" w:color="000000" w:sz="4" w:space="0"/>
            </w:tcBorders>
            <w:noWrap/>
            <w:vAlign w:val="center"/>
          </w:tcPr>
          <w:p w14:paraId="02C3D3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交通运输支出</w:t>
            </w:r>
          </w:p>
        </w:tc>
        <w:tc>
          <w:tcPr>
            <w:tcW w:w="1056" w:type="pct"/>
            <w:tcBorders>
              <w:top w:val="single" w:color="000000" w:sz="4" w:space="0"/>
              <w:left w:val="nil"/>
              <w:bottom w:val="single" w:color="000000" w:sz="4" w:space="0"/>
              <w:right w:val="single" w:color="000000" w:sz="4" w:space="0"/>
            </w:tcBorders>
            <w:noWrap/>
            <w:vAlign w:val="center"/>
          </w:tcPr>
          <w:p w14:paraId="7560F0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41.10</w:t>
            </w:r>
          </w:p>
        </w:tc>
        <w:tc>
          <w:tcPr>
            <w:tcW w:w="684" w:type="pct"/>
            <w:tcBorders>
              <w:top w:val="single" w:color="000000" w:sz="4" w:space="0"/>
              <w:left w:val="nil"/>
              <w:bottom w:val="single" w:color="000000" w:sz="4" w:space="0"/>
              <w:right w:val="single" w:color="000000" w:sz="4" w:space="0"/>
            </w:tcBorders>
            <w:noWrap/>
            <w:vAlign w:val="center"/>
          </w:tcPr>
          <w:p w14:paraId="5E0AD6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5E4256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41.10</w:t>
            </w:r>
          </w:p>
        </w:tc>
      </w:tr>
      <w:tr w14:paraId="2CB2932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DDC79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21401</w:t>
            </w:r>
          </w:p>
        </w:tc>
        <w:tc>
          <w:tcPr>
            <w:tcW w:w="1579" w:type="pct"/>
            <w:tcBorders>
              <w:top w:val="single" w:color="000000" w:sz="4" w:space="0"/>
              <w:left w:val="nil"/>
              <w:bottom w:val="single" w:color="000000" w:sz="4" w:space="0"/>
              <w:right w:val="single" w:color="000000" w:sz="4" w:space="0"/>
            </w:tcBorders>
            <w:noWrap/>
            <w:vAlign w:val="center"/>
          </w:tcPr>
          <w:p w14:paraId="3CEDF1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公路水路运输</w:t>
            </w:r>
          </w:p>
        </w:tc>
        <w:tc>
          <w:tcPr>
            <w:tcW w:w="1056" w:type="pct"/>
            <w:tcBorders>
              <w:top w:val="single" w:color="000000" w:sz="4" w:space="0"/>
              <w:left w:val="nil"/>
              <w:bottom w:val="single" w:color="000000" w:sz="4" w:space="0"/>
              <w:right w:val="single" w:color="000000" w:sz="4" w:space="0"/>
            </w:tcBorders>
            <w:noWrap/>
            <w:vAlign w:val="center"/>
          </w:tcPr>
          <w:p w14:paraId="4960E4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41.10</w:t>
            </w:r>
          </w:p>
        </w:tc>
        <w:tc>
          <w:tcPr>
            <w:tcW w:w="684" w:type="pct"/>
            <w:tcBorders>
              <w:top w:val="single" w:color="000000" w:sz="4" w:space="0"/>
              <w:left w:val="nil"/>
              <w:bottom w:val="single" w:color="000000" w:sz="4" w:space="0"/>
              <w:right w:val="single" w:color="000000" w:sz="4" w:space="0"/>
            </w:tcBorders>
            <w:noWrap/>
            <w:vAlign w:val="center"/>
          </w:tcPr>
          <w:p w14:paraId="05B143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37042C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41.10</w:t>
            </w:r>
          </w:p>
        </w:tc>
      </w:tr>
      <w:tr w14:paraId="4504CC9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2B525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2140106</w:t>
            </w:r>
          </w:p>
        </w:tc>
        <w:tc>
          <w:tcPr>
            <w:tcW w:w="1579" w:type="pct"/>
            <w:tcBorders>
              <w:top w:val="single" w:color="000000" w:sz="4" w:space="0"/>
              <w:left w:val="nil"/>
              <w:bottom w:val="single" w:color="000000" w:sz="4" w:space="0"/>
              <w:right w:val="single" w:color="000000" w:sz="4" w:space="0"/>
            </w:tcBorders>
            <w:noWrap/>
            <w:vAlign w:val="center"/>
          </w:tcPr>
          <w:p w14:paraId="0D13B8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公路养护</w:t>
            </w:r>
          </w:p>
        </w:tc>
        <w:tc>
          <w:tcPr>
            <w:tcW w:w="1056" w:type="pct"/>
            <w:tcBorders>
              <w:top w:val="single" w:color="000000" w:sz="4" w:space="0"/>
              <w:left w:val="nil"/>
              <w:bottom w:val="single" w:color="000000" w:sz="4" w:space="0"/>
              <w:right w:val="single" w:color="000000" w:sz="4" w:space="0"/>
            </w:tcBorders>
            <w:noWrap/>
            <w:vAlign w:val="center"/>
          </w:tcPr>
          <w:p w14:paraId="5A643D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36.30</w:t>
            </w:r>
          </w:p>
        </w:tc>
        <w:tc>
          <w:tcPr>
            <w:tcW w:w="684" w:type="pct"/>
            <w:tcBorders>
              <w:top w:val="single" w:color="000000" w:sz="4" w:space="0"/>
              <w:left w:val="nil"/>
              <w:bottom w:val="single" w:color="000000" w:sz="4" w:space="0"/>
              <w:right w:val="single" w:color="000000" w:sz="4" w:space="0"/>
            </w:tcBorders>
            <w:noWrap/>
            <w:vAlign w:val="center"/>
          </w:tcPr>
          <w:p w14:paraId="4C50BE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7F6B14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36.30</w:t>
            </w:r>
          </w:p>
        </w:tc>
      </w:tr>
      <w:tr w14:paraId="2D91396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53072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2140112</w:t>
            </w:r>
          </w:p>
        </w:tc>
        <w:tc>
          <w:tcPr>
            <w:tcW w:w="1579" w:type="pct"/>
            <w:tcBorders>
              <w:top w:val="single" w:color="000000" w:sz="4" w:space="0"/>
              <w:left w:val="nil"/>
              <w:bottom w:val="single" w:color="000000" w:sz="4" w:space="0"/>
              <w:right w:val="single" w:color="000000" w:sz="4" w:space="0"/>
            </w:tcBorders>
            <w:noWrap/>
            <w:vAlign w:val="center"/>
          </w:tcPr>
          <w:p w14:paraId="0BD5B1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公路运输管理</w:t>
            </w:r>
          </w:p>
        </w:tc>
        <w:tc>
          <w:tcPr>
            <w:tcW w:w="1056" w:type="pct"/>
            <w:tcBorders>
              <w:top w:val="single" w:color="000000" w:sz="4" w:space="0"/>
              <w:left w:val="nil"/>
              <w:bottom w:val="single" w:color="000000" w:sz="4" w:space="0"/>
              <w:right w:val="single" w:color="000000" w:sz="4" w:space="0"/>
            </w:tcBorders>
            <w:noWrap/>
            <w:vAlign w:val="center"/>
          </w:tcPr>
          <w:p w14:paraId="01BA2C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4.80</w:t>
            </w:r>
          </w:p>
        </w:tc>
        <w:tc>
          <w:tcPr>
            <w:tcW w:w="684" w:type="pct"/>
            <w:tcBorders>
              <w:top w:val="single" w:color="000000" w:sz="4" w:space="0"/>
              <w:left w:val="nil"/>
              <w:bottom w:val="single" w:color="000000" w:sz="4" w:space="0"/>
              <w:right w:val="single" w:color="000000" w:sz="4" w:space="0"/>
            </w:tcBorders>
            <w:noWrap/>
            <w:vAlign w:val="center"/>
          </w:tcPr>
          <w:p w14:paraId="340603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58F5E3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4.80</w:t>
            </w:r>
          </w:p>
        </w:tc>
      </w:tr>
      <w:tr w14:paraId="39F6BDB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575B1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215</w:t>
            </w:r>
          </w:p>
        </w:tc>
        <w:tc>
          <w:tcPr>
            <w:tcW w:w="1579" w:type="pct"/>
            <w:tcBorders>
              <w:top w:val="single" w:color="000000" w:sz="4" w:space="0"/>
              <w:left w:val="nil"/>
              <w:bottom w:val="single" w:color="000000" w:sz="4" w:space="0"/>
              <w:right w:val="single" w:color="000000" w:sz="4" w:space="0"/>
            </w:tcBorders>
            <w:noWrap/>
            <w:vAlign w:val="center"/>
          </w:tcPr>
          <w:p w14:paraId="7F9CEB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资源勘探工业信息等支出</w:t>
            </w:r>
          </w:p>
        </w:tc>
        <w:tc>
          <w:tcPr>
            <w:tcW w:w="1056" w:type="pct"/>
            <w:tcBorders>
              <w:top w:val="single" w:color="000000" w:sz="4" w:space="0"/>
              <w:left w:val="nil"/>
              <w:bottom w:val="single" w:color="000000" w:sz="4" w:space="0"/>
              <w:right w:val="single" w:color="000000" w:sz="4" w:space="0"/>
            </w:tcBorders>
            <w:noWrap/>
            <w:vAlign w:val="center"/>
          </w:tcPr>
          <w:p w14:paraId="3475E5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385.65</w:t>
            </w:r>
          </w:p>
        </w:tc>
        <w:tc>
          <w:tcPr>
            <w:tcW w:w="684" w:type="pct"/>
            <w:tcBorders>
              <w:top w:val="single" w:color="000000" w:sz="4" w:space="0"/>
              <w:left w:val="nil"/>
              <w:bottom w:val="single" w:color="000000" w:sz="4" w:space="0"/>
              <w:right w:val="single" w:color="000000" w:sz="4" w:space="0"/>
            </w:tcBorders>
            <w:noWrap/>
            <w:vAlign w:val="center"/>
          </w:tcPr>
          <w:p w14:paraId="7E9F6B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178.65</w:t>
            </w:r>
          </w:p>
        </w:tc>
        <w:tc>
          <w:tcPr>
            <w:tcW w:w="825" w:type="pct"/>
            <w:tcBorders>
              <w:top w:val="single" w:color="000000" w:sz="4" w:space="0"/>
              <w:left w:val="nil"/>
              <w:bottom w:val="single" w:color="000000" w:sz="4" w:space="0"/>
              <w:right w:val="single" w:color="000000" w:sz="4" w:space="0"/>
            </w:tcBorders>
            <w:noWrap/>
            <w:vAlign w:val="center"/>
          </w:tcPr>
          <w:p w14:paraId="4F8940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207.00</w:t>
            </w:r>
          </w:p>
        </w:tc>
      </w:tr>
      <w:tr w14:paraId="360115C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40A85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21505</w:t>
            </w:r>
          </w:p>
        </w:tc>
        <w:tc>
          <w:tcPr>
            <w:tcW w:w="1579" w:type="pct"/>
            <w:tcBorders>
              <w:top w:val="single" w:color="000000" w:sz="4" w:space="0"/>
              <w:left w:val="nil"/>
              <w:bottom w:val="single" w:color="000000" w:sz="4" w:space="0"/>
              <w:right w:val="single" w:color="000000" w:sz="4" w:space="0"/>
            </w:tcBorders>
            <w:noWrap/>
            <w:vAlign w:val="center"/>
          </w:tcPr>
          <w:p w14:paraId="0A0F25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工业和信息产业</w:t>
            </w:r>
          </w:p>
        </w:tc>
        <w:tc>
          <w:tcPr>
            <w:tcW w:w="1056" w:type="pct"/>
            <w:tcBorders>
              <w:top w:val="single" w:color="000000" w:sz="4" w:space="0"/>
              <w:left w:val="nil"/>
              <w:bottom w:val="single" w:color="000000" w:sz="4" w:space="0"/>
              <w:right w:val="single" w:color="000000" w:sz="4" w:space="0"/>
            </w:tcBorders>
            <w:noWrap/>
            <w:vAlign w:val="center"/>
          </w:tcPr>
          <w:p w14:paraId="47B85E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385.65</w:t>
            </w:r>
          </w:p>
        </w:tc>
        <w:tc>
          <w:tcPr>
            <w:tcW w:w="684" w:type="pct"/>
            <w:tcBorders>
              <w:top w:val="single" w:color="000000" w:sz="4" w:space="0"/>
              <w:left w:val="nil"/>
              <w:bottom w:val="single" w:color="000000" w:sz="4" w:space="0"/>
              <w:right w:val="single" w:color="000000" w:sz="4" w:space="0"/>
            </w:tcBorders>
            <w:noWrap/>
            <w:vAlign w:val="center"/>
          </w:tcPr>
          <w:p w14:paraId="16E7D0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178.65</w:t>
            </w:r>
          </w:p>
        </w:tc>
        <w:tc>
          <w:tcPr>
            <w:tcW w:w="825" w:type="pct"/>
            <w:tcBorders>
              <w:top w:val="single" w:color="000000" w:sz="4" w:space="0"/>
              <w:left w:val="nil"/>
              <w:bottom w:val="single" w:color="000000" w:sz="4" w:space="0"/>
              <w:right w:val="single" w:color="000000" w:sz="4" w:space="0"/>
            </w:tcBorders>
            <w:noWrap/>
            <w:vAlign w:val="center"/>
          </w:tcPr>
          <w:p w14:paraId="534083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207.00</w:t>
            </w:r>
          </w:p>
        </w:tc>
      </w:tr>
      <w:tr w14:paraId="61D24BB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CB616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2150501</w:t>
            </w:r>
          </w:p>
        </w:tc>
        <w:tc>
          <w:tcPr>
            <w:tcW w:w="1579" w:type="pct"/>
            <w:tcBorders>
              <w:top w:val="single" w:color="000000" w:sz="4" w:space="0"/>
              <w:left w:val="nil"/>
              <w:bottom w:val="single" w:color="000000" w:sz="4" w:space="0"/>
              <w:right w:val="single" w:color="000000" w:sz="4" w:space="0"/>
            </w:tcBorders>
            <w:noWrap/>
            <w:vAlign w:val="center"/>
          </w:tcPr>
          <w:p w14:paraId="04771E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24FFA9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113.92</w:t>
            </w:r>
          </w:p>
        </w:tc>
        <w:tc>
          <w:tcPr>
            <w:tcW w:w="684" w:type="pct"/>
            <w:tcBorders>
              <w:top w:val="single" w:color="000000" w:sz="4" w:space="0"/>
              <w:left w:val="nil"/>
              <w:bottom w:val="single" w:color="000000" w:sz="4" w:space="0"/>
              <w:right w:val="single" w:color="000000" w:sz="4" w:space="0"/>
            </w:tcBorders>
            <w:noWrap/>
            <w:vAlign w:val="center"/>
          </w:tcPr>
          <w:p w14:paraId="2B8BBD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113.92</w:t>
            </w:r>
          </w:p>
        </w:tc>
        <w:tc>
          <w:tcPr>
            <w:tcW w:w="825" w:type="pct"/>
            <w:tcBorders>
              <w:top w:val="single" w:color="000000" w:sz="4" w:space="0"/>
              <w:left w:val="nil"/>
              <w:bottom w:val="single" w:color="000000" w:sz="4" w:space="0"/>
              <w:right w:val="single" w:color="000000" w:sz="4" w:space="0"/>
            </w:tcBorders>
            <w:noWrap/>
            <w:vAlign w:val="center"/>
          </w:tcPr>
          <w:p w14:paraId="21A432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A5399C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87132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2150550</w:t>
            </w:r>
          </w:p>
        </w:tc>
        <w:tc>
          <w:tcPr>
            <w:tcW w:w="1579" w:type="pct"/>
            <w:tcBorders>
              <w:top w:val="single" w:color="000000" w:sz="4" w:space="0"/>
              <w:left w:val="nil"/>
              <w:bottom w:val="single" w:color="000000" w:sz="4" w:space="0"/>
              <w:right w:val="single" w:color="000000" w:sz="4" w:space="0"/>
            </w:tcBorders>
            <w:noWrap/>
            <w:vAlign w:val="center"/>
          </w:tcPr>
          <w:p w14:paraId="4EE4AE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事业运行</w:t>
            </w:r>
          </w:p>
        </w:tc>
        <w:tc>
          <w:tcPr>
            <w:tcW w:w="1056" w:type="pct"/>
            <w:tcBorders>
              <w:top w:val="single" w:color="000000" w:sz="4" w:space="0"/>
              <w:left w:val="nil"/>
              <w:bottom w:val="single" w:color="000000" w:sz="4" w:space="0"/>
              <w:right w:val="single" w:color="000000" w:sz="4" w:space="0"/>
            </w:tcBorders>
            <w:noWrap/>
            <w:vAlign w:val="center"/>
          </w:tcPr>
          <w:p w14:paraId="3E3D28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64.73</w:t>
            </w:r>
          </w:p>
        </w:tc>
        <w:tc>
          <w:tcPr>
            <w:tcW w:w="684" w:type="pct"/>
            <w:tcBorders>
              <w:top w:val="single" w:color="000000" w:sz="4" w:space="0"/>
              <w:left w:val="nil"/>
              <w:bottom w:val="single" w:color="000000" w:sz="4" w:space="0"/>
              <w:right w:val="single" w:color="000000" w:sz="4" w:space="0"/>
            </w:tcBorders>
            <w:noWrap/>
            <w:vAlign w:val="center"/>
          </w:tcPr>
          <w:p w14:paraId="41B576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64.73</w:t>
            </w:r>
          </w:p>
        </w:tc>
        <w:tc>
          <w:tcPr>
            <w:tcW w:w="825" w:type="pct"/>
            <w:tcBorders>
              <w:top w:val="single" w:color="000000" w:sz="4" w:space="0"/>
              <w:left w:val="nil"/>
              <w:bottom w:val="single" w:color="000000" w:sz="4" w:space="0"/>
              <w:right w:val="single" w:color="000000" w:sz="4" w:space="0"/>
            </w:tcBorders>
            <w:noWrap/>
            <w:vAlign w:val="center"/>
          </w:tcPr>
          <w:p w14:paraId="7A458D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627E19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2D9B9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2150599</w:t>
            </w:r>
          </w:p>
        </w:tc>
        <w:tc>
          <w:tcPr>
            <w:tcW w:w="1579" w:type="pct"/>
            <w:tcBorders>
              <w:top w:val="single" w:color="000000" w:sz="4" w:space="0"/>
              <w:left w:val="nil"/>
              <w:bottom w:val="single" w:color="000000" w:sz="4" w:space="0"/>
              <w:right w:val="single" w:color="000000" w:sz="4" w:space="0"/>
            </w:tcBorders>
            <w:noWrap/>
            <w:vAlign w:val="center"/>
          </w:tcPr>
          <w:p w14:paraId="600AAD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其他工业和信息产业支出</w:t>
            </w:r>
          </w:p>
        </w:tc>
        <w:tc>
          <w:tcPr>
            <w:tcW w:w="1056" w:type="pct"/>
            <w:tcBorders>
              <w:top w:val="single" w:color="000000" w:sz="4" w:space="0"/>
              <w:left w:val="nil"/>
              <w:bottom w:val="single" w:color="000000" w:sz="4" w:space="0"/>
              <w:right w:val="single" w:color="000000" w:sz="4" w:space="0"/>
            </w:tcBorders>
            <w:noWrap/>
            <w:vAlign w:val="center"/>
          </w:tcPr>
          <w:p w14:paraId="2547C9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207.00</w:t>
            </w:r>
          </w:p>
        </w:tc>
        <w:tc>
          <w:tcPr>
            <w:tcW w:w="684" w:type="pct"/>
            <w:tcBorders>
              <w:top w:val="single" w:color="000000" w:sz="4" w:space="0"/>
              <w:left w:val="nil"/>
              <w:bottom w:val="single" w:color="000000" w:sz="4" w:space="0"/>
              <w:right w:val="single" w:color="000000" w:sz="4" w:space="0"/>
            </w:tcBorders>
            <w:noWrap/>
            <w:vAlign w:val="center"/>
          </w:tcPr>
          <w:p w14:paraId="233BB4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31A3FE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207.00</w:t>
            </w:r>
          </w:p>
        </w:tc>
      </w:tr>
      <w:tr w14:paraId="52C2633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EBE5A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6B89D4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4E9ADB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9.52</w:t>
            </w:r>
          </w:p>
        </w:tc>
        <w:tc>
          <w:tcPr>
            <w:tcW w:w="684" w:type="pct"/>
            <w:tcBorders>
              <w:top w:val="single" w:color="000000" w:sz="4" w:space="0"/>
              <w:left w:val="nil"/>
              <w:bottom w:val="single" w:color="000000" w:sz="4" w:space="0"/>
              <w:right w:val="single" w:color="000000" w:sz="4" w:space="0"/>
            </w:tcBorders>
            <w:noWrap/>
            <w:vAlign w:val="center"/>
          </w:tcPr>
          <w:p w14:paraId="024F76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9.52</w:t>
            </w:r>
          </w:p>
        </w:tc>
        <w:tc>
          <w:tcPr>
            <w:tcW w:w="825" w:type="pct"/>
            <w:tcBorders>
              <w:top w:val="single" w:color="000000" w:sz="4" w:space="0"/>
              <w:left w:val="nil"/>
              <w:bottom w:val="single" w:color="000000" w:sz="4" w:space="0"/>
              <w:right w:val="single" w:color="000000" w:sz="4" w:space="0"/>
            </w:tcBorders>
            <w:noWrap/>
            <w:vAlign w:val="center"/>
          </w:tcPr>
          <w:p w14:paraId="02E161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34D2F1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3F60B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4DCA60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216637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9.52</w:t>
            </w:r>
          </w:p>
        </w:tc>
        <w:tc>
          <w:tcPr>
            <w:tcW w:w="684" w:type="pct"/>
            <w:tcBorders>
              <w:top w:val="single" w:color="000000" w:sz="4" w:space="0"/>
              <w:left w:val="nil"/>
              <w:bottom w:val="single" w:color="000000" w:sz="4" w:space="0"/>
              <w:right w:val="single" w:color="000000" w:sz="4" w:space="0"/>
            </w:tcBorders>
            <w:noWrap/>
            <w:vAlign w:val="center"/>
          </w:tcPr>
          <w:p w14:paraId="267127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9.52</w:t>
            </w:r>
          </w:p>
        </w:tc>
        <w:tc>
          <w:tcPr>
            <w:tcW w:w="825" w:type="pct"/>
            <w:tcBorders>
              <w:top w:val="single" w:color="000000" w:sz="4" w:space="0"/>
              <w:left w:val="nil"/>
              <w:bottom w:val="single" w:color="000000" w:sz="4" w:space="0"/>
              <w:right w:val="single" w:color="000000" w:sz="4" w:space="0"/>
            </w:tcBorders>
            <w:noWrap/>
            <w:vAlign w:val="center"/>
          </w:tcPr>
          <w:p w14:paraId="22E372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FE493F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B8411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41522F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07033D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9.52</w:t>
            </w:r>
          </w:p>
        </w:tc>
        <w:tc>
          <w:tcPr>
            <w:tcW w:w="684" w:type="pct"/>
            <w:tcBorders>
              <w:top w:val="single" w:color="000000" w:sz="4" w:space="0"/>
              <w:left w:val="nil"/>
              <w:bottom w:val="single" w:color="000000" w:sz="4" w:space="0"/>
              <w:right w:val="single" w:color="000000" w:sz="4" w:space="0"/>
            </w:tcBorders>
            <w:noWrap/>
            <w:vAlign w:val="center"/>
          </w:tcPr>
          <w:p w14:paraId="6A0BD3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9.52</w:t>
            </w:r>
          </w:p>
        </w:tc>
        <w:tc>
          <w:tcPr>
            <w:tcW w:w="825" w:type="pct"/>
            <w:tcBorders>
              <w:top w:val="single" w:color="000000" w:sz="4" w:space="0"/>
              <w:left w:val="nil"/>
              <w:bottom w:val="single" w:color="000000" w:sz="4" w:space="0"/>
              <w:right w:val="single" w:color="000000" w:sz="4" w:space="0"/>
            </w:tcBorders>
            <w:noWrap/>
            <w:vAlign w:val="center"/>
          </w:tcPr>
          <w:p w14:paraId="2D345D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308730A3">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13643B7C">
        <w:tblPrEx>
          <w:tblCellMar>
            <w:top w:w="0" w:type="dxa"/>
            <w:left w:w="108" w:type="dxa"/>
            <w:bottom w:w="0" w:type="dxa"/>
            <w:right w:w="108" w:type="dxa"/>
          </w:tblCellMar>
        </w:tblPrEx>
        <w:trPr>
          <w:trHeight w:val="585" w:hRule="atLeast"/>
        </w:trPr>
        <w:tc>
          <w:tcPr>
            <w:tcW w:w="5000" w:type="pct"/>
            <w:gridSpan w:val="5"/>
            <w:noWrap/>
            <w:vAlign w:val="center"/>
          </w:tcPr>
          <w:p w14:paraId="5C6A50FB">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189C22FF">
        <w:tblPrEx>
          <w:tblCellMar>
            <w:top w:w="0" w:type="dxa"/>
            <w:left w:w="108" w:type="dxa"/>
            <w:bottom w:w="0" w:type="dxa"/>
            <w:right w:w="108" w:type="dxa"/>
          </w:tblCellMar>
        </w:tblPrEx>
        <w:trPr>
          <w:trHeight w:val="420" w:hRule="atLeast"/>
        </w:trPr>
        <w:tc>
          <w:tcPr>
            <w:tcW w:w="2398" w:type="pct"/>
            <w:gridSpan w:val="2"/>
            <w:noWrap/>
            <w:vAlign w:val="center"/>
          </w:tcPr>
          <w:p w14:paraId="4D1BE747">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填报单位:133景德镇市珠山区工业和信息化局</w:t>
            </w:r>
          </w:p>
        </w:tc>
        <w:tc>
          <w:tcPr>
            <w:tcW w:w="891" w:type="pct"/>
            <w:noWrap/>
            <w:vAlign w:val="bottom"/>
          </w:tcPr>
          <w:p w14:paraId="785FCB3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02D90A2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66188FC6">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72A9B53">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38F1BC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403CFA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133D767A">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6E1DC0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33868C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67562C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78B378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0940EC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47856E3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DF39F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771BB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2DFE5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70B04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20D5F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07614FA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C19C9F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76CD4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66CB04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206.35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C00F50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193.75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93FA08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12.60</w:t>
            </w:r>
          </w:p>
        </w:tc>
      </w:tr>
      <w:tr w14:paraId="13BF509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6AB67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BDE2F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B87656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192.28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65E571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192.28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862B87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19152F0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C9186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5E5CF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1B0CC4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37.93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A585E1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37.93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BE051D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BB7C7A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372BE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63F9B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C9E4CE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11.44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E6E1D4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11.44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BF0082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FBE165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1A422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F233C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D5A999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AACB0E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30B609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B4C79A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467E5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B6DFF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32BB69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28.17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06EA86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28.17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9EBB5D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EB0E79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04509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EE7B1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94B2CE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12.69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E4F4A2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12.69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7E3CDE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4A23E3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C7CA0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1E063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5F9BBD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5.39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0419A1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5.39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81347D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48684D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4F503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10C9B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9180BA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395D00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FF0704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9BFE00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B2FE3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F69D3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C88641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9.52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EE2EE4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9.52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5BDCAE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9CB12C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333F2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94F70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71741D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85.20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8311A5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85.20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3146DF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FB7C0E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08FD6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004AC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3B25A7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12.60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911570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2CC8B9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12.60</w:t>
            </w:r>
          </w:p>
        </w:tc>
      </w:tr>
      <w:tr w14:paraId="62D392A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90A5F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E8E3E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7797AA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5.14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5F250E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42A0DB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5.14</w:t>
            </w:r>
          </w:p>
        </w:tc>
      </w:tr>
      <w:tr w14:paraId="7A19943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6A0BD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FFFCD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2A6D11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4.46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E34472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1750F0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4.46</w:t>
            </w:r>
          </w:p>
        </w:tc>
      </w:tr>
      <w:tr w14:paraId="46DEE61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D63C0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D5232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D673A1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5A2C4B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DA5F19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r>
      <w:tr w14:paraId="30E6ED7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BE1F8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CA9F7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1A269B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1.47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FB9006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1.47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909506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161501B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B3A4D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93A67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458047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8AAC13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6B1612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CFA384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54E33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C3861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90C93A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EB3B79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F34260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275D6A74">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78B5AA3F">
        <w:tblPrEx>
          <w:tblCellMar>
            <w:top w:w="0" w:type="dxa"/>
            <w:left w:w="108" w:type="dxa"/>
            <w:bottom w:w="0" w:type="dxa"/>
            <w:right w:w="108" w:type="dxa"/>
          </w:tblCellMar>
        </w:tblPrEx>
        <w:trPr>
          <w:trHeight w:val="450" w:hRule="atLeast"/>
          <w:tblHeader/>
        </w:trPr>
        <w:tc>
          <w:tcPr>
            <w:tcW w:w="636" w:type="pct"/>
            <w:noWrap/>
            <w:vAlign w:val="bottom"/>
          </w:tcPr>
          <w:p w14:paraId="69F01530">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6A32A089">
            <w:pPr>
              <w:widowControl/>
              <w:jc w:val="left"/>
              <w:rPr>
                <w:rFonts w:ascii="Times New Roman" w:hAnsi="Times New Roman" w:eastAsia="宋体"/>
                <w:kern w:val="0"/>
                <w:sz w:val="20"/>
                <w:szCs w:val="20"/>
              </w:rPr>
            </w:pPr>
          </w:p>
        </w:tc>
        <w:tc>
          <w:tcPr>
            <w:tcW w:w="684" w:type="pct"/>
            <w:noWrap/>
            <w:vAlign w:val="bottom"/>
          </w:tcPr>
          <w:p w14:paraId="55DEC8E6">
            <w:pPr>
              <w:widowControl/>
              <w:jc w:val="left"/>
              <w:rPr>
                <w:rFonts w:ascii="Times New Roman" w:hAnsi="Times New Roman" w:eastAsia="宋体"/>
                <w:kern w:val="0"/>
                <w:sz w:val="20"/>
                <w:szCs w:val="20"/>
              </w:rPr>
            </w:pPr>
          </w:p>
        </w:tc>
        <w:tc>
          <w:tcPr>
            <w:tcW w:w="538" w:type="pct"/>
            <w:noWrap/>
            <w:vAlign w:val="bottom"/>
          </w:tcPr>
          <w:p w14:paraId="571882F4">
            <w:pPr>
              <w:widowControl/>
              <w:jc w:val="left"/>
              <w:rPr>
                <w:rFonts w:ascii="Times New Roman" w:hAnsi="Times New Roman" w:eastAsia="宋体"/>
                <w:kern w:val="0"/>
                <w:sz w:val="20"/>
                <w:szCs w:val="20"/>
              </w:rPr>
            </w:pPr>
          </w:p>
        </w:tc>
        <w:tc>
          <w:tcPr>
            <w:tcW w:w="2836" w:type="pct"/>
            <w:gridSpan w:val="5"/>
            <w:noWrap/>
            <w:vAlign w:val="center"/>
          </w:tcPr>
          <w:p w14:paraId="778A05B1">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55AFB720">
        <w:tblPrEx>
          <w:tblCellMar>
            <w:top w:w="0" w:type="dxa"/>
            <w:left w:w="108" w:type="dxa"/>
            <w:bottom w:w="0" w:type="dxa"/>
            <w:right w:w="108" w:type="dxa"/>
          </w:tblCellMar>
        </w:tblPrEx>
        <w:trPr>
          <w:trHeight w:val="485" w:hRule="atLeast"/>
          <w:tblHeader/>
        </w:trPr>
        <w:tc>
          <w:tcPr>
            <w:tcW w:w="5000" w:type="pct"/>
            <w:gridSpan w:val="9"/>
            <w:noWrap/>
            <w:vAlign w:val="center"/>
          </w:tcPr>
          <w:p w14:paraId="2A4BC943">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347C6768">
        <w:tblPrEx>
          <w:tblCellMar>
            <w:top w:w="0" w:type="dxa"/>
            <w:left w:w="108" w:type="dxa"/>
            <w:bottom w:w="0" w:type="dxa"/>
            <w:right w:w="108" w:type="dxa"/>
          </w:tblCellMar>
        </w:tblPrEx>
        <w:trPr>
          <w:trHeight w:val="340" w:hRule="atLeast"/>
          <w:tblHeader/>
        </w:trPr>
        <w:tc>
          <w:tcPr>
            <w:tcW w:w="2163" w:type="pct"/>
            <w:gridSpan w:val="4"/>
            <w:noWrap/>
            <w:vAlign w:val="center"/>
          </w:tcPr>
          <w:p w14:paraId="25CA82C4">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填报单位:133景德镇市珠山区工业和信息化局</w:t>
            </w:r>
          </w:p>
        </w:tc>
        <w:tc>
          <w:tcPr>
            <w:tcW w:w="742" w:type="pct"/>
            <w:noWrap/>
            <w:vAlign w:val="bottom"/>
          </w:tcPr>
          <w:p w14:paraId="3C9BCF20">
            <w:pPr>
              <w:widowControl/>
              <w:jc w:val="left"/>
              <w:rPr>
                <w:rFonts w:ascii="Times New Roman" w:hAnsi="Times New Roman" w:eastAsia="宋体"/>
                <w:kern w:val="0"/>
                <w:sz w:val="20"/>
                <w:szCs w:val="20"/>
              </w:rPr>
            </w:pPr>
          </w:p>
        </w:tc>
        <w:tc>
          <w:tcPr>
            <w:tcW w:w="474" w:type="pct"/>
            <w:noWrap/>
            <w:vAlign w:val="bottom"/>
          </w:tcPr>
          <w:p w14:paraId="3255530D">
            <w:pPr>
              <w:widowControl/>
              <w:jc w:val="left"/>
              <w:rPr>
                <w:rFonts w:ascii="Times New Roman" w:hAnsi="Times New Roman" w:eastAsia="宋体"/>
                <w:kern w:val="0"/>
                <w:sz w:val="20"/>
                <w:szCs w:val="20"/>
              </w:rPr>
            </w:pPr>
          </w:p>
        </w:tc>
        <w:tc>
          <w:tcPr>
            <w:tcW w:w="596" w:type="pct"/>
            <w:noWrap/>
            <w:vAlign w:val="bottom"/>
          </w:tcPr>
          <w:p w14:paraId="5D44C3BC">
            <w:pPr>
              <w:widowControl/>
              <w:jc w:val="left"/>
              <w:rPr>
                <w:rFonts w:ascii="Times New Roman" w:hAnsi="Times New Roman" w:eastAsia="宋体"/>
                <w:kern w:val="0"/>
                <w:sz w:val="20"/>
                <w:szCs w:val="20"/>
              </w:rPr>
            </w:pPr>
          </w:p>
        </w:tc>
        <w:tc>
          <w:tcPr>
            <w:tcW w:w="1023" w:type="pct"/>
            <w:gridSpan w:val="2"/>
            <w:noWrap/>
            <w:vAlign w:val="bottom"/>
          </w:tcPr>
          <w:p w14:paraId="387FE8FE">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0AFDF893">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5DFD40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11CC25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16D6D7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75531A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24B59DAB">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73FA972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571010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042BE2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2DFC16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29D1A43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344755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6F1A21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5BA595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14834174">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6E3AAC9F">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63A54D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6D35A7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715502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00D2BA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44BE78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0925B9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7900AB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304331E8">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5FF3E0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4.46</w:t>
            </w:r>
          </w:p>
        </w:tc>
        <w:tc>
          <w:tcPr>
            <w:tcW w:w="684" w:type="pct"/>
            <w:tcBorders>
              <w:top w:val="single" w:color="000000" w:sz="4" w:space="0"/>
              <w:left w:val="nil"/>
              <w:bottom w:val="single" w:color="000000" w:sz="4" w:space="0"/>
              <w:right w:val="single" w:color="000000" w:sz="4" w:space="0"/>
            </w:tcBorders>
            <w:vAlign w:val="center"/>
          </w:tcPr>
          <w:p w14:paraId="3AC289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501607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77C552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196055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4.46</w:t>
            </w:r>
          </w:p>
        </w:tc>
        <w:tc>
          <w:tcPr>
            <w:tcW w:w="596" w:type="pct"/>
            <w:tcBorders>
              <w:top w:val="single" w:color="000000" w:sz="4" w:space="0"/>
              <w:left w:val="single" w:color="000000" w:sz="4" w:space="0"/>
              <w:bottom w:val="single" w:color="000000" w:sz="4" w:space="0"/>
              <w:right w:val="nil"/>
            </w:tcBorders>
            <w:vAlign w:val="center"/>
          </w:tcPr>
          <w:p w14:paraId="4484FC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01971DC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44D8A9F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02AEA55E">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484531CF">
        <w:tblPrEx>
          <w:tblCellMar>
            <w:top w:w="0" w:type="dxa"/>
            <w:left w:w="108" w:type="dxa"/>
            <w:bottom w:w="0" w:type="dxa"/>
            <w:right w:w="108" w:type="dxa"/>
          </w:tblCellMar>
        </w:tblPrEx>
        <w:trPr>
          <w:trHeight w:val="507" w:hRule="atLeast"/>
          <w:tblHeader/>
        </w:trPr>
        <w:tc>
          <w:tcPr>
            <w:tcW w:w="976" w:type="pct"/>
            <w:noWrap/>
            <w:vAlign w:val="bottom"/>
          </w:tcPr>
          <w:p w14:paraId="415CF7CB">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4F94BE40">
            <w:pPr>
              <w:widowControl/>
              <w:jc w:val="left"/>
              <w:rPr>
                <w:rFonts w:ascii="Times New Roman" w:hAnsi="Times New Roman" w:eastAsia="宋体"/>
                <w:kern w:val="0"/>
                <w:sz w:val="20"/>
                <w:szCs w:val="20"/>
              </w:rPr>
            </w:pPr>
          </w:p>
        </w:tc>
        <w:tc>
          <w:tcPr>
            <w:tcW w:w="2801" w:type="pct"/>
            <w:gridSpan w:val="3"/>
            <w:noWrap/>
            <w:vAlign w:val="center"/>
          </w:tcPr>
          <w:p w14:paraId="51E68FE2">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60E51D77">
        <w:tblPrEx>
          <w:tblCellMar>
            <w:top w:w="0" w:type="dxa"/>
            <w:left w:w="108" w:type="dxa"/>
            <w:bottom w:w="0" w:type="dxa"/>
            <w:right w:w="108" w:type="dxa"/>
          </w:tblCellMar>
        </w:tblPrEx>
        <w:trPr>
          <w:trHeight w:val="564" w:hRule="atLeast"/>
          <w:tblHeader/>
        </w:trPr>
        <w:tc>
          <w:tcPr>
            <w:tcW w:w="5000" w:type="pct"/>
            <w:gridSpan w:val="5"/>
            <w:noWrap/>
            <w:vAlign w:val="center"/>
          </w:tcPr>
          <w:p w14:paraId="653A0B8D">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7E4E4139">
        <w:tblPrEx>
          <w:tblCellMar>
            <w:top w:w="0" w:type="dxa"/>
            <w:left w:w="108" w:type="dxa"/>
            <w:bottom w:w="0" w:type="dxa"/>
            <w:right w:w="108" w:type="dxa"/>
          </w:tblCellMar>
        </w:tblPrEx>
        <w:trPr>
          <w:trHeight w:val="405" w:hRule="atLeast"/>
          <w:tblHeader/>
        </w:trPr>
        <w:tc>
          <w:tcPr>
            <w:tcW w:w="2198" w:type="pct"/>
            <w:gridSpan w:val="2"/>
            <w:noWrap/>
            <w:vAlign w:val="center"/>
          </w:tcPr>
          <w:p w14:paraId="18A05047">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填报单位:133景德镇市珠山区工业和信息化局</w:t>
            </w:r>
          </w:p>
        </w:tc>
        <w:tc>
          <w:tcPr>
            <w:tcW w:w="1099" w:type="pct"/>
            <w:noWrap/>
            <w:vAlign w:val="bottom"/>
          </w:tcPr>
          <w:p w14:paraId="52859CB4">
            <w:pPr>
              <w:rPr>
                <w:rFonts w:hint="eastAsia" w:ascii="宋体" w:hAnsi="宋体" w:eastAsia="宋体" w:cs="Arial"/>
                <w:color w:val="000000"/>
                <w:kern w:val="0"/>
                <w:sz w:val="24"/>
                <w:szCs w:val="24"/>
              </w:rPr>
            </w:pPr>
          </w:p>
        </w:tc>
        <w:tc>
          <w:tcPr>
            <w:tcW w:w="766" w:type="pct"/>
            <w:noWrap/>
            <w:vAlign w:val="bottom"/>
          </w:tcPr>
          <w:p w14:paraId="5A889119">
            <w:pPr>
              <w:widowControl/>
              <w:jc w:val="left"/>
              <w:rPr>
                <w:rFonts w:ascii="Times New Roman" w:hAnsi="Times New Roman" w:eastAsia="宋体"/>
                <w:kern w:val="0"/>
                <w:sz w:val="20"/>
                <w:szCs w:val="20"/>
              </w:rPr>
            </w:pPr>
          </w:p>
        </w:tc>
        <w:tc>
          <w:tcPr>
            <w:tcW w:w="935" w:type="pct"/>
            <w:noWrap/>
            <w:vAlign w:val="center"/>
          </w:tcPr>
          <w:p w14:paraId="31072A69">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630CCD81">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19BA2B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0B0D21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5463F7BC">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2E2BC0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07E0C5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67E6A7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31296D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49FABC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317E7CA4">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142907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2E4CE0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3B85C5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6677169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77F35D6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06B394BA">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59866635">
        <w:tblPrEx>
          <w:tblCellMar>
            <w:top w:w="0" w:type="dxa"/>
            <w:left w:w="108" w:type="dxa"/>
            <w:bottom w:w="0" w:type="dxa"/>
            <w:right w:w="108" w:type="dxa"/>
          </w:tblCellMar>
        </w:tblPrEx>
        <w:trPr>
          <w:trHeight w:val="619" w:hRule="atLeast"/>
          <w:tblHeader/>
        </w:trPr>
        <w:tc>
          <w:tcPr>
            <w:tcW w:w="960" w:type="pct"/>
            <w:noWrap/>
            <w:vAlign w:val="bottom"/>
          </w:tcPr>
          <w:p w14:paraId="3601CE55">
            <w:pPr>
              <w:rPr>
                <w:rStyle w:val="12"/>
                <w:rFonts w:hint="eastAsia" w:ascii="仿宋" w:hAnsi="仿宋" w:eastAsia="仿宋"/>
                <w:bCs/>
                <w:sz w:val="32"/>
                <w:szCs w:val="32"/>
              </w:rPr>
            </w:pPr>
          </w:p>
        </w:tc>
        <w:tc>
          <w:tcPr>
            <w:tcW w:w="1233" w:type="pct"/>
            <w:noWrap/>
            <w:vAlign w:val="bottom"/>
          </w:tcPr>
          <w:p w14:paraId="54AE167E">
            <w:pPr>
              <w:widowControl/>
              <w:jc w:val="left"/>
              <w:rPr>
                <w:rFonts w:ascii="Times New Roman" w:hAnsi="Times New Roman" w:eastAsia="宋体"/>
                <w:kern w:val="0"/>
                <w:sz w:val="20"/>
                <w:szCs w:val="20"/>
              </w:rPr>
            </w:pPr>
          </w:p>
        </w:tc>
        <w:tc>
          <w:tcPr>
            <w:tcW w:w="2805" w:type="pct"/>
            <w:gridSpan w:val="3"/>
            <w:noWrap/>
            <w:vAlign w:val="center"/>
          </w:tcPr>
          <w:p w14:paraId="63A04D36">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603790EA">
        <w:tblPrEx>
          <w:tblCellMar>
            <w:top w:w="0" w:type="dxa"/>
            <w:left w:w="108" w:type="dxa"/>
            <w:bottom w:w="0" w:type="dxa"/>
            <w:right w:w="108" w:type="dxa"/>
          </w:tblCellMar>
        </w:tblPrEx>
        <w:trPr>
          <w:trHeight w:val="613" w:hRule="atLeast"/>
          <w:tblHeader/>
        </w:trPr>
        <w:tc>
          <w:tcPr>
            <w:tcW w:w="5000" w:type="pct"/>
            <w:gridSpan w:val="5"/>
            <w:noWrap/>
            <w:vAlign w:val="center"/>
          </w:tcPr>
          <w:p w14:paraId="0DB0AF56">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1F8C542A">
        <w:tblPrEx>
          <w:tblCellMar>
            <w:top w:w="0" w:type="dxa"/>
            <w:left w:w="108" w:type="dxa"/>
            <w:bottom w:w="0" w:type="dxa"/>
            <w:right w:w="108" w:type="dxa"/>
          </w:tblCellMar>
        </w:tblPrEx>
        <w:trPr>
          <w:trHeight w:val="413" w:hRule="atLeast"/>
          <w:tblHeader/>
        </w:trPr>
        <w:tc>
          <w:tcPr>
            <w:tcW w:w="3282" w:type="pct"/>
            <w:gridSpan w:val="3"/>
            <w:noWrap/>
            <w:vAlign w:val="center"/>
          </w:tcPr>
          <w:p w14:paraId="0FDBC841">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填报单位:133景德镇市珠山区工业和信息化局</w:t>
            </w:r>
          </w:p>
        </w:tc>
        <w:tc>
          <w:tcPr>
            <w:tcW w:w="762" w:type="pct"/>
            <w:noWrap/>
            <w:vAlign w:val="bottom"/>
          </w:tcPr>
          <w:p w14:paraId="5CB22550">
            <w:pPr>
              <w:widowControl/>
              <w:jc w:val="left"/>
              <w:rPr>
                <w:rFonts w:ascii="Times New Roman" w:hAnsi="Times New Roman" w:eastAsia="宋体"/>
                <w:kern w:val="0"/>
                <w:sz w:val="20"/>
                <w:szCs w:val="20"/>
              </w:rPr>
            </w:pPr>
          </w:p>
        </w:tc>
        <w:tc>
          <w:tcPr>
            <w:tcW w:w="954" w:type="pct"/>
            <w:noWrap/>
            <w:vAlign w:val="center"/>
          </w:tcPr>
          <w:p w14:paraId="4999961B">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5F6AEDBB">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7ED979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36A4FE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F39F5DB">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1521F9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2A0B5D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670129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47B140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6603E8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17582099">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62EA7C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2950A1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024AF9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02CDC35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5F90405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087C6A23">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6A1FA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4EE1B4C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6A219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E86D4BF">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8BFE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133</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4FCD8B1">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8E1D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景德镇市珠山区工业和信息化局</w:t>
            </w:r>
          </w:p>
        </w:tc>
      </w:tr>
      <w:tr w14:paraId="57360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B0FB7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5"/>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678C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做好改制企业信访维稳工作，，加大金融支持，帮助解决企业资金缺口问题；，支持中小微企业发展，优化企业融资环境，持续推进帮扶政策，解决融资难问题；有效利用常态化联动机制，覆盖全区规上企业和重点企业及项目；积极开展入企服务，与企业面对面交流，指导企业走特色化、创新化高质量发展道路；积极落实工信部门有关政策，为企业争取各类项目扶持资金。盯紧工业企业，强抓安全生产，聚焦工业转型，大力发展数字经济。规模企业调度宣传活动次数≥2次，办理信访信件数量≥10件，安全知识培训活动次数≥4次，改制企业人员数量≥7人，企业进园数量≥2家。</w:t>
            </w:r>
          </w:p>
        </w:tc>
      </w:tr>
      <w:tr w14:paraId="3A0FF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2819475">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224C6">
            <w:pPr>
              <w:jc w:val="center"/>
              <w:rPr>
                <w:rFonts w:hint="eastAsia" w:asciiTheme="minorEastAsia" w:hAnsiTheme="minorEastAsia" w:eastAsiaTheme="minorEastAsia" w:cstheme="minorEastAsia"/>
                <w:b w:val="0"/>
                <w:i w:val="0"/>
                <w:iCs w:val="0"/>
                <w:color w:val="000000"/>
                <w:sz w:val="18"/>
                <w:szCs w:val="18"/>
                <w:u w:val="none"/>
              </w:rPr>
            </w:pPr>
          </w:p>
        </w:tc>
      </w:tr>
      <w:tr w14:paraId="55092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6853A53">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62546">
            <w:pPr>
              <w:jc w:val="center"/>
              <w:rPr>
                <w:rFonts w:hint="eastAsia" w:asciiTheme="minorEastAsia" w:hAnsiTheme="minorEastAsia" w:eastAsiaTheme="minorEastAsia" w:cstheme="minorEastAsia"/>
                <w:b w:val="0"/>
                <w:i w:val="0"/>
                <w:iCs w:val="0"/>
                <w:color w:val="000000"/>
                <w:sz w:val="18"/>
                <w:szCs w:val="18"/>
                <w:u w:val="none"/>
              </w:rPr>
            </w:pPr>
          </w:p>
        </w:tc>
      </w:tr>
      <w:tr w14:paraId="0C9EC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0EDA7F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2ECE23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5DAA75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F9121B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36C6A0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4859BC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0D65D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CF74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8EE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A74F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规模企业调度宣传活动次数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4AE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012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FCB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18149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8B64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1E8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4C2B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办理信访信件数量</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D52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445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953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件</w:t>
            </w:r>
          </w:p>
        </w:tc>
      </w:tr>
      <w:tr w14:paraId="5ED9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F524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EEA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657A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安全知识培训活动次数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C6D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F8F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4</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2DC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65235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8019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5C7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B9DC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改制企业人员数量</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39A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36D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7</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5C3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w:t>
            </w:r>
          </w:p>
        </w:tc>
      </w:tr>
      <w:tr w14:paraId="1F3D7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F37D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43E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B5F1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企业进园数量</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400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0E4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63D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家</w:t>
            </w:r>
          </w:p>
        </w:tc>
      </w:tr>
      <w:tr w14:paraId="3B3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A4E4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E55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8F00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工作会议和宣传活动内容符合率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D52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287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B6D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B3E3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CB7A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DFB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A842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信访问题办结率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324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0EB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4BA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2A97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6726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3D7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FACB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培训内容主题符合率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E64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AF3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231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9441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E293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50B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1800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改制企业人员符合率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5A2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E37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1B1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48A3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08A9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B90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061B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企业进园合格率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B3D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653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21E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B2E6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9DE3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411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923C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规模企业调度响应及时率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C00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902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708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20F6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181E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E31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906D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信访案件化解时率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459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150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6D0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E1F2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CC5B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5DE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0767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年度培训任务完成及时率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3F8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C21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936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96B1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E830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946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DEDD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改制企业人员诉求办结率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587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2D9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571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ED9D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1434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450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F863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企业进园办理及时率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B7D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ECA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18E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D68E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83C4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588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C553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FB7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0AE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F4B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8B7D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7EF1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502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DB8C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DC3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B13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B70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D30D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B172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184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53DF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110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774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7C1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BAE2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68AF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F1D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B73A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CE1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F8D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231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9F0E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89CE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63D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E197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工业经济稳定运行情况</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EB0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B6E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提升</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767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3C0A9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FBEB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6E3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F1D8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提升企业竞争力</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447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41A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提升</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007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09B2C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04BE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A42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1BBF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提高企业生产安全意识</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D7F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740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提高</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E04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059A8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E77A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412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9AB3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服务企业满意度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A0F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878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C4E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09C9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D4CE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CB6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21E9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改制企业人员满意度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2BF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391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90B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24B89117">
      <w:pPr>
        <w:rPr>
          <w:rFonts w:hint="eastAsia"/>
          <w:lang w:eastAsia="zh-CN"/>
        </w:rPr>
      </w:pPr>
    </w:p>
    <w:p w14:paraId="7FBF7DAF">
      <w:pPr>
        <w:rPr>
          <w:rFonts w:hint="eastAsia"/>
          <w:lang w:eastAsia="zh-CN"/>
        </w:rPr>
      </w:pPr>
    </w:p>
    <w:p w14:paraId="5FCAC54C">
      <w:pPr>
        <w:rPr>
          <w:rFonts w:hint="eastAsia"/>
          <w:lang w:eastAsia="zh-CN"/>
        </w:rPr>
      </w:pPr>
    </w:p>
    <w:p w14:paraId="21DB105A">
      <w:pPr>
        <w:rPr>
          <w:rFonts w:hint="eastAsia"/>
          <w:lang w:eastAsia="zh-CN"/>
        </w:rPr>
      </w:pPr>
    </w:p>
    <w:tbl>
      <w:tblPr>
        <w:tblStyle w:val="6"/>
        <w:tblW w:w="9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1"/>
        <w:gridCol w:w="1998"/>
        <w:gridCol w:w="3343"/>
        <w:gridCol w:w="1064"/>
        <w:gridCol w:w="2933"/>
      </w:tblGrid>
      <w:tr w14:paraId="06699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98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B892">
            <w:pPr>
              <w:keepNext w:val="0"/>
              <w:keepLines w:val="0"/>
              <w:widowControl/>
              <w:suppressLineNumbers w:val="0"/>
              <w:jc w:val="center"/>
              <w:textAlignment w:val="center"/>
              <w:rPr>
                <w:rFonts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项目支出绩效目标表</w:t>
            </w:r>
          </w:p>
        </w:tc>
      </w:tr>
      <w:tr w14:paraId="67534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782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（2026-2026年度）</w:t>
            </w:r>
          </w:p>
        </w:tc>
      </w:tr>
      <w:tr w14:paraId="4C06E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F12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36D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工信经常性业务工作_陶瓷创意设计专项经费</w:t>
            </w:r>
          </w:p>
        </w:tc>
      </w:tr>
      <w:tr w14:paraId="50C05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F7A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主管部门及代码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946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133-景德镇市珠山区工业和信息化局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0962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实施单位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6C1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景德镇市珠山区工业和信息化局</w:t>
            </w:r>
          </w:p>
        </w:tc>
      </w:tr>
      <w:tr w14:paraId="3B225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C3F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项目资金（万元）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19C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B549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100.00</w:t>
            </w:r>
          </w:p>
        </w:tc>
      </w:tr>
      <w:tr w14:paraId="03F41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DB7B5">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7411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其中：非财政拨款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1B4D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0</w:t>
            </w:r>
          </w:p>
        </w:tc>
      </w:tr>
      <w:tr w14:paraId="6306C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32C1">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E5E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FC3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0</w:t>
            </w:r>
          </w:p>
        </w:tc>
      </w:tr>
      <w:tr w14:paraId="275BF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CE06">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62A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上年结转</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743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0</w:t>
            </w:r>
          </w:p>
        </w:tc>
      </w:tr>
      <w:tr w14:paraId="21F9B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C7F7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总绩效目标</w:t>
            </w:r>
          </w:p>
        </w:tc>
      </w:tr>
      <w:tr w14:paraId="1A40E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9"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7401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紧紧围绕“打造全球陶瓷创意设计中心”奋斗目标，扛牢主城担当，彰显著称作为，力争三年时间，通过建立陶瓷创意设计校企联盟、培育陶瓷创意设计基地、引进培育创意设计领军企业等举措基本形成创意设计与相关产业全方位、深层次、宽领域融合的发展格局，有力支撑和促进陶瓷产业转型升级，做强做大，为催生陶瓷新质生产力提供不竭动能，成为全国陶瓷创意设计前沿风向标、创新策员地、新品首秀场。通过组建珠山区加强陶瓷创意设计工作专班，加强对全区陶瓷创意设计发展的组织领导和统筹协调，通过接待各方专家和外出对接陶瓷创意设计工作，共建陶瓷创意设计友好型制度环境。预计当年度完成工信部、设计组织的接待不少于2次，外出对接陶瓷创意设计相关出差不少于2次，《规划》报告编制数=1个。</w:t>
            </w:r>
          </w:p>
        </w:tc>
      </w:tr>
      <w:tr w14:paraId="331F9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DC0B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80D1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992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B21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指标值</w:t>
            </w:r>
          </w:p>
        </w:tc>
      </w:tr>
      <w:tr w14:paraId="594A7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03F3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480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220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陶瓷创意设计专班接待成本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86D5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≤30万元</w:t>
            </w:r>
          </w:p>
        </w:tc>
      </w:tr>
      <w:tr w14:paraId="4AD63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95F1C">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E5F95">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8DA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陶瓷创意设计专班外出对接差旅成本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46C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≤40万元</w:t>
            </w:r>
          </w:p>
        </w:tc>
      </w:tr>
      <w:tr w14:paraId="0985C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62047">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29AC">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63C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《规划》报告编制成本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C4F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≤30万元</w:t>
            </w:r>
          </w:p>
        </w:tc>
      </w:tr>
      <w:tr w14:paraId="3B5B2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9835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3D3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4C7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接待工信部、设计组织等数量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7107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≥2次</w:t>
            </w:r>
          </w:p>
        </w:tc>
      </w:tr>
      <w:tr w14:paraId="2143E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EAEE">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6C3B">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3C6C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外出对接陶瓷创意设计相关差旅次数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5B9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≥2次</w:t>
            </w:r>
          </w:p>
        </w:tc>
      </w:tr>
      <w:tr w14:paraId="76212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604D">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7C60">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322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《规划》报告编制数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D2A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=1个</w:t>
            </w:r>
          </w:p>
        </w:tc>
      </w:tr>
      <w:tr w14:paraId="0D110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C86B">
            <w:pPr>
              <w:jc w:val="center"/>
              <w:rPr>
                <w:rFonts w:hint="eastAsia" w:ascii="微软雅黑" w:hAnsi="微软雅黑" w:eastAsia="微软雅黑" w:cs="微软雅黑"/>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ED7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1C9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接待标准合规率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2D1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w:t>
            </w:r>
          </w:p>
        </w:tc>
      </w:tr>
      <w:tr w14:paraId="656F0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0F82">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2A7AA">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2A8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差旅报销合规率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AB5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w:t>
            </w:r>
          </w:p>
        </w:tc>
      </w:tr>
      <w:tr w14:paraId="57FB3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D31E0">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DDA2F">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94C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报告验收合格率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A42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w:t>
            </w:r>
          </w:p>
        </w:tc>
      </w:tr>
      <w:tr w14:paraId="117B4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6EF9">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7A30">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098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报告底稿交叉验证准确率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0B1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w:t>
            </w:r>
          </w:p>
        </w:tc>
      </w:tr>
      <w:tr w14:paraId="4AF3F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3CB0">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C3BD">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366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报告终稿明显错误数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91F2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=0处</w:t>
            </w:r>
          </w:p>
        </w:tc>
      </w:tr>
      <w:tr w14:paraId="3BF95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7929">
            <w:pPr>
              <w:jc w:val="center"/>
              <w:rPr>
                <w:rFonts w:hint="eastAsia" w:ascii="微软雅黑" w:hAnsi="微软雅黑" w:eastAsia="微软雅黑" w:cs="微软雅黑"/>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21F0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ED3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接待及时率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4E1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w:t>
            </w:r>
          </w:p>
        </w:tc>
      </w:tr>
      <w:tr w14:paraId="01C46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1A74">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A2F8">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4BF2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报告交付及时率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53DC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w:t>
            </w:r>
          </w:p>
        </w:tc>
      </w:tr>
      <w:tr w14:paraId="60B2D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94C5">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A066E">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0E0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报告验收及时率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DD1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w:t>
            </w:r>
          </w:p>
        </w:tc>
      </w:tr>
      <w:tr w14:paraId="7C1ED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780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5BA4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66B4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推动地方特色与国际需求接轨、引导未来陶瓷创意设计产业高质量发展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C94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定性有效推动</w:t>
            </w:r>
          </w:p>
        </w:tc>
      </w:tr>
      <w:tr w14:paraId="1BF3A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05B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1BD6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AF3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接待对象满意度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E10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≥90%</w:t>
            </w:r>
          </w:p>
        </w:tc>
      </w:tr>
      <w:tr w14:paraId="27DFC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A602E">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FA49">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299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社会公众满意度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20DD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≥90%</w:t>
            </w:r>
          </w:p>
        </w:tc>
      </w:tr>
      <w:tr w14:paraId="5BBEE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D720C">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846AA">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EF3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1E7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bl>
    <w:p w14:paraId="25CA5843">
      <w:pPr>
        <w:rPr>
          <w:rFonts w:hint="eastAsia"/>
          <w:lang w:eastAsia="zh-CN"/>
        </w:rPr>
        <w:sectPr>
          <w:pgSz w:w="11906" w:h="16838"/>
          <w:pgMar w:top="720" w:right="720" w:bottom="720" w:left="720" w:header="851" w:footer="992" w:gutter="0"/>
          <w:cols w:space="425" w:num="1"/>
          <w:docGrid w:type="lines" w:linePitch="312" w:charSpace="0"/>
        </w:sectPr>
      </w:pPr>
    </w:p>
    <w:p w14:paraId="7C8291C8">
      <w:pPr>
        <w:pStyle w:val="17"/>
        <w:numPr>
          <w:ilvl w:val="0"/>
          <w:numId w:val="0"/>
        </w:numPr>
        <w:bidi w:val="0"/>
        <w:ind w:left="420" w:leftChars="200"/>
        <w:jc w:val="center"/>
        <w:rPr>
          <w:rFonts w:hint="eastAsia"/>
          <w:lang w:eastAsia="zh-CN"/>
        </w:rPr>
      </w:pPr>
      <w:r>
        <w:rPr>
          <w:rFonts w:hint="eastAsia"/>
          <w:lang w:val="en-US" w:eastAsia="zh-CN"/>
        </w:rPr>
        <w:t>第三部分  景德镇市珠山区工业和信息化局2026年部门预算情况说明</w:t>
      </w:r>
    </w:p>
    <w:p w14:paraId="6983F388">
      <w:pPr>
        <w:widowControl/>
        <w:spacing w:line="580" w:lineRule="exact"/>
        <w:jc w:val="center"/>
        <w:rPr>
          <w:rFonts w:ascii="仿宋_GB2312" w:eastAsia="仿宋_GB2312"/>
          <w:b/>
          <w:sz w:val="32"/>
          <w:szCs w:val="30"/>
        </w:rPr>
      </w:pPr>
    </w:p>
    <w:p w14:paraId="7962015B">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219FBBF7">
      <w:pPr>
        <w:pStyle w:val="19"/>
        <w:numPr>
          <w:ilvl w:val="0"/>
          <w:numId w:val="0"/>
        </w:numPr>
        <w:bidi w:val="0"/>
        <w:ind w:left="420" w:leftChars="200"/>
        <w:rPr>
          <w:rFonts w:hint="eastAsia"/>
        </w:rPr>
      </w:pPr>
      <w:r>
        <w:rPr>
          <w:rFonts w:hint="eastAsia"/>
        </w:rPr>
        <w:t xml:space="preserve"> (一)收入预算情况</w:t>
      </w:r>
    </w:p>
    <w:p w14:paraId="6FA8DC2E">
      <w:pPr>
        <w:pStyle w:val="18"/>
        <w:bidi w:val="0"/>
        <w:rPr>
          <w:rFonts w:hint="eastAsia"/>
          <w:u w:val="none"/>
        </w:rPr>
      </w:pPr>
      <w:r>
        <w:rPr>
          <w:rFonts w:hint="eastAsia"/>
          <w:u w:val="none"/>
          <w:lang w:eastAsia="zh-CN"/>
        </w:rPr>
        <w:t>2026</w:t>
      </w:r>
      <w:r>
        <w:rPr>
          <w:rFonts w:hint="eastAsia"/>
          <w:u w:val="none"/>
        </w:rPr>
        <w:t>年</w:t>
      </w:r>
      <w:r>
        <w:rPr>
          <w:rFonts w:hint="eastAsia"/>
          <w:u w:val="none"/>
          <w:lang w:eastAsia="zh-CN"/>
        </w:rPr>
        <w:t>景德镇市珠山区工业和信息化局</w:t>
      </w:r>
      <w:r>
        <w:rPr>
          <w:rFonts w:hint="eastAsia"/>
          <w:u w:val="none"/>
        </w:rPr>
        <w:t>收入预算总额为462.87万元</w:t>
      </w:r>
      <w:r>
        <w:rPr>
          <w:rFonts w:hint="eastAsia"/>
          <w:u w:val="none"/>
          <w:lang w:eastAsia="zh-CN"/>
        </w:rPr>
        <w:t>，</w:t>
      </w:r>
      <w:r>
        <w:rPr>
          <w:rFonts w:hint="eastAsia"/>
          <w:u w:val="none"/>
        </w:rPr>
        <w:t>较上年预算安排减少</w:t>
      </w:r>
      <w:r>
        <w:rPr>
          <w:rFonts w:hint="eastAsia"/>
          <w:u w:val="none"/>
          <w:lang w:val="en-US" w:eastAsia="zh-CN"/>
        </w:rPr>
        <w:t>988.81</w:t>
      </w:r>
      <w:r>
        <w:rPr>
          <w:rFonts w:hint="eastAsia"/>
          <w:u w:val="none"/>
        </w:rPr>
        <w:t>万元</w:t>
      </w:r>
      <w:r>
        <w:rPr>
          <w:rFonts w:hint="eastAsia"/>
          <w:u w:val="none"/>
          <w:lang w:eastAsia="zh-CN"/>
        </w:rPr>
        <w:t>；本年收入合计454.45万元，较上年预算安排减少</w:t>
      </w:r>
      <w:r>
        <w:rPr>
          <w:rFonts w:hint="eastAsia"/>
          <w:u w:val="none"/>
          <w:lang w:val="en-US" w:eastAsia="zh-CN"/>
        </w:rPr>
        <w:t>942.23</w:t>
      </w:r>
      <w:r>
        <w:rPr>
          <w:rFonts w:hint="eastAsia"/>
          <w:u w:val="none"/>
          <w:lang w:eastAsia="zh-CN"/>
        </w:rPr>
        <w:t>万元；包括：财政拨款收入454.45万元，较上年预算安排减少</w:t>
      </w:r>
      <w:r>
        <w:rPr>
          <w:rFonts w:hint="eastAsia"/>
          <w:u w:val="none"/>
          <w:lang w:val="en-US" w:eastAsia="zh-CN"/>
        </w:rPr>
        <w:t>942.23</w:t>
      </w:r>
      <w:r>
        <w:rPr>
          <w:rFonts w:hint="eastAsia"/>
          <w:u w:val="none"/>
          <w:lang w:eastAsia="zh-CN"/>
        </w:rPr>
        <w:t>万元。上年结转8.42万元，较上年预算安排减少</w:t>
      </w:r>
      <w:r>
        <w:rPr>
          <w:rFonts w:hint="eastAsia"/>
          <w:u w:val="none"/>
          <w:lang w:val="en-US" w:eastAsia="zh-CN"/>
        </w:rPr>
        <w:t>63.43</w:t>
      </w:r>
      <w:r>
        <w:rPr>
          <w:rFonts w:hint="eastAsia"/>
          <w:u w:val="none"/>
          <w:lang w:eastAsia="zh-CN"/>
        </w:rPr>
        <w:t>万元。</w:t>
      </w:r>
    </w:p>
    <w:p w14:paraId="3BE12926">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5FA491DB">
      <w:pPr>
        <w:pStyle w:val="18"/>
        <w:bidi w:val="0"/>
        <w:rPr>
          <w:rFonts w:hint="eastAsia"/>
          <w:u w:val="none"/>
        </w:rPr>
      </w:pPr>
      <w:r>
        <w:rPr>
          <w:rFonts w:hint="eastAsia"/>
          <w:u w:val="none"/>
          <w:lang w:eastAsia="zh-CN"/>
        </w:rPr>
        <w:t>2026</w:t>
      </w:r>
      <w:r>
        <w:rPr>
          <w:rFonts w:hint="eastAsia"/>
          <w:u w:val="none"/>
        </w:rPr>
        <w:t>年</w:t>
      </w:r>
      <w:r>
        <w:rPr>
          <w:rFonts w:hint="eastAsia"/>
          <w:u w:val="none"/>
          <w:lang w:eastAsia="zh-CN"/>
        </w:rPr>
        <w:t>景德镇市珠山区工业和信息化局</w:t>
      </w:r>
      <w:r>
        <w:rPr>
          <w:rFonts w:hint="eastAsia"/>
          <w:u w:val="none"/>
        </w:rPr>
        <w:t>支出预算总额为462.87万元</w:t>
      </w:r>
      <w:r>
        <w:rPr>
          <w:rFonts w:hint="eastAsia"/>
          <w:u w:val="none"/>
          <w:lang w:eastAsia="zh-CN"/>
        </w:rPr>
        <w:t>，</w:t>
      </w:r>
      <w:r>
        <w:rPr>
          <w:rFonts w:hint="eastAsia"/>
          <w:u w:val="none"/>
        </w:rPr>
        <w:t>较上年预算安排减少</w:t>
      </w:r>
      <w:r>
        <w:rPr>
          <w:rFonts w:hint="eastAsia"/>
          <w:u w:val="none"/>
          <w:lang w:val="en-US" w:eastAsia="zh-CN"/>
        </w:rPr>
        <w:t>988.81</w:t>
      </w:r>
      <w:r>
        <w:rPr>
          <w:rFonts w:hint="eastAsia"/>
          <w:u w:val="none"/>
        </w:rPr>
        <w:t xml:space="preserve">万元。 </w:t>
      </w:r>
    </w:p>
    <w:p w14:paraId="4BDB7C5A">
      <w:pPr>
        <w:pStyle w:val="18"/>
        <w:bidi w:val="0"/>
        <w:rPr>
          <w:rFonts w:hint="eastAsia"/>
          <w:u w:val="none"/>
        </w:rPr>
      </w:pPr>
      <w:r>
        <w:rPr>
          <w:rFonts w:hint="eastAsia"/>
          <w:u w:val="none"/>
        </w:rPr>
        <w:t>按支出项目类别划分：基本支出206.35万元</w:t>
      </w:r>
      <w:r>
        <w:rPr>
          <w:rFonts w:hint="eastAsia"/>
          <w:u w:val="none"/>
          <w:lang w:eastAsia="zh-CN"/>
        </w:rPr>
        <w:t>，</w:t>
      </w:r>
      <w:r>
        <w:rPr>
          <w:rFonts w:hint="eastAsia"/>
          <w:u w:val="none"/>
        </w:rPr>
        <w:t>较上年预算安排增加减少</w:t>
      </w:r>
      <w:r>
        <w:rPr>
          <w:rFonts w:hint="eastAsia"/>
          <w:u w:val="none"/>
          <w:lang w:val="en-US" w:eastAsia="zh-CN"/>
        </w:rPr>
        <w:t>24.73</w:t>
      </w:r>
      <w:r>
        <w:rPr>
          <w:rFonts w:hint="eastAsia"/>
          <w:u w:val="none"/>
        </w:rPr>
        <w:t>万元</w:t>
      </w:r>
      <w:r>
        <w:rPr>
          <w:rFonts w:hint="eastAsia"/>
          <w:u w:val="none"/>
          <w:lang w:eastAsia="zh-CN"/>
        </w:rPr>
        <w:t>；</w:t>
      </w:r>
      <w:r>
        <w:rPr>
          <w:rFonts w:hint="eastAsia"/>
          <w:u w:val="none"/>
        </w:rPr>
        <w:t>项目支出256.52万元</w:t>
      </w:r>
      <w:r>
        <w:rPr>
          <w:rFonts w:hint="eastAsia"/>
          <w:u w:val="none"/>
          <w:lang w:eastAsia="zh-CN"/>
        </w:rPr>
        <w:t>，</w:t>
      </w:r>
      <w:r>
        <w:rPr>
          <w:rFonts w:hint="eastAsia"/>
          <w:u w:val="none"/>
        </w:rPr>
        <w:t>较上年预算安排减少</w:t>
      </w:r>
      <w:r>
        <w:rPr>
          <w:rFonts w:hint="eastAsia"/>
          <w:u w:val="none"/>
          <w:lang w:val="en-US" w:eastAsia="zh-CN"/>
        </w:rPr>
        <w:t>909.08</w:t>
      </w:r>
      <w:r>
        <w:rPr>
          <w:rFonts w:hint="eastAsia"/>
          <w:u w:val="none"/>
        </w:rPr>
        <w:t>万元。</w:t>
      </w:r>
    </w:p>
    <w:p w14:paraId="3623760B">
      <w:pPr>
        <w:pStyle w:val="18"/>
        <w:bidi w:val="0"/>
        <w:rPr>
          <w:rFonts w:hint="eastAsia"/>
          <w:u w:val="none"/>
        </w:rPr>
      </w:pPr>
      <w:r>
        <w:rPr>
          <w:rFonts w:hint="eastAsia"/>
          <w:u w:val="none"/>
        </w:rPr>
        <w:t>按支出功能科目划分：社会保障和就业支出12.78万元，较上年预算安排减少</w:t>
      </w:r>
      <w:r>
        <w:rPr>
          <w:rFonts w:hint="eastAsia"/>
          <w:u w:val="none"/>
          <w:lang w:val="en-US" w:eastAsia="zh-CN"/>
        </w:rPr>
        <w:t>1.54</w:t>
      </w:r>
      <w:r>
        <w:rPr>
          <w:rFonts w:hint="eastAsia"/>
          <w:u w:val="none"/>
        </w:rPr>
        <w:t>万元；卫生健康支出5.39万元，较上年预算安排减少</w:t>
      </w:r>
      <w:r>
        <w:rPr>
          <w:rFonts w:hint="eastAsia"/>
          <w:u w:val="none"/>
          <w:lang w:val="en-US" w:eastAsia="zh-CN"/>
        </w:rPr>
        <w:t>0.38</w:t>
      </w:r>
      <w:r>
        <w:rPr>
          <w:rFonts w:hint="eastAsia"/>
          <w:u w:val="none"/>
        </w:rPr>
        <w:t>万元；交通运输支出49.52万元，较上年预算安排增加</w:t>
      </w:r>
      <w:r>
        <w:rPr>
          <w:rFonts w:hint="eastAsia"/>
          <w:u w:val="none"/>
          <w:lang w:val="en-US" w:eastAsia="zh-CN"/>
        </w:rPr>
        <w:t>49.52</w:t>
      </w:r>
      <w:r>
        <w:rPr>
          <w:rFonts w:hint="eastAsia"/>
          <w:u w:val="none"/>
        </w:rPr>
        <w:t>万元；资源勘探工业信息等支出385.65万元，较上年预算安排增加</w:t>
      </w:r>
      <w:r>
        <w:rPr>
          <w:rFonts w:hint="eastAsia"/>
          <w:u w:val="none"/>
          <w:lang w:val="en-US" w:eastAsia="zh-CN"/>
        </w:rPr>
        <w:t>980.28</w:t>
      </w:r>
      <w:r>
        <w:rPr>
          <w:rFonts w:hint="eastAsia"/>
          <w:u w:val="none"/>
        </w:rPr>
        <w:t>万元；住房保障支出9.52万元，较上年预算安排减少</w:t>
      </w:r>
      <w:r>
        <w:rPr>
          <w:rFonts w:hint="eastAsia"/>
          <w:u w:val="none"/>
          <w:lang w:val="en-US" w:eastAsia="zh-CN"/>
        </w:rPr>
        <w:t>1.14</w:t>
      </w:r>
      <w:r>
        <w:rPr>
          <w:rFonts w:hint="eastAsia"/>
          <w:u w:val="none"/>
        </w:rPr>
        <w:t>万元。</w:t>
      </w:r>
    </w:p>
    <w:p w14:paraId="7C666186">
      <w:pPr>
        <w:pStyle w:val="18"/>
        <w:bidi w:val="0"/>
        <w:rPr>
          <w:rFonts w:hint="eastAsia"/>
        </w:rPr>
      </w:pPr>
      <w:r>
        <w:rPr>
          <w:rFonts w:hint="eastAsia"/>
          <w:u w:val="none"/>
        </w:rPr>
        <w:t>按支出经济分类划分：工资福利支出192.28万元，较上年预算安排减少</w:t>
      </w:r>
      <w:r>
        <w:rPr>
          <w:rFonts w:hint="eastAsia"/>
          <w:u w:val="none"/>
          <w:lang w:val="en-US" w:eastAsia="zh-CN"/>
        </w:rPr>
        <w:t>27.13</w:t>
      </w:r>
      <w:r>
        <w:rPr>
          <w:rFonts w:hint="eastAsia"/>
          <w:u w:val="none"/>
        </w:rPr>
        <w:t>万元；商品和服务支出260.70万元，较上年预算安排增加</w:t>
      </w:r>
      <w:r>
        <w:rPr>
          <w:rFonts w:hint="eastAsia"/>
          <w:u w:val="none"/>
          <w:lang w:val="en-US" w:eastAsia="zh-CN"/>
        </w:rPr>
        <w:t>250.50</w:t>
      </w:r>
      <w:r>
        <w:rPr>
          <w:rFonts w:hint="eastAsia"/>
          <w:u w:val="none"/>
        </w:rPr>
        <w:t>万元；对个人和家庭的补助1.47万元，较上年预算安排增加</w:t>
      </w:r>
      <w:r>
        <w:rPr>
          <w:rFonts w:hint="eastAsia"/>
          <w:u w:val="none"/>
          <w:lang w:val="en-US" w:eastAsia="zh-CN"/>
        </w:rPr>
        <w:t>0.00</w:t>
      </w:r>
      <w:r>
        <w:rPr>
          <w:rFonts w:hint="eastAsia"/>
          <w:u w:val="none"/>
        </w:rPr>
        <w:t>万元；资本性支出（基本建设）8.42万元，较上年预算安排增加</w:t>
      </w:r>
      <w:r>
        <w:rPr>
          <w:rFonts w:hint="eastAsia"/>
          <w:u w:val="none"/>
          <w:lang w:val="en-US" w:eastAsia="zh-CN"/>
        </w:rPr>
        <w:t>8.42</w:t>
      </w:r>
      <w:r>
        <w:rPr>
          <w:rFonts w:hint="eastAsia"/>
          <w:u w:val="none"/>
        </w:rPr>
        <w:t>万元。</w:t>
      </w:r>
    </w:p>
    <w:p w14:paraId="63965682">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14:paraId="7EDB3463">
      <w:pPr>
        <w:pStyle w:val="18"/>
        <w:bidi w:val="0"/>
        <w:rPr>
          <w:rFonts w:hint="eastAsia"/>
        </w:rPr>
      </w:pPr>
      <w:r>
        <w:rPr>
          <w:rFonts w:hint="eastAsia"/>
          <w:lang w:eastAsia="zh-CN"/>
        </w:rPr>
        <w:t>2026</w:t>
      </w:r>
      <w:r>
        <w:rPr>
          <w:rFonts w:hint="eastAsia"/>
        </w:rPr>
        <w:t>年</w:t>
      </w:r>
      <w:r>
        <w:rPr>
          <w:rFonts w:hint="eastAsia"/>
          <w:lang w:eastAsia="zh-CN"/>
        </w:rPr>
        <w:t>景德镇市珠山区工业和信息化局</w:t>
      </w:r>
      <w:r>
        <w:rPr>
          <w:rFonts w:hint="eastAsia"/>
        </w:rPr>
        <w:t>财政拨款支出预算总额462.87万元,较上年预算安排减</w:t>
      </w:r>
      <w:r>
        <w:rPr>
          <w:rFonts w:hint="eastAsia"/>
          <w:u w:val="none"/>
        </w:rPr>
        <w:t>少</w:t>
      </w:r>
      <w:r>
        <w:rPr>
          <w:rFonts w:hint="eastAsia"/>
          <w:u w:val="none"/>
          <w:lang w:val="en-US" w:eastAsia="zh-CN"/>
        </w:rPr>
        <w:t>933.81</w:t>
      </w:r>
      <w:r>
        <w:rPr>
          <w:rFonts w:hint="eastAsia"/>
          <w:u w:val="none"/>
        </w:rPr>
        <w:t>万元</w:t>
      </w:r>
      <w:r>
        <w:rPr>
          <w:rFonts w:hint="eastAsia"/>
        </w:rPr>
        <w:t>。</w:t>
      </w:r>
    </w:p>
    <w:p w14:paraId="1D9061A8">
      <w:pPr>
        <w:pStyle w:val="18"/>
        <w:bidi w:val="0"/>
        <w:rPr>
          <w:rFonts w:hint="eastAsia"/>
        </w:rPr>
      </w:pPr>
      <w:r>
        <w:rPr>
          <w:rFonts w:hint="eastAsia"/>
        </w:rPr>
        <w:t>按支出功能科目划分：社会保障和就业支出12.78万元，卫生健康支出5.39万元，交通运输支出49.52万元，资源勘探工业信息等支出385.65万元，住房保障支出9.52万元。</w:t>
      </w:r>
    </w:p>
    <w:p w14:paraId="7AB9CA8F">
      <w:pPr>
        <w:pStyle w:val="18"/>
        <w:bidi w:val="0"/>
        <w:rPr>
          <w:rFonts w:hint="eastAsia"/>
        </w:rPr>
      </w:pPr>
      <w:r>
        <w:rPr>
          <w:rFonts w:hint="eastAsia"/>
        </w:rPr>
        <w:t>按支出项目类别划分：基本支出206.35万元,项目支出256.52万元。</w:t>
      </w:r>
    </w:p>
    <w:p w14:paraId="79E94233">
      <w:pPr>
        <w:pStyle w:val="18"/>
        <w:bidi w:val="0"/>
        <w:rPr>
          <w:rFonts w:hint="eastAsia"/>
        </w:rPr>
      </w:pPr>
      <w:r>
        <w:rPr>
          <w:rFonts w:hint="eastAsia"/>
        </w:rPr>
        <w:t>按支</w:t>
      </w:r>
      <w:r>
        <w:rPr>
          <w:rFonts w:hint="eastAsia"/>
          <w:lang w:val="en-US" w:eastAsia="zh-CN"/>
        </w:rPr>
        <w:t>出经济分类</w:t>
      </w:r>
      <w:r>
        <w:rPr>
          <w:rFonts w:hint="eastAsia"/>
        </w:rPr>
        <w:t>划分：工资福利支出192.28万元，商品和服务支出260.70万元，对个人和家庭的补助1.47万元，资本性支出（基本建设）8.42万元。</w:t>
      </w:r>
    </w:p>
    <w:p w14:paraId="7E8C66A1">
      <w:pPr>
        <w:pStyle w:val="19"/>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60E12810">
      <w:pPr>
        <w:spacing w:before="212" w:line="220" w:lineRule="auto"/>
        <w:ind w:left="653"/>
        <w:rPr>
          <w:rFonts w:ascii="仿宋" w:hAnsi="仿宋" w:eastAsia="仿宋" w:cs="仿宋"/>
          <w:sz w:val="31"/>
          <w:szCs w:val="31"/>
        </w:rPr>
      </w:pPr>
      <w:r>
        <w:rPr>
          <w:rFonts w:ascii="仿宋" w:hAnsi="仿宋" w:eastAsia="仿宋" w:cs="仿宋"/>
          <w:spacing w:val="7"/>
          <w:sz w:val="31"/>
          <w:szCs w:val="31"/>
        </w:rPr>
        <w:t>2026</w:t>
      </w:r>
      <w:r>
        <w:rPr>
          <w:rFonts w:ascii="仿宋" w:hAnsi="仿宋" w:eastAsia="仿宋" w:cs="仿宋"/>
          <w:spacing w:val="-52"/>
          <w:sz w:val="31"/>
          <w:szCs w:val="31"/>
        </w:rPr>
        <w:t xml:space="preserve"> </w:t>
      </w:r>
      <w:r>
        <w:rPr>
          <w:rFonts w:ascii="仿宋" w:hAnsi="仿宋" w:eastAsia="仿宋" w:cs="仿宋"/>
          <w:spacing w:val="7"/>
          <w:sz w:val="31"/>
          <w:szCs w:val="31"/>
        </w:rPr>
        <w:t>年本部门没有使用政府性基金预算拨款安排的支出。</w:t>
      </w:r>
    </w:p>
    <w:p w14:paraId="601424F4">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14:paraId="66BEC1D5">
      <w:pPr>
        <w:spacing w:before="215" w:line="292" w:lineRule="auto"/>
        <w:ind w:left="43" w:firstLine="612"/>
        <w:outlineLvl w:val="1"/>
        <w:rPr>
          <w:rFonts w:ascii="仿宋" w:hAnsi="仿宋" w:eastAsia="仿宋" w:cs="仿宋"/>
          <w:sz w:val="31"/>
          <w:szCs w:val="31"/>
        </w:rPr>
      </w:pPr>
      <w:r>
        <w:rPr>
          <w:rFonts w:ascii="仿宋" w:hAnsi="仿宋" w:eastAsia="仿宋" w:cs="仿宋"/>
          <w:spacing w:val="20"/>
          <w:sz w:val="31"/>
          <w:szCs w:val="31"/>
        </w:rPr>
        <w:t>2026</w:t>
      </w:r>
      <w:r>
        <w:rPr>
          <w:rFonts w:ascii="仿宋" w:hAnsi="仿宋" w:eastAsia="仿宋" w:cs="仿宋"/>
          <w:spacing w:val="-44"/>
          <w:sz w:val="31"/>
          <w:szCs w:val="31"/>
        </w:rPr>
        <w:t xml:space="preserve"> </w:t>
      </w:r>
      <w:r>
        <w:rPr>
          <w:rFonts w:ascii="仿宋" w:hAnsi="仿宋" w:eastAsia="仿宋" w:cs="仿宋"/>
          <w:spacing w:val="20"/>
          <w:sz w:val="31"/>
          <w:szCs w:val="31"/>
        </w:rPr>
        <w:t>年本部门没有使用国有资本经营预</w:t>
      </w:r>
      <w:r>
        <w:rPr>
          <w:rFonts w:ascii="仿宋" w:hAnsi="仿宋" w:eastAsia="仿宋" w:cs="仿宋"/>
          <w:spacing w:val="19"/>
          <w:sz w:val="31"/>
          <w:szCs w:val="31"/>
        </w:rPr>
        <w:t>算拨款安排的支</w:t>
      </w:r>
      <w:r>
        <w:rPr>
          <w:rFonts w:ascii="仿宋" w:hAnsi="仿宋" w:eastAsia="仿宋" w:cs="仿宋"/>
          <w:spacing w:val="-23"/>
          <w:sz w:val="31"/>
          <w:szCs w:val="31"/>
        </w:rPr>
        <w:t>出。</w:t>
      </w:r>
    </w:p>
    <w:p w14:paraId="21ECB38B">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79A448D2">
      <w:pPr>
        <w:pStyle w:val="18"/>
        <w:bidi w:val="0"/>
        <w:rPr>
          <w:rFonts w:ascii="Adobe 仿宋 Std R" w:hAnsi="Adobe 仿宋 Std R" w:eastAsia="Adobe 仿宋 Std R"/>
          <w:sz w:val="32"/>
          <w:szCs w:val="32"/>
        </w:rPr>
      </w:pPr>
      <w:r>
        <w:rPr>
          <w:rFonts w:hint="eastAsia"/>
          <w:lang w:eastAsia="zh-CN"/>
        </w:rPr>
        <w:t>2026</w:t>
      </w:r>
      <w:r>
        <w:rPr>
          <w:rFonts w:hint="eastAsia"/>
        </w:rPr>
        <w:t>年部门机关运行费预算</w:t>
      </w:r>
      <w:r>
        <w:rPr>
          <w:rFonts w:hint="eastAsia"/>
          <w:lang w:val="en-US" w:eastAsia="zh-CN"/>
        </w:rPr>
        <w:t>260.70</w:t>
      </w:r>
      <w:r>
        <w:rPr>
          <w:rFonts w:hint="eastAsia"/>
        </w:rPr>
        <w:t>万元，比2025年预算减少</w:t>
      </w:r>
      <w:r>
        <w:rPr>
          <w:rFonts w:hint="eastAsia"/>
          <w:lang w:val="en-US" w:eastAsia="zh-CN"/>
        </w:rPr>
        <w:t>1135.98</w:t>
      </w:r>
      <w:r>
        <w:rPr>
          <w:rFonts w:hint="eastAsia"/>
        </w:rPr>
        <w:t>万元，下降</w:t>
      </w:r>
      <w:r>
        <w:rPr>
          <w:rFonts w:hint="eastAsia"/>
          <w:lang w:val="en-US" w:eastAsia="zh-CN"/>
        </w:rPr>
        <w:t>81.33</w:t>
      </w:r>
      <w:r>
        <w:rPr>
          <w:rFonts w:hint="eastAsia"/>
        </w:rPr>
        <w:t>%。</w:t>
      </w:r>
    </w:p>
    <w:p w14:paraId="1141A355">
      <w:pPr>
        <w:pStyle w:val="19"/>
        <w:numPr>
          <w:ilvl w:val="0"/>
          <w:numId w:val="0"/>
        </w:numPr>
        <w:bidi w:val="0"/>
        <w:ind w:firstLine="643" w:firstLineChars="200"/>
        <w:rPr>
          <w:rFonts w:hint="eastAsia"/>
          <w:lang w:val="en-US" w:eastAsia="zh-CN"/>
        </w:rPr>
      </w:pPr>
      <w:r>
        <w:rPr>
          <w:rFonts w:hint="eastAsia"/>
          <w:lang w:val="en-US" w:eastAsia="zh-CN"/>
        </w:rPr>
        <w:t>(七)政府采购情况</w:t>
      </w:r>
    </w:p>
    <w:p w14:paraId="5F8FB3E7">
      <w:pPr>
        <w:pStyle w:val="18"/>
        <w:bidi w:val="0"/>
        <w:rPr>
          <w:rFonts w:hint="eastAsia"/>
          <w:lang w:eastAsia="zh-CN"/>
        </w:rPr>
      </w:pPr>
      <w:r>
        <w:rPr>
          <w:rFonts w:hint="eastAsia"/>
          <w:lang w:eastAsia="zh-CN"/>
        </w:rPr>
        <w:t>2026年部门所属各单位政府采购总额</w:t>
      </w:r>
      <w:r>
        <w:rPr>
          <w:rFonts w:hint="eastAsia"/>
          <w:lang w:val="en-US" w:eastAsia="zh-CN"/>
        </w:rPr>
        <w:t>0</w:t>
      </w:r>
      <w:r>
        <w:rPr>
          <w:rFonts w:hint="eastAsia"/>
          <w:lang w:eastAsia="zh-CN"/>
        </w:rPr>
        <w:t>万元,其中: 政府采购货物预算</w:t>
      </w:r>
      <w:r>
        <w:rPr>
          <w:rFonts w:hint="eastAsia"/>
          <w:lang w:val="en-US" w:eastAsia="zh-CN"/>
        </w:rPr>
        <w:t>0</w:t>
      </w:r>
      <w:r>
        <w:rPr>
          <w:rFonts w:hint="eastAsia"/>
          <w:lang w:eastAsia="zh-CN"/>
        </w:rPr>
        <w:t>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14:paraId="3A5462A5">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14:paraId="710C41A8">
      <w:pPr>
        <w:pStyle w:val="18"/>
        <w:bidi w:val="0"/>
        <w:rPr>
          <w:rFonts w:hint="eastAsia"/>
          <w:lang w:eastAsia="zh-CN"/>
        </w:rPr>
      </w:pPr>
      <w:r>
        <w:rPr>
          <w:rFonts w:hint="eastAsia"/>
          <w:lang w:eastAsia="zh-CN"/>
        </w:rPr>
        <w:t xml:space="preserve">截至2025年7月31日, 部门共有车辆 </w:t>
      </w:r>
      <w:r>
        <w:rPr>
          <w:rFonts w:hint="eastAsia"/>
          <w:lang w:val="en-US" w:eastAsia="zh-CN"/>
        </w:rPr>
        <w:t>0</w:t>
      </w:r>
      <w:r>
        <w:rPr>
          <w:rFonts w:hint="eastAsia"/>
          <w:lang w:eastAsia="zh-CN"/>
        </w:rPr>
        <w:t xml:space="preserve"> 辆,其中：一般公务用车实有数</w:t>
      </w:r>
      <w:r>
        <w:rPr>
          <w:rFonts w:hint="eastAsia"/>
          <w:lang w:val="en-US" w:eastAsia="zh-CN"/>
        </w:rPr>
        <w:t>0</w:t>
      </w:r>
      <w:r>
        <w:rPr>
          <w:rFonts w:hint="eastAsia"/>
          <w:lang w:eastAsia="zh-CN"/>
        </w:rPr>
        <w:t>辆。</w:t>
      </w:r>
    </w:p>
    <w:p w14:paraId="1F9AAAB9">
      <w:pPr>
        <w:spacing w:before="2" w:line="357" w:lineRule="auto"/>
        <w:ind w:left="14" w:right="12" w:firstLine="640"/>
        <w:rPr>
          <w:rFonts w:ascii="仿宋" w:hAnsi="仿宋" w:eastAsia="仿宋" w:cs="仿宋"/>
          <w:sz w:val="31"/>
          <w:szCs w:val="31"/>
        </w:rPr>
      </w:pPr>
      <w:r>
        <w:rPr>
          <w:rFonts w:ascii="仿宋" w:hAnsi="仿宋" w:eastAsia="仿宋" w:cs="仿宋"/>
          <w:spacing w:val="5"/>
          <w:sz w:val="31"/>
          <w:szCs w:val="31"/>
        </w:rPr>
        <w:t>2026</w:t>
      </w:r>
      <w:r>
        <w:rPr>
          <w:rFonts w:ascii="仿宋" w:hAnsi="仿宋" w:eastAsia="仿宋" w:cs="仿宋"/>
          <w:spacing w:val="-43"/>
          <w:sz w:val="31"/>
          <w:szCs w:val="31"/>
        </w:rPr>
        <w:t xml:space="preserve"> </w:t>
      </w:r>
      <w:r>
        <w:rPr>
          <w:rFonts w:ascii="仿宋" w:hAnsi="仿宋" w:eastAsia="仿宋" w:cs="仿宋"/>
          <w:spacing w:val="5"/>
          <w:sz w:val="31"/>
          <w:szCs w:val="31"/>
        </w:rPr>
        <w:t>年部门预算安排购置车辆</w:t>
      </w:r>
      <w:r>
        <w:rPr>
          <w:rFonts w:ascii="仿宋" w:hAnsi="仿宋" w:eastAsia="仿宋" w:cs="仿宋"/>
          <w:spacing w:val="-38"/>
          <w:sz w:val="31"/>
          <w:szCs w:val="31"/>
        </w:rPr>
        <w:t xml:space="preserve"> </w:t>
      </w:r>
      <w:r>
        <w:rPr>
          <w:rFonts w:ascii="仿宋" w:hAnsi="仿宋" w:eastAsia="仿宋" w:cs="仿宋"/>
          <w:spacing w:val="5"/>
          <w:sz w:val="31"/>
          <w:szCs w:val="31"/>
        </w:rPr>
        <w:t>0</w:t>
      </w:r>
      <w:r>
        <w:rPr>
          <w:rFonts w:ascii="仿宋" w:hAnsi="仿宋" w:eastAsia="仿宋" w:cs="仿宋"/>
          <w:spacing w:val="-62"/>
          <w:sz w:val="31"/>
          <w:szCs w:val="31"/>
        </w:rPr>
        <w:t xml:space="preserve"> </w:t>
      </w:r>
      <w:r>
        <w:rPr>
          <w:rFonts w:ascii="仿宋" w:hAnsi="仿宋" w:eastAsia="仿宋" w:cs="仿宋"/>
          <w:spacing w:val="5"/>
          <w:sz w:val="31"/>
          <w:szCs w:val="31"/>
        </w:rPr>
        <w:t>辆，未安排购置单位价值</w:t>
      </w:r>
      <w:r>
        <w:rPr>
          <w:rFonts w:ascii="仿宋" w:hAnsi="仿宋" w:eastAsia="仿宋" w:cs="仿宋"/>
          <w:spacing w:val="3"/>
          <w:sz w:val="31"/>
          <w:szCs w:val="31"/>
        </w:rPr>
        <w:t>200</w:t>
      </w:r>
      <w:r>
        <w:rPr>
          <w:rFonts w:ascii="仿宋" w:hAnsi="仿宋" w:eastAsia="仿宋" w:cs="仿宋"/>
          <w:spacing w:val="-43"/>
          <w:sz w:val="31"/>
          <w:szCs w:val="31"/>
        </w:rPr>
        <w:t xml:space="preserve"> </w:t>
      </w:r>
      <w:r>
        <w:rPr>
          <w:rFonts w:ascii="仿宋" w:hAnsi="仿宋" w:eastAsia="仿宋" w:cs="仿宋"/>
          <w:spacing w:val="3"/>
          <w:sz w:val="31"/>
          <w:szCs w:val="31"/>
        </w:rPr>
        <w:t>万元以上大型设备。</w:t>
      </w:r>
    </w:p>
    <w:p w14:paraId="4A5A2CA7">
      <w:pPr>
        <w:pStyle w:val="19"/>
        <w:numPr>
          <w:ilvl w:val="0"/>
          <w:numId w:val="0"/>
        </w:numPr>
        <w:bidi w:val="0"/>
        <w:ind w:firstLine="643" w:firstLineChars="200"/>
        <w:rPr>
          <w:rFonts w:hint="eastAsia"/>
          <w:lang w:val="en-US" w:eastAsia="zh-CN"/>
        </w:rPr>
      </w:pPr>
      <w:r>
        <w:rPr>
          <w:rFonts w:hint="eastAsia"/>
          <w:lang w:val="en-US" w:eastAsia="zh-CN"/>
        </w:rPr>
        <w:t>(九)陶瓷创意设计专项经费项目情况说明</w:t>
      </w:r>
    </w:p>
    <w:p w14:paraId="5E5CDD2C">
      <w:pPr>
        <w:pStyle w:val="18"/>
        <w:bidi w:val="0"/>
        <w:rPr>
          <w:rFonts w:hint="eastAsia"/>
          <w:lang w:eastAsia="zh-CN"/>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sz w:val="32"/>
          <w:szCs w:val="32"/>
          <w:lang w:eastAsia="zh-CN"/>
        </w:rPr>
        <w:t>（</w:t>
      </w:r>
      <w:r>
        <w:rPr>
          <w:rFonts w:hint="eastAsia"/>
          <w:lang w:eastAsia="zh-CN"/>
        </w:rPr>
        <w:t>1）项目概述</w:t>
      </w:r>
    </w:p>
    <w:p w14:paraId="47F43D6F">
      <w:pPr>
        <w:pStyle w:val="18"/>
        <w:bidi w:val="0"/>
        <w:rPr>
          <w:rFonts w:hint="eastAsia"/>
          <w:lang w:eastAsia="zh-CN"/>
        </w:rPr>
      </w:pPr>
      <w:r>
        <w:rPr>
          <w:rFonts w:hint="eastAsia"/>
          <w:lang w:eastAsia="zh-CN"/>
        </w:rPr>
        <w:t>紧紧围绕“打造全球陶瓷创意设计中心”奋斗目标，扛牢主城担当，彰显著称作为，力争三年时间，通过建立陶瓷创意设计校企联盟、培育陶瓷创意设计基地、引进培育创意设计领军企业等举措基本形成创意设计与相关产业全方位、深层次、宽领域融合的发展格局，有力支撑和促进陶瓷产业转型升级，做强做大，为催生陶瓷新质生产力提供不竭动能，成为全国陶瓷创意设计前沿风向标、创新策员地、新品首秀场。通过组建珠山区加强陶瓷创意设计工作专班，加强对全区陶瓷创意设计发展的组织领导和统筹协调，通过接待各方专家和外出对接陶瓷创意设计工作，共建陶瓷创意设计友好型制度环境。</w:t>
      </w:r>
    </w:p>
    <w:p w14:paraId="0141EA26">
      <w:pPr>
        <w:pStyle w:val="18"/>
        <w:numPr>
          <w:ilvl w:val="0"/>
          <w:numId w:val="0"/>
        </w:numPr>
        <w:bidi w:val="0"/>
        <w:ind w:left="1120" w:leftChars="0"/>
        <w:rPr>
          <w:rFonts w:hint="eastAsia"/>
          <w:lang w:eastAsia="zh-CN"/>
        </w:rPr>
      </w:pPr>
      <w:r>
        <w:rPr>
          <w:rFonts w:hint="eastAsia"/>
          <w:lang w:eastAsia="zh-CN"/>
        </w:rPr>
        <w:t>（</w:t>
      </w:r>
      <w:r>
        <w:rPr>
          <w:rFonts w:hint="eastAsia"/>
          <w:lang w:val="en-US" w:eastAsia="zh-CN"/>
        </w:rPr>
        <w:t>2）</w:t>
      </w:r>
      <w:r>
        <w:rPr>
          <w:rFonts w:hint="eastAsia"/>
          <w:lang w:eastAsia="zh-CN"/>
        </w:rPr>
        <w:t>立项依据</w:t>
      </w:r>
    </w:p>
    <w:p w14:paraId="5C296854">
      <w:pPr>
        <w:pStyle w:val="18"/>
        <w:numPr>
          <w:ilvl w:val="0"/>
          <w:numId w:val="0"/>
        </w:numPr>
        <w:bidi w:val="0"/>
        <w:ind w:firstLine="640" w:firstLineChars="200"/>
        <w:rPr>
          <w:rFonts w:hint="eastAsia"/>
          <w:lang w:eastAsia="zh-CN"/>
        </w:rPr>
      </w:pPr>
      <w:r>
        <w:rPr>
          <w:rFonts w:hint="eastAsia"/>
          <w:lang w:eastAsia="zh-CN"/>
        </w:rPr>
        <w:t>项目立项符合国家法律法规、国民经济发展规划和相关政策；符合行业发展规划和政策要求；与部门职责范围相符，属于部门履职所需。</w:t>
      </w:r>
    </w:p>
    <w:p w14:paraId="2988A733">
      <w:pPr>
        <w:pStyle w:val="18"/>
        <w:numPr>
          <w:ilvl w:val="0"/>
          <w:numId w:val="0"/>
        </w:numPr>
        <w:bidi w:val="0"/>
        <w:ind w:left="1120" w:leftChars="0"/>
        <w:rPr>
          <w:rFonts w:hint="eastAsia"/>
          <w:lang w:eastAsia="zh-CN"/>
        </w:rPr>
      </w:pPr>
      <w:r>
        <w:rPr>
          <w:rFonts w:hint="eastAsia"/>
          <w:lang w:eastAsia="zh-CN"/>
        </w:rPr>
        <w:t>（</w:t>
      </w:r>
      <w:r>
        <w:rPr>
          <w:rFonts w:hint="eastAsia"/>
          <w:lang w:val="en-US" w:eastAsia="zh-CN"/>
        </w:rPr>
        <w:t>3）</w:t>
      </w:r>
      <w:r>
        <w:rPr>
          <w:rFonts w:hint="eastAsia"/>
          <w:lang w:eastAsia="zh-CN"/>
        </w:rPr>
        <w:t>实施主体</w:t>
      </w:r>
    </w:p>
    <w:p w14:paraId="03481D99">
      <w:pPr>
        <w:pStyle w:val="18"/>
        <w:numPr>
          <w:ilvl w:val="0"/>
          <w:numId w:val="0"/>
        </w:numPr>
        <w:bidi w:val="0"/>
        <w:ind w:firstLine="640" w:firstLineChars="200"/>
        <w:rPr>
          <w:rFonts w:hint="eastAsia"/>
          <w:lang w:eastAsia="zh-CN"/>
        </w:rPr>
      </w:pPr>
      <w:r>
        <w:rPr>
          <w:rFonts w:hint="eastAsia"/>
          <w:lang w:val="en-US" w:eastAsia="zh-CN"/>
        </w:rPr>
        <w:t>景德镇市珠山区工业和信息化局</w:t>
      </w:r>
    </w:p>
    <w:p w14:paraId="78040EE2">
      <w:pPr>
        <w:pStyle w:val="18"/>
        <w:numPr>
          <w:ilvl w:val="0"/>
          <w:numId w:val="0"/>
        </w:numPr>
        <w:bidi w:val="0"/>
        <w:ind w:left="1120" w:leftChars="0"/>
        <w:rPr>
          <w:rFonts w:hint="eastAsia"/>
          <w:lang w:eastAsia="zh-CN"/>
        </w:rPr>
      </w:pPr>
      <w:r>
        <w:rPr>
          <w:rFonts w:hint="eastAsia"/>
          <w:lang w:eastAsia="zh-CN"/>
        </w:rPr>
        <w:t>（</w:t>
      </w:r>
      <w:r>
        <w:rPr>
          <w:rFonts w:hint="eastAsia"/>
          <w:lang w:val="en-US" w:eastAsia="zh-CN"/>
        </w:rPr>
        <w:t>4）</w:t>
      </w:r>
      <w:r>
        <w:rPr>
          <w:rFonts w:hint="eastAsia"/>
          <w:lang w:eastAsia="zh-CN"/>
        </w:rPr>
        <w:t>实施方案</w:t>
      </w:r>
    </w:p>
    <w:p w14:paraId="2F70E870">
      <w:pPr>
        <w:pStyle w:val="18"/>
        <w:numPr>
          <w:ilvl w:val="0"/>
          <w:numId w:val="0"/>
        </w:numPr>
        <w:bidi w:val="0"/>
        <w:ind w:firstLine="640" w:firstLineChars="200"/>
        <w:rPr>
          <w:rFonts w:hint="default"/>
          <w:lang w:val="en-US" w:eastAsia="zh-CN"/>
        </w:rPr>
      </w:pPr>
      <w:r>
        <w:rPr>
          <w:rFonts w:hint="eastAsia"/>
          <w:lang w:val="en-US" w:eastAsia="zh-CN"/>
        </w:rPr>
        <w:t>通过组建珠山区加强陶瓷创意设计工作专班，加强对全区陶瓷创意设计发展的组织领导和统筹协调，通过接待各方专家和外出对接陶瓷创意设计工作，共建陶瓷创意设计友好型制度环境。通过建立陶瓷创意设计校企联盟、培育陶瓷创意设计基地、引进培育创意设计领军企业等举措基本形成创意设计与相关产业全方位、深层次、宽领域融合的发展格局，有力支撑和促进陶瓷产业转型升级，做强做大，为催生陶瓷新质生产力提供不竭动能，成为全国陶瓷创意设计前沿风向标、创新策员地、新品首秀场。</w:t>
      </w:r>
    </w:p>
    <w:p w14:paraId="439AF7B5">
      <w:pPr>
        <w:pStyle w:val="18"/>
        <w:numPr>
          <w:ilvl w:val="0"/>
          <w:numId w:val="0"/>
        </w:numPr>
        <w:bidi w:val="0"/>
        <w:ind w:left="1120" w:leftChars="0"/>
        <w:rPr>
          <w:rFonts w:hint="eastAsia"/>
          <w:lang w:eastAsia="zh-CN"/>
        </w:rPr>
      </w:pPr>
      <w:r>
        <w:rPr>
          <w:rFonts w:hint="eastAsia"/>
          <w:lang w:eastAsia="zh-CN"/>
        </w:rPr>
        <w:t>（</w:t>
      </w:r>
      <w:r>
        <w:rPr>
          <w:rFonts w:hint="eastAsia"/>
          <w:lang w:val="en-US" w:eastAsia="zh-CN"/>
        </w:rPr>
        <w:t>5）</w:t>
      </w:r>
      <w:r>
        <w:rPr>
          <w:rFonts w:hint="eastAsia"/>
          <w:lang w:eastAsia="zh-CN"/>
        </w:rPr>
        <w:t>实施周期</w:t>
      </w:r>
    </w:p>
    <w:p w14:paraId="74813B24">
      <w:pPr>
        <w:spacing w:before="227" w:line="222" w:lineRule="auto"/>
        <w:ind w:left="645"/>
        <w:rPr>
          <w:rFonts w:ascii="仿宋" w:hAnsi="仿宋" w:eastAsia="仿宋" w:cs="仿宋"/>
          <w:sz w:val="31"/>
          <w:szCs w:val="31"/>
        </w:rPr>
      </w:pPr>
      <w:r>
        <w:rPr>
          <w:rFonts w:ascii="仿宋" w:hAnsi="仿宋" w:eastAsia="仿宋" w:cs="仿宋"/>
          <w:spacing w:val="-6"/>
          <w:sz w:val="31"/>
          <w:szCs w:val="31"/>
        </w:rPr>
        <w:t>2026</w:t>
      </w:r>
      <w:r>
        <w:rPr>
          <w:rFonts w:ascii="仿宋" w:hAnsi="仿宋" w:eastAsia="仿宋" w:cs="仿宋"/>
          <w:spacing w:val="-50"/>
          <w:sz w:val="31"/>
          <w:szCs w:val="31"/>
        </w:rPr>
        <w:t xml:space="preserve"> </w:t>
      </w:r>
      <w:r>
        <w:rPr>
          <w:rFonts w:ascii="仿宋" w:hAnsi="仿宋" w:eastAsia="仿宋" w:cs="仿宋"/>
          <w:spacing w:val="-6"/>
          <w:sz w:val="31"/>
          <w:szCs w:val="31"/>
        </w:rPr>
        <w:t>年</w:t>
      </w:r>
      <w:r>
        <w:rPr>
          <w:rFonts w:ascii="仿宋" w:hAnsi="仿宋" w:eastAsia="仿宋" w:cs="仿宋"/>
          <w:spacing w:val="-40"/>
          <w:sz w:val="31"/>
          <w:szCs w:val="31"/>
        </w:rPr>
        <w:t xml:space="preserve"> </w:t>
      </w:r>
      <w:r>
        <w:rPr>
          <w:rFonts w:ascii="仿宋" w:hAnsi="仿宋" w:eastAsia="仿宋" w:cs="仿宋"/>
          <w:spacing w:val="-6"/>
          <w:sz w:val="31"/>
          <w:szCs w:val="31"/>
        </w:rPr>
        <w:t>1</w:t>
      </w:r>
      <w:r>
        <w:rPr>
          <w:rFonts w:ascii="仿宋" w:hAnsi="仿宋" w:eastAsia="仿宋" w:cs="仿宋"/>
          <w:spacing w:val="-46"/>
          <w:sz w:val="31"/>
          <w:szCs w:val="31"/>
        </w:rPr>
        <w:t xml:space="preserve"> </w:t>
      </w:r>
      <w:r>
        <w:rPr>
          <w:rFonts w:ascii="仿宋" w:hAnsi="仿宋" w:eastAsia="仿宋" w:cs="仿宋"/>
          <w:spacing w:val="-6"/>
          <w:sz w:val="31"/>
          <w:szCs w:val="31"/>
        </w:rPr>
        <w:t>月至</w:t>
      </w:r>
      <w:r>
        <w:rPr>
          <w:rFonts w:ascii="仿宋" w:hAnsi="仿宋" w:eastAsia="仿宋" w:cs="仿宋"/>
          <w:spacing w:val="-49"/>
          <w:sz w:val="31"/>
          <w:szCs w:val="31"/>
        </w:rPr>
        <w:t xml:space="preserve"> </w:t>
      </w:r>
      <w:r>
        <w:rPr>
          <w:rFonts w:ascii="仿宋" w:hAnsi="仿宋" w:eastAsia="仿宋" w:cs="仿宋"/>
          <w:spacing w:val="-6"/>
          <w:sz w:val="31"/>
          <w:szCs w:val="31"/>
        </w:rPr>
        <w:t>2026</w:t>
      </w:r>
      <w:r>
        <w:rPr>
          <w:rFonts w:ascii="仿宋" w:hAnsi="仿宋" w:eastAsia="仿宋" w:cs="仿宋"/>
          <w:spacing w:val="-58"/>
          <w:sz w:val="31"/>
          <w:szCs w:val="31"/>
        </w:rPr>
        <w:t xml:space="preserve"> </w:t>
      </w:r>
      <w:r>
        <w:rPr>
          <w:rFonts w:ascii="仿宋" w:hAnsi="仿宋" w:eastAsia="仿宋" w:cs="仿宋"/>
          <w:spacing w:val="-6"/>
          <w:sz w:val="31"/>
          <w:szCs w:val="31"/>
        </w:rPr>
        <w:t>年</w:t>
      </w:r>
      <w:r>
        <w:rPr>
          <w:rFonts w:ascii="仿宋" w:hAnsi="仿宋" w:eastAsia="仿宋" w:cs="仿宋"/>
          <w:spacing w:val="-43"/>
          <w:sz w:val="31"/>
          <w:szCs w:val="31"/>
        </w:rPr>
        <w:t xml:space="preserve"> </w:t>
      </w:r>
      <w:r>
        <w:rPr>
          <w:rFonts w:ascii="仿宋" w:hAnsi="仿宋" w:eastAsia="仿宋" w:cs="仿宋"/>
          <w:spacing w:val="-6"/>
          <w:sz w:val="31"/>
          <w:szCs w:val="31"/>
        </w:rPr>
        <w:t>12</w:t>
      </w:r>
      <w:r>
        <w:rPr>
          <w:rFonts w:ascii="仿宋" w:hAnsi="仿宋" w:eastAsia="仿宋" w:cs="仿宋"/>
          <w:spacing w:val="-46"/>
          <w:sz w:val="31"/>
          <w:szCs w:val="31"/>
        </w:rPr>
        <w:t xml:space="preserve"> </w:t>
      </w:r>
      <w:r>
        <w:rPr>
          <w:rFonts w:ascii="仿宋" w:hAnsi="仿宋" w:eastAsia="仿宋" w:cs="仿宋"/>
          <w:spacing w:val="-6"/>
          <w:sz w:val="31"/>
          <w:szCs w:val="31"/>
        </w:rPr>
        <w:t>月</w:t>
      </w:r>
    </w:p>
    <w:p w14:paraId="209D8EA2">
      <w:pPr>
        <w:pStyle w:val="18"/>
        <w:numPr>
          <w:ilvl w:val="0"/>
          <w:numId w:val="0"/>
        </w:numPr>
        <w:bidi w:val="0"/>
        <w:ind w:left="1120" w:leftChars="0"/>
        <w:rPr>
          <w:rFonts w:hint="eastAsia"/>
          <w:lang w:eastAsia="zh-CN"/>
        </w:rPr>
      </w:pPr>
      <w:r>
        <w:rPr>
          <w:rFonts w:hint="eastAsia"/>
          <w:lang w:eastAsia="zh-CN"/>
        </w:rPr>
        <w:t>（</w:t>
      </w:r>
      <w:r>
        <w:rPr>
          <w:rFonts w:hint="eastAsia"/>
          <w:lang w:val="en-US" w:eastAsia="zh-CN"/>
        </w:rPr>
        <w:t>6）</w:t>
      </w:r>
      <w:r>
        <w:rPr>
          <w:rFonts w:hint="eastAsia"/>
          <w:lang w:eastAsia="zh-CN"/>
        </w:rPr>
        <w:t>年度预算安排</w:t>
      </w:r>
    </w:p>
    <w:p w14:paraId="47DC3916">
      <w:pPr>
        <w:pStyle w:val="18"/>
        <w:numPr>
          <w:ilvl w:val="0"/>
          <w:numId w:val="0"/>
        </w:numPr>
        <w:bidi w:val="0"/>
        <w:ind w:firstLine="620" w:firstLineChars="200"/>
        <w:rPr>
          <w:rFonts w:hint="eastAsia"/>
          <w:lang w:eastAsia="zh-CN"/>
        </w:rPr>
      </w:pPr>
      <w:r>
        <w:rPr>
          <w:rFonts w:ascii="仿宋" w:hAnsi="仿宋" w:eastAsia="仿宋" w:cs="仿宋"/>
          <w:sz w:val="31"/>
          <w:szCs w:val="31"/>
        </w:rPr>
        <w:t>2026</w:t>
      </w:r>
      <w:r>
        <w:rPr>
          <w:rFonts w:ascii="仿宋" w:hAnsi="仿宋" w:eastAsia="仿宋" w:cs="仿宋"/>
          <w:spacing w:val="-55"/>
          <w:sz w:val="31"/>
          <w:szCs w:val="31"/>
        </w:rPr>
        <w:t xml:space="preserve"> </w:t>
      </w:r>
      <w:r>
        <w:rPr>
          <w:rFonts w:ascii="仿宋" w:hAnsi="仿宋" w:eastAsia="仿宋" w:cs="仿宋"/>
          <w:sz w:val="31"/>
          <w:szCs w:val="31"/>
        </w:rPr>
        <w:t>年度预算安排</w:t>
      </w:r>
      <w:r>
        <w:rPr>
          <w:rFonts w:hint="eastAsia"/>
          <w:lang w:val="en-US" w:eastAsia="zh-CN"/>
        </w:rPr>
        <w:t>100万元</w:t>
      </w:r>
    </w:p>
    <w:p w14:paraId="046590AC">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3F821543">
      <w:pPr>
        <w:pStyle w:val="18"/>
        <w:bidi w:val="0"/>
        <w:rPr>
          <w:rFonts w:hint="eastAsia"/>
          <w:lang w:eastAsia="zh-CN"/>
        </w:rPr>
      </w:pPr>
      <w:r>
        <w:rPr>
          <w:rFonts w:hint="eastAsia"/>
          <w:lang w:eastAsia="zh-CN"/>
        </w:rPr>
        <w:t>2026年景德镇市珠山区工业和信息化局财政拨款"三公"经费安排4.46万元，其中：</w:t>
      </w:r>
    </w:p>
    <w:p w14:paraId="3B820EC6">
      <w:pPr>
        <w:pStyle w:val="18"/>
        <w:bidi w:val="0"/>
        <w:rPr>
          <w:rFonts w:hint="eastAsia"/>
          <w:lang w:eastAsia="zh-CN"/>
        </w:rPr>
      </w:pPr>
      <w:r>
        <w:rPr>
          <w:rFonts w:hint="eastAsia"/>
          <w:lang w:eastAsia="zh-CN"/>
        </w:rPr>
        <w:t>因公出国0.00万元,比上年增</w:t>
      </w:r>
      <w:r>
        <w:rPr>
          <w:rFonts w:hint="eastAsia"/>
          <w:lang w:val="en-US" w:eastAsia="zh-CN"/>
        </w:rPr>
        <w:t>加0</w:t>
      </w:r>
      <w:r>
        <w:rPr>
          <w:rFonts w:hint="eastAsia"/>
          <w:lang w:eastAsia="zh-CN"/>
        </w:rPr>
        <w:t>万元，主要原因是：</w:t>
      </w:r>
      <w:r>
        <w:rPr>
          <w:rFonts w:hint="eastAsia"/>
          <w:lang w:val="en-US" w:eastAsia="zh-CN"/>
        </w:rPr>
        <w:t>与</w:t>
      </w:r>
      <w:r>
        <w:rPr>
          <w:rFonts w:ascii="仿宋" w:hAnsi="仿宋" w:eastAsia="仿宋" w:cs="仿宋"/>
          <w:spacing w:val="6"/>
          <w:sz w:val="31"/>
          <w:szCs w:val="31"/>
        </w:rPr>
        <w:t>上年安排保持一致</w:t>
      </w:r>
      <w:r>
        <w:rPr>
          <w:rFonts w:hint="eastAsia"/>
          <w:lang w:eastAsia="zh-CN"/>
        </w:rPr>
        <w:t>。</w:t>
      </w:r>
    </w:p>
    <w:p w14:paraId="39D6E8C0">
      <w:pPr>
        <w:pStyle w:val="18"/>
        <w:bidi w:val="0"/>
        <w:rPr>
          <w:rFonts w:hint="eastAsia"/>
          <w:lang w:eastAsia="zh-CN"/>
        </w:rPr>
      </w:pPr>
      <w:r>
        <w:rPr>
          <w:rFonts w:hint="eastAsia"/>
          <w:lang w:eastAsia="zh-CN"/>
        </w:rPr>
        <w:t>公务接待4.46万元,比上年增</w:t>
      </w:r>
      <w:r>
        <w:rPr>
          <w:rFonts w:hint="eastAsia"/>
          <w:lang w:val="en-US" w:eastAsia="zh-CN"/>
        </w:rPr>
        <w:t>加1.91</w:t>
      </w:r>
      <w:r>
        <w:rPr>
          <w:rFonts w:hint="eastAsia"/>
          <w:lang w:eastAsia="zh-CN"/>
        </w:rPr>
        <w:t>万元，主要原因是：</w:t>
      </w:r>
      <w:r>
        <w:rPr>
          <w:rFonts w:hint="eastAsia"/>
          <w:lang w:val="en-US" w:eastAsia="zh-CN"/>
        </w:rPr>
        <w:t>招待工作增加此项安排增加</w:t>
      </w:r>
      <w:r>
        <w:rPr>
          <w:rFonts w:hint="eastAsia"/>
          <w:lang w:eastAsia="zh-CN"/>
        </w:rPr>
        <w:t>。</w:t>
      </w:r>
    </w:p>
    <w:p w14:paraId="5706161A">
      <w:pPr>
        <w:pStyle w:val="18"/>
        <w:bidi w:val="0"/>
        <w:rPr>
          <w:rFonts w:hint="eastAsia"/>
          <w:lang w:eastAsia="zh-CN"/>
        </w:rPr>
      </w:pPr>
      <w:r>
        <w:rPr>
          <w:rFonts w:hint="eastAsia"/>
          <w:lang w:eastAsia="zh-CN"/>
        </w:rPr>
        <w:t>公务用车运行0.00万元,比上年增</w:t>
      </w:r>
      <w:r>
        <w:rPr>
          <w:rFonts w:hint="eastAsia"/>
          <w:lang w:val="en-US" w:eastAsia="zh-CN"/>
        </w:rPr>
        <w:t>加0</w:t>
      </w:r>
      <w:r>
        <w:rPr>
          <w:rFonts w:hint="eastAsia"/>
          <w:lang w:eastAsia="zh-CN"/>
        </w:rPr>
        <w:t>万元，主要原因是：</w:t>
      </w:r>
      <w:r>
        <w:rPr>
          <w:rFonts w:hint="eastAsia"/>
          <w:lang w:val="en-US" w:eastAsia="zh-CN"/>
        </w:rPr>
        <w:t>与</w:t>
      </w:r>
      <w:r>
        <w:rPr>
          <w:rFonts w:ascii="仿宋" w:hAnsi="仿宋" w:eastAsia="仿宋" w:cs="仿宋"/>
          <w:spacing w:val="6"/>
          <w:sz w:val="31"/>
          <w:szCs w:val="31"/>
        </w:rPr>
        <w:t>上年安排保持一致</w:t>
      </w:r>
      <w:r>
        <w:rPr>
          <w:rFonts w:hint="eastAsia"/>
          <w:lang w:eastAsia="zh-CN"/>
        </w:rPr>
        <w:t>。</w:t>
      </w:r>
    </w:p>
    <w:p w14:paraId="0256CFD9">
      <w:pPr>
        <w:pStyle w:val="18"/>
        <w:bidi w:val="0"/>
        <w:rPr>
          <w:rFonts w:hint="eastAsia"/>
          <w:lang w:eastAsia="zh-CN"/>
        </w:rPr>
      </w:pPr>
      <w:r>
        <w:rPr>
          <w:rFonts w:hint="eastAsia"/>
          <w:lang w:eastAsia="zh-CN"/>
        </w:rPr>
        <w:t>公务用车购置0.00万元,比上年增</w:t>
      </w:r>
      <w:r>
        <w:rPr>
          <w:rFonts w:hint="eastAsia"/>
          <w:lang w:val="en-US" w:eastAsia="zh-CN"/>
        </w:rPr>
        <w:t>加0</w:t>
      </w:r>
      <w:r>
        <w:rPr>
          <w:rFonts w:hint="eastAsia"/>
          <w:lang w:eastAsia="zh-CN"/>
        </w:rPr>
        <w:t>万元</w:t>
      </w:r>
      <w:bookmarkStart w:id="0" w:name="_GoBack"/>
      <w:bookmarkEnd w:id="0"/>
      <w:r>
        <w:rPr>
          <w:rFonts w:hint="eastAsia"/>
          <w:lang w:eastAsia="zh-CN"/>
        </w:rPr>
        <w:t>，主要原因是：</w:t>
      </w:r>
      <w:r>
        <w:rPr>
          <w:rFonts w:hint="eastAsia"/>
          <w:lang w:val="en-US" w:eastAsia="zh-CN"/>
        </w:rPr>
        <w:t>与</w:t>
      </w:r>
      <w:r>
        <w:rPr>
          <w:rFonts w:ascii="仿宋" w:hAnsi="仿宋" w:eastAsia="仿宋" w:cs="仿宋"/>
          <w:spacing w:val="6"/>
          <w:sz w:val="31"/>
          <w:szCs w:val="31"/>
        </w:rPr>
        <w:t>上年安排保持一致</w:t>
      </w:r>
      <w:r>
        <w:rPr>
          <w:rFonts w:hint="eastAsia"/>
          <w:lang w:eastAsia="zh-CN"/>
        </w:rPr>
        <w:t>。</w:t>
      </w:r>
    </w:p>
    <w:p w14:paraId="5435F6F3">
      <w:pPr>
        <w:rPr>
          <w:rStyle w:val="12"/>
          <w:rFonts w:hint="eastAsia" w:ascii="仿宋" w:hAnsi="仿宋" w:eastAsia="仿宋"/>
          <w:sz w:val="32"/>
          <w:szCs w:val="32"/>
        </w:rPr>
      </w:pPr>
      <w:r>
        <w:rPr>
          <w:rStyle w:val="12"/>
          <w:rFonts w:hint="eastAsia" w:ascii="仿宋" w:hAnsi="仿宋" w:eastAsia="仿宋"/>
          <w:sz w:val="32"/>
          <w:szCs w:val="32"/>
        </w:rPr>
        <w:br w:type="page"/>
      </w:r>
    </w:p>
    <w:p w14:paraId="0E1214F9">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14:paraId="3A02DE3D">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6FBE0A35">
      <w:pPr>
        <w:pStyle w:val="18"/>
        <w:bidi w:val="0"/>
        <w:rPr>
          <w:rFonts w:hint="eastAsia"/>
          <w:lang w:eastAsia="zh-CN"/>
        </w:rPr>
      </w:pPr>
      <w:r>
        <w:rPr>
          <w:rFonts w:hint="eastAsia"/>
          <w:lang w:eastAsia="zh-CN"/>
        </w:rPr>
        <w:t>各部门结合实际进行解释。</w:t>
      </w:r>
    </w:p>
    <w:p w14:paraId="16ED0E47">
      <w:pPr>
        <w:pStyle w:val="18"/>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1D158674">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114FDFFD">
      <w:pPr>
        <w:pStyle w:val="18"/>
        <w:bidi w:val="0"/>
        <w:rPr>
          <w:rFonts w:hint="eastAsia"/>
          <w:lang w:eastAsia="zh-CN"/>
        </w:rPr>
      </w:pPr>
      <w:r>
        <w:rPr>
          <w:rFonts w:hint="eastAsia"/>
          <w:lang w:eastAsia="zh-CN"/>
        </w:rPr>
        <w:t>（三）事业收入：指事业单位开展专业业务活动及辅助活动取得的收入。</w:t>
      </w:r>
    </w:p>
    <w:p w14:paraId="74D2FB5A">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2FF1DFBB">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64F632D6">
      <w:pPr>
        <w:pStyle w:val="18"/>
        <w:bidi w:val="0"/>
        <w:rPr>
          <w:rFonts w:hint="eastAsia"/>
          <w:lang w:eastAsia="zh-CN"/>
        </w:rPr>
      </w:pPr>
      <w:r>
        <w:rPr>
          <w:rFonts w:hint="eastAsia"/>
          <w:lang w:eastAsia="zh-CN"/>
        </w:rPr>
        <w:t>（六）上级补助收入：指事业单位从主管部门和上级单位取得的非财政补助收入。</w:t>
      </w:r>
    </w:p>
    <w:p w14:paraId="3EE6A2DD">
      <w:pPr>
        <w:pStyle w:val="18"/>
        <w:bidi w:val="0"/>
        <w:rPr>
          <w:rFonts w:hint="eastAsia"/>
          <w:lang w:eastAsia="zh-CN"/>
        </w:rPr>
      </w:pPr>
      <w:r>
        <w:rPr>
          <w:rFonts w:hint="eastAsia"/>
          <w:lang w:eastAsia="zh-CN"/>
        </w:rPr>
        <w:t>（七）其他收入：指除财政拨款、事业收入、事业单位经营收入等以外的各项收入。</w:t>
      </w:r>
    </w:p>
    <w:p w14:paraId="6BF3CACE">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14:paraId="4F4EF063">
      <w:pPr>
        <w:pStyle w:val="18"/>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4EAA9841">
      <w:pPr>
        <w:ind w:firstLine="640" w:firstLineChars="200"/>
        <w:rPr>
          <w:rFonts w:ascii="Adobe 仿宋 Std R" w:hAnsi="Adobe 仿宋 Std R" w:eastAsia="Adobe 仿宋 Std R"/>
          <w:sz w:val="32"/>
          <w:szCs w:val="32"/>
        </w:rPr>
      </w:pPr>
    </w:p>
    <w:p w14:paraId="7FEE47F1">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7D8E3463">
      <w:pPr>
        <w:spacing w:before="195" w:line="283" w:lineRule="auto"/>
        <w:ind w:right="70" w:firstLine="631"/>
        <w:rPr>
          <w:rFonts w:ascii="仿宋" w:hAnsi="仿宋" w:eastAsia="仿宋" w:cs="仿宋"/>
          <w:sz w:val="31"/>
          <w:szCs w:val="31"/>
        </w:rPr>
      </w:pPr>
      <w:r>
        <w:rPr>
          <w:rFonts w:ascii="仿宋" w:hAnsi="仿宋" w:eastAsia="仿宋" w:cs="仿宋"/>
          <w:spacing w:val="3"/>
          <w:sz w:val="31"/>
          <w:szCs w:val="31"/>
        </w:rPr>
        <w:t>（</w:t>
      </w:r>
      <w:r>
        <w:rPr>
          <w:rFonts w:ascii="仿宋" w:hAnsi="仿宋" w:eastAsia="仿宋" w:cs="仿宋"/>
          <w:spacing w:val="-62"/>
          <w:sz w:val="31"/>
          <w:szCs w:val="31"/>
        </w:rPr>
        <w:t xml:space="preserve"> </w:t>
      </w:r>
      <w:r>
        <w:rPr>
          <w:rFonts w:ascii="仿宋" w:hAnsi="仿宋" w:eastAsia="仿宋" w:cs="仿宋"/>
          <w:spacing w:val="3"/>
          <w:sz w:val="31"/>
          <w:szCs w:val="31"/>
        </w:rPr>
        <w:t>一）一般公共服务支出(类)财政事务(款)行政运行(项):</w:t>
      </w:r>
      <w:r>
        <w:rPr>
          <w:rFonts w:ascii="仿宋" w:hAnsi="仿宋" w:eastAsia="仿宋" w:cs="仿宋"/>
          <w:spacing w:val="9"/>
          <w:sz w:val="31"/>
          <w:szCs w:val="31"/>
        </w:rPr>
        <w:t>反映行政单位(包括实行公务员管理的事业</w:t>
      </w:r>
      <w:r>
        <w:rPr>
          <w:rFonts w:ascii="仿宋" w:hAnsi="仿宋" w:eastAsia="仿宋" w:cs="仿宋"/>
          <w:spacing w:val="8"/>
          <w:sz w:val="31"/>
          <w:szCs w:val="31"/>
        </w:rPr>
        <w:t>单位)的基本支出。</w:t>
      </w:r>
    </w:p>
    <w:p w14:paraId="372B49B8">
      <w:pPr>
        <w:spacing w:before="208" w:line="304" w:lineRule="auto"/>
        <w:ind w:left="6" w:right="71" w:firstLine="625"/>
        <w:rPr>
          <w:rFonts w:ascii="仿宋" w:hAnsi="仿宋" w:eastAsia="仿宋" w:cs="仿宋"/>
          <w:sz w:val="31"/>
          <w:szCs w:val="31"/>
        </w:rPr>
      </w:pPr>
      <w:r>
        <w:rPr>
          <w:rFonts w:ascii="仿宋" w:hAnsi="仿宋" w:eastAsia="仿宋" w:cs="仿宋"/>
          <w:spacing w:val="9"/>
          <w:sz w:val="31"/>
          <w:szCs w:val="31"/>
        </w:rPr>
        <w:t>（</w:t>
      </w:r>
      <w:r>
        <w:rPr>
          <w:rFonts w:ascii="仿宋" w:hAnsi="仿宋" w:eastAsia="仿宋" w:cs="仿宋"/>
          <w:spacing w:val="-64"/>
          <w:sz w:val="31"/>
          <w:szCs w:val="31"/>
        </w:rPr>
        <w:t xml:space="preserve"> </w:t>
      </w:r>
      <w:r>
        <w:rPr>
          <w:rFonts w:ascii="仿宋" w:hAnsi="仿宋" w:eastAsia="仿宋" w:cs="仿宋"/>
          <w:spacing w:val="9"/>
          <w:sz w:val="31"/>
          <w:szCs w:val="31"/>
        </w:rPr>
        <w:t>二）一般公共服务支出(类)财政事务(款)一般行政管理</w:t>
      </w:r>
      <w:r>
        <w:rPr>
          <w:rFonts w:ascii="仿宋" w:hAnsi="仿宋" w:eastAsia="仿宋" w:cs="仿宋"/>
          <w:spacing w:val="17"/>
          <w:sz w:val="31"/>
          <w:szCs w:val="31"/>
        </w:rPr>
        <w:t>事务(项):反映行政单位(包括实行公务员管理的事业单位)未</w:t>
      </w:r>
      <w:r>
        <w:rPr>
          <w:rFonts w:ascii="仿宋" w:hAnsi="仿宋" w:eastAsia="仿宋" w:cs="仿宋"/>
          <w:spacing w:val="8"/>
          <w:sz w:val="31"/>
          <w:szCs w:val="31"/>
        </w:rPr>
        <w:t>单独设置项级科目的其他项目支出。</w:t>
      </w:r>
    </w:p>
    <w:p w14:paraId="72F217DD">
      <w:pPr>
        <w:spacing w:before="209" w:line="304" w:lineRule="auto"/>
        <w:ind w:firstLine="576"/>
        <w:rPr>
          <w:rFonts w:ascii="仿宋" w:hAnsi="仿宋" w:eastAsia="仿宋" w:cs="仿宋"/>
          <w:sz w:val="31"/>
          <w:szCs w:val="31"/>
        </w:rPr>
      </w:pPr>
      <w:r>
        <w:rPr>
          <w:rFonts w:ascii="仿宋" w:hAnsi="仿宋" w:eastAsia="仿宋" w:cs="仿宋"/>
          <w:spacing w:val="-1"/>
          <w:sz w:val="31"/>
          <w:szCs w:val="31"/>
        </w:rPr>
        <w:t>（</w:t>
      </w:r>
      <w:r>
        <w:rPr>
          <w:rFonts w:ascii="仿宋" w:hAnsi="仿宋" w:eastAsia="仿宋" w:cs="仿宋"/>
          <w:spacing w:val="-71"/>
          <w:sz w:val="31"/>
          <w:szCs w:val="31"/>
        </w:rPr>
        <w:t xml:space="preserve"> </w:t>
      </w:r>
      <w:r>
        <w:rPr>
          <w:rFonts w:ascii="仿宋" w:hAnsi="仿宋" w:eastAsia="仿宋" w:cs="仿宋"/>
          <w:spacing w:val="-1"/>
          <w:sz w:val="31"/>
          <w:szCs w:val="31"/>
        </w:rPr>
        <w:t>三）一般公共服务支出(类)财政事务(款)机关服务（项</w:t>
      </w:r>
      <w:r>
        <w:rPr>
          <w:rFonts w:ascii="仿宋" w:hAnsi="仿宋" w:eastAsia="仿宋" w:cs="仿宋"/>
          <w:spacing w:val="-80"/>
          <w:w w:val="91"/>
          <w:sz w:val="31"/>
          <w:szCs w:val="31"/>
        </w:rPr>
        <w:t>）：</w:t>
      </w:r>
      <w:r>
        <w:rPr>
          <w:rFonts w:ascii="仿宋" w:hAnsi="仿宋" w:eastAsia="仿宋" w:cs="仿宋"/>
          <w:spacing w:val="13"/>
          <w:sz w:val="31"/>
          <w:szCs w:val="31"/>
        </w:rPr>
        <w:t>反映为行政单位（包括实行公务员管理的事业单位</w:t>
      </w:r>
      <w:r>
        <w:rPr>
          <w:rFonts w:ascii="仿宋" w:hAnsi="仿宋" w:eastAsia="仿宋" w:cs="仿宋"/>
          <w:spacing w:val="12"/>
          <w:sz w:val="31"/>
          <w:szCs w:val="31"/>
        </w:rPr>
        <w:t>）提供后勤</w:t>
      </w:r>
      <w:r>
        <w:rPr>
          <w:rFonts w:ascii="仿宋" w:hAnsi="仿宋" w:eastAsia="仿宋" w:cs="仿宋"/>
          <w:spacing w:val="6"/>
          <w:sz w:val="31"/>
          <w:szCs w:val="31"/>
        </w:rPr>
        <w:t>服务的各类后勤服务中心、</w:t>
      </w:r>
      <w:r>
        <w:rPr>
          <w:rFonts w:ascii="仿宋" w:hAnsi="仿宋" w:eastAsia="仿宋" w:cs="仿宋"/>
          <w:spacing w:val="-77"/>
          <w:sz w:val="31"/>
          <w:szCs w:val="31"/>
        </w:rPr>
        <w:t xml:space="preserve"> </w:t>
      </w:r>
      <w:r>
        <w:rPr>
          <w:rFonts w:ascii="仿宋" w:hAnsi="仿宋" w:eastAsia="仿宋" w:cs="仿宋"/>
          <w:spacing w:val="6"/>
          <w:sz w:val="31"/>
          <w:szCs w:val="31"/>
        </w:rPr>
        <w:t>医务室等附属事业单位的支出。</w:t>
      </w:r>
    </w:p>
    <w:p w14:paraId="2EEB6848">
      <w:pPr>
        <w:spacing w:before="211" w:line="283" w:lineRule="auto"/>
        <w:ind w:firstLine="576"/>
        <w:rPr>
          <w:rFonts w:ascii="仿宋" w:hAnsi="仿宋" w:eastAsia="仿宋" w:cs="仿宋"/>
          <w:sz w:val="31"/>
          <w:szCs w:val="31"/>
        </w:rPr>
      </w:pPr>
      <w:r>
        <w:rPr>
          <w:rFonts w:ascii="仿宋" w:hAnsi="仿宋" w:eastAsia="仿宋" w:cs="仿宋"/>
          <w:spacing w:val="-1"/>
          <w:sz w:val="31"/>
          <w:szCs w:val="31"/>
        </w:rPr>
        <w:t>（</w:t>
      </w:r>
      <w:r>
        <w:rPr>
          <w:rFonts w:ascii="仿宋" w:hAnsi="仿宋" w:eastAsia="仿宋" w:cs="仿宋"/>
          <w:spacing w:val="-57"/>
          <w:sz w:val="31"/>
          <w:szCs w:val="31"/>
        </w:rPr>
        <w:t xml:space="preserve"> </w:t>
      </w:r>
      <w:r>
        <w:rPr>
          <w:rFonts w:ascii="仿宋" w:hAnsi="仿宋" w:eastAsia="仿宋" w:cs="仿宋"/>
          <w:spacing w:val="-1"/>
          <w:sz w:val="31"/>
          <w:szCs w:val="31"/>
        </w:rPr>
        <w:t>四）一般公共服务支出(类)财政事务(款)财政监察（项</w:t>
      </w:r>
      <w:r>
        <w:rPr>
          <w:rFonts w:ascii="仿宋" w:hAnsi="仿宋" w:eastAsia="仿宋" w:cs="仿宋"/>
          <w:spacing w:val="-78"/>
          <w:w w:val="88"/>
          <w:sz w:val="31"/>
          <w:szCs w:val="31"/>
        </w:rPr>
        <w:t>）：</w:t>
      </w:r>
      <w:r>
        <w:rPr>
          <w:rFonts w:ascii="仿宋" w:hAnsi="仿宋" w:eastAsia="仿宋" w:cs="仿宋"/>
          <w:spacing w:val="8"/>
          <w:sz w:val="31"/>
          <w:szCs w:val="31"/>
        </w:rPr>
        <w:t>反映财政监察方面的专项业务支出。</w:t>
      </w:r>
    </w:p>
    <w:p w14:paraId="1439E463">
      <w:pPr>
        <w:spacing w:before="207" w:line="284" w:lineRule="auto"/>
        <w:ind w:left="66" w:right="71" w:firstLine="565"/>
        <w:rPr>
          <w:rFonts w:ascii="仿宋" w:hAnsi="仿宋" w:eastAsia="仿宋" w:cs="仿宋"/>
          <w:sz w:val="31"/>
          <w:szCs w:val="31"/>
        </w:rPr>
      </w:pPr>
      <w:r>
        <w:rPr>
          <w:rFonts w:ascii="仿宋" w:hAnsi="仿宋" w:eastAsia="仿宋" w:cs="仿宋"/>
          <w:spacing w:val="18"/>
          <w:sz w:val="31"/>
          <w:szCs w:val="31"/>
        </w:rPr>
        <w:t>（</w:t>
      </w:r>
      <w:r>
        <w:rPr>
          <w:rFonts w:ascii="仿宋" w:hAnsi="仿宋" w:eastAsia="仿宋" w:cs="仿宋"/>
          <w:spacing w:val="-71"/>
          <w:sz w:val="31"/>
          <w:szCs w:val="31"/>
        </w:rPr>
        <w:t xml:space="preserve"> </w:t>
      </w:r>
      <w:r>
        <w:rPr>
          <w:rFonts w:ascii="仿宋" w:hAnsi="仿宋" w:eastAsia="仿宋" w:cs="仿宋"/>
          <w:spacing w:val="18"/>
          <w:sz w:val="31"/>
          <w:szCs w:val="31"/>
        </w:rPr>
        <w:t>五）一般公共服务支出</w:t>
      </w:r>
      <w:r>
        <w:rPr>
          <w:rFonts w:ascii="仿宋" w:hAnsi="仿宋" w:eastAsia="仿宋" w:cs="仿宋"/>
          <w:spacing w:val="-56"/>
          <w:sz w:val="31"/>
          <w:szCs w:val="31"/>
        </w:rPr>
        <w:t xml:space="preserve"> </w:t>
      </w:r>
      <w:r>
        <w:rPr>
          <w:rFonts w:ascii="仿宋" w:hAnsi="仿宋" w:eastAsia="仿宋" w:cs="仿宋"/>
          <w:spacing w:val="18"/>
          <w:sz w:val="31"/>
          <w:szCs w:val="31"/>
        </w:rPr>
        <w:t>(类)财政事务(</w:t>
      </w:r>
      <w:r>
        <w:rPr>
          <w:rFonts w:ascii="仿宋" w:hAnsi="仿宋" w:eastAsia="仿宋" w:cs="仿宋"/>
          <w:spacing w:val="17"/>
          <w:sz w:val="31"/>
          <w:szCs w:val="31"/>
        </w:rPr>
        <w:t>款)信息化建设</w:t>
      </w:r>
      <w:r>
        <w:rPr>
          <w:rFonts w:ascii="仿宋" w:hAnsi="仿宋" w:eastAsia="仿宋" w:cs="仿宋"/>
          <w:spacing w:val="5"/>
          <w:sz w:val="31"/>
          <w:szCs w:val="31"/>
        </w:rPr>
        <w:t>(项):反映财政部门用于信息化建设方面的支出。</w:t>
      </w:r>
    </w:p>
    <w:p w14:paraId="0C640DFE">
      <w:pPr>
        <w:spacing w:before="206" w:line="222" w:lineRule="auto"/>
        <w:ind w:left="631"/>
        <w:rPr>
          <w:rFonts w:ascii="仿宋" w:hAnsi="仿宋" w:eastAsia="仿宋" w:cs="仿宋"/>
          <w:sz w:val="31"/>
          <w:szCs w:val="31"/>
        </w:rPr>
      </w:pPr>
      <w:r>
        <w:rPr>
          <w:rFonts w:ascii="仿宋" w:hAnsi="仿宋" w:eastAsia="仿宋" w:cs="仿宋"/>
          <w:spacing w:val="9"/>
          <w:sz w:val="31"/>
          <w:szCs w:val="31"/>
        </w:rPr>
        <w:t>（</w:t>
      </w:r>
      <w:r>
        <w:rPr>
          <w:rFonts w:ascii="仿宋" w:hAnsi="仿宋" w:eastAsia="仿宋" w:cs="仿宋"/>
          <w:spacing w:val="-64"/>
          <w:sz w:val="31"/>
          <w:szCs w:val="31"/>
        </w:rPr>
        <w:t xml:space="preserve"> </w:t>
      </w:r>
      <w:r>
        <w:rPr>
          <w:rFonts w:ascii="仿宋" w:hAnsi="仿宋" w:eastAsia="仿宋" w:cs="仿宋"/>
          <w:spacing w:val="9"/>
          <w:sz w:val="31"/>
          <w:szCs w:val="31"/>
        </w:rPr>
        <w:t>六）一般公共服务支出(类)财政事务(款)财政委托业务</w:t>
      </w:r>
    </w:p>
    <w:p w14:paraId="7BC1A5FC">
      <w:pPr>
        <w:spacing w:before="100" w:line="346" w:lineRule="auto"/>
        <w:ind w:right="162"/>
        <w:rPr>
          <w:rFonts w:ascii="仿宋" w:hAnsi="仿宋" w:eastAsia="仿宋" w:cs="仿宋"/>
          <w:sz w:val="31"/>
          <w:szCs w:val="31"/>
        </w:rPr>
      </w:pPr>
      <w:r>
        <w:rPr>
          <w:rFonts w:ascii="仿宋" w:hAnsi="仿宋" w:eastAsia="仿宋" w:cs="仿宋"/>
          <w:spacing w:val="17"/>
          <w:sz w:val="31"/>
          <w:szCs w:val="31"/>
        </w:rPr>
        <w:t>支出(项):反映财政委托评审机构进行财政投资评审和委托建</w:t>
      </w:r>
      <w:r>
        <w:rPr>
          <w:rFonts w:ascii="仿宋" w:hAnsi="仿宋" w:eastAsia="仿宋" w:cs="仿宋"/>
          <w:spacing w:val="8"/>
          <w:sz w:val="31"/>
          <w:szCs w:val="31"/>
        </w:rPr>
        <w:t>设银行等机构代理业务发生的支出。</w:t>
      </w:r>
    </w:p>
    <w:p w14:paraId="2C11CDB3">
      <w:pPr>
        <w:spacing w:before="2" w:line="282" w:lineRule="auto"/>
        <w:ind w:left="3" w:right="160" w:firstLine="631"/>
        <w:rPr>
          <w:rFonts w:ascii="仿宋" w:hAnsi="仿宋" w:eastAsia="仿宋" w:cs="仿宋"/>
          <w:sz w:val="31"/>
          <w:szCs w:val="31"/>
        </w:rPr>
      </w:pPr>
      <w:r>
        <w:rPr>
          <w:rFonts w:ascii="仿宋" w:hAnsi="仿宋" w:eastAsia="仿宋" w:cs="仿宋"/>
          <w:spacing w:val="6"/>
          <w:sz w:val="31"/>
          <w:szCs w:val="31"/>
        </w:rPr>
        <w:t>（七）一般公共服务支出(类)财政事务(款)事业运行(项):</w:t>
      </w:r>
      <w:r>
        <w:rPr>
          <w:rFonts w:ascii="仿宋" w:hAnsi="仿宋" w:eastAsia="仿宋" w:cs="仿宋"/>
          <w:spacing w:val="7"/>
          <w:sz w:val="31"/>
          <w:szCs w:val="31"/>
        </w:rPr>
        <w:t>反映事业单位的基本支出。</w:t>
      </w:r>
    </w:p>
    <w:p w14:paraId="3A720F1D">
      <w:pPr>
        <w:spacing w:before="209" w:line="284" w:lineRule="auto"/>
        <w:ind w:left="10" w:right="162" w:firstLine="625"/>
        <w:rPr>
          <w:rFonts w:ascii="仿宋" w:hAnsi="仿宋" w:eastAsia="仿宋" w:cs="仿宋"/>
          <w:sz w:val="31"/>
          <w:szCs w:val="31"/>
        </w:rPr>
      </w:pPr>
      <w:r>
        <w:rPr>
          <w:rFonts w:ascii="仿宋" w:hAnsi="仿宋" w:eastAsia="仿宋" w:cs="仿宋"/>
          <w:spacing w:val="10"/>
          <w:sz w:val="31"/>
          <w:szCs w:val="31"/>
        </w:rPr>
        <w:t>（</w:t>
      </w:r>
      <w:r>
        <w:rPr>
          <w:rFonts w:ascii="仿宋" w:hAnsi="仿宋" w:eastAsia="仿宋" w:cs="仿宋"/>
          <w:spacing w:val="-91"/>
          <w:sz w:val="31"/>
          <w:szCs w:val="31"/>
        </w:rPr>
        <w:t xml:space="preserve"> </w:t>
      </w:r>
      <w:r>
        <w:rPr>
          <w:rFonts w:ascii="仿宋" w:hAnsi="仿宋" w:eastAsia="仿宋" w:cs="仿宋"/>
          <w:spacing w:val="10"/>
          <w:sz w:val="31"/>
          <w:szCs w:val="31"/>
        </w:rPr>
        <w:t>八）一般公共服务支出(类)财政事务(款)其他财政事务</w:t>
      </w:r>
      <w:r>
        <w:rPr>
          <w:rFonts w:ascii="仿宋" w:hAnsi="仿宋" w:eastAsia="仿宋" w:cs="仿宋"/>
          <w:spacing w:val="8"/>
          <w:sz w:val="31"/>
          <w:szCs w:val="31"/>
        </w:rPr>
        <w:t>支出(项):反映除上述项目以外其他财政事务方面的支出。</w:t>
      </w:r>
    </w:p>
    <w:p w14:paraId="746D7298">
      <w:pPr>
        <w:spacing w:before="207" w:line="304" w:lineRule="auto"/>
        <w:ind w:firstLine="635"/>
        <w:rPr>
          <w:rFonts w:ascii="仿宋" w:hAnsi="仿宋" w:eastAsia="仿宋" w:cs="仿宋"/>
          <w:sz w:val="31"/>
          <w:szCs w:val="31"/>
        </w:rPr>
      </w:pPr>
      <w:r>
        <w:rPr>
          <w:rFonts w:ascii="仿宋" w:hAnsi="仿宋" w:eastAsia="仿宋" w:cs="仿宋"/>
          <w:spacing w:val="6"/>
          <w:sz w:val="31"/>
          <w:szCs w:val="31"/>
        </w:rPr>
        <w:t>（九）社会保障和就业支出(类)行政事业单位养老支出(款)</w:t>
      </w:r>
      <w:r>
        <w:rPr>
          <w:rFonts w:ascii="仿宋" w:hAnsi="仿宋" w:eastAsia="仿宋" w:cs="仿宋"/>
          <w:spacing w:val="18"/>
          <w:sz w:val="31"/>
          <w:szCs w:val="31"/>
        </w:rPr>
        <w:t>机关事业单位基本养老保险缴费支出(项):反映机关事业单位</w:t>
      </w:r>
      <w:r>
        <w:rPr>
          <w:rFonts w:ascii="仿宋" w:hAnsi="仿宋" w:eastAsia="仿宋" w:cs="仿宋"/>
          <w:spacing w:val="9"/>
          <w:sz w:val="31"/>
          <w:szCs w:val="31"/>
        </w:rPr>
        <w:t>实施养老保险制度由单位缴纳的基本养老保险费支出。</w:t>
      </w:r>
    </w:p>
    <w:p w14:paraId="4DD36AB0">
      <w:pPr>
        <w:spacing w:before="205" w:line="321" w:lineRule="auto"/>
        <w:ind w:left="2" w:right="64" w:firstLine="632"/>
        <w:rPr>
          <w:rFonts w:ascii="仿宋" w:hAnsi="仿宋" w:eastAsia="仿宋" w:cs="仿宋"/>
          <w:sz w:val="31"/>
          <w:szCs w:val="31"/>
        </w:rPr>
      </w:pPr>
      <w:r>
        <w:rPr>
          <w:rFonts w:ascii="仿宋" w:hAnsi="仿宋" w:eastAsia="仿宋" w:cs="仿宋"/>
          <w:spacing w:val="13"/>
          <w:sz w:val="31"/>
          <w:szCs w:val="31"/>
        </w:rPr>
        <w:t>（十）卫生健康支出（类）行政事业单位医疗（款）行政</w:t>
      </w:r>
      <w:r>
        <w:rPr>
          <w:rFonts w:ascii="仿宋" w:hAnsi="仿宋" w:eastAsia="仿宋" w:cs="仿宋"/>
          <w:spacing w:val="8"/>
          <w:sz w:val="31"/>
          <w:szCs w:val="31"/>
        </w:rPr>
        <w:t>单位医疗(项</w:t>
      </w:r>
      <w:r>
        <w:rPr>
          <w:rFonts w:ascii="仿宋" w:hAnsi="仿宋" w:eastAsia="仿宋" w:cs="仿宋"/>
          <w:spacing w:val="-6"/>
          <w:sz w:val="31"/>
          <w:szCs w:val="31"/>
        </w:rPr>
        <w:t>）：</w:t>
      </w:r>
      <w:r>
        <w:rPr>
          <w:rFonts w:ascii="仿宋" w:hAnsi="仿宋" w:eastAsia="仿宋" w:cs="仿宋"/>
          <w:spacing w:val="8"/>
          <w:sz w:val="31"/>
          <w:szCs w:val="31"/>
        </w:rPr>
        <w:t>反映财政部门安排的行政单位（包括实</w:t>
      </w:r>
      <w:r>
        <w:rPr>
          <w:rFonts w:ascii="仿宋" w:hAnsi="仿宋" w:eastAsia="仿宋" w:cs="仿宋"/>
          <w:spacing w:val="7"/>
          <w:sz w:val="31"/>
          <w:szCs w:val="31"/>
        </w:rPr>
        <w:t>行公务</w:t>
      </w:r>
      <w:r>
        <w:rPr>
          <w:rFonts w:ascii="仿宋" w:hAnsi="仿宋" w:eastAsia="仿宋" w:cs="仿宋"/>
          <w:spacing w:val="13"/>
          <w:sz w:val="31"/>
          <w:szCs w:val="31"/>
        </w:rPr>
        <w:t>员管理的事业单位，下同）基本医疗保险缴费经费，</w:t>
      </w:r>
      <w:r>
        <w:rPr>
          <w:rFonts w:ascii="仿宋" w:hAnsi="仿宋" w:eastAsia="仿宋" w:cs="仿宋"/>
          <w:spacing w:val="12"/>
          <w:sz w:val="31"/>
          <w:szCs w:val="31"/>
        </w:rPr>
        <w:t>未参加医</w:t>
      </w:r>
      <w:r>
        <w:rPr>
          <w:rFonts w:ascii="仿宋" w:hAnsi="仿宋" w:eastAsia="仿宋" w:cs="仿宋"/>
          <w:spacing w:val="5"/>
          <w:sz w:val="31"/>
          <w:szCs w:val="31"/>
        </w:rPr>
        <w:t>疗保险的行政单位的公费医疗经费，按国家规定享受</w:t>
      </w:r>
      <w:r>
        <w:rPr>
          <w:rFonts w:ascii="仿宋" w:hAnsi="仿宋" w:eastAsia="仿宋" w:cs="仿宋"/>
          <w:spacing w:val="4"/>
          <w:sz w:val="31"/>
          <w:szCs w:val="31"/>
        </w:rPr>
        <w:t>离休人员、</w:t>
      </w:r>
      <w:r>
        <w:rPr>
          <w:rFonts w:ascii="仿宋" w:hAnsi="仿宋" w:eastAsia="仿宋" w:cs="仿宋"/>
          <w:spacing w:val="8"/>
          <w:sz w:val="31"/>
          <w:szCs w:val="31"/>
        </w:rPr>
        <w:t>红军老战士待遇人员的医疗经费。</w:t>
      </w:r>
    </w:p>
    <w:p w14:paraId="6DE52B54">
      <w:pPr>
        <w:spacing w:before="209" w:line="314" w:lineRule="auto"/>
        <w:ind w:left="10" w:right="162" w:firstLine="625"/>
        <w:rPr>
          <w:rFonts w:ascii="仿宋" w:hAnsi="仿宋" w:eastAsia="仿宋" w:cs="仿宋"/>
          <w:sz w:val="31"/>
          <w:szCs w:val="31"/>
        </w:rPr>
      </w:pPr>
      <w:r>
        <w:rPr>
          <w:rFonts w:ascii="仿宋" w:hAnsi="仿宋" w:eastAsia="仿宋" w:cs="仿宋"/>
          <w:spacing w:val="10"/>
          <w:sz w:val="31"/>
          <w:szCs w:val="31"/>
        </w:rPr>
        <w:t>（</w:t>
      </w:r>
      <w:r>
        <w:rPr>
          <w:rFonts w:ascii="仿宋" w:hAnsi="仿宋" w:eastAsia="仿宋" w:cs="仿宋"/>
          <w:spacing w:val="-71"/>
          <w:sz w:val="31"/>
          <w:szCs w:val="31"/>
        </w:rPr>
        <w:t xml:space="preserve"> </w:t>
      </w:r>
      <w:r>
        <w:rPr>
          <w:rFonts w:ascii="仿宋" w:hAnsi="仿宋" w:eastAsia="仿宋" w:cs="仿宋"/>
          <w:spacing w:val="10"/>
          <w:sz w:val="31"/>
          <w:szCs w:val="31"/>
        </w:rPr>
        <w:t>十一）卫生健康支出（类）行政事业单位医疗（款）事</w:t>
      </w:r>
      <w:r>
        <w:rPr>
          <w:rFonts w:ascii="仿宋" w:hAnsi="仿宋" w:eastAsia="仿宋" w:cs="仿宋"/>
          <w:spacing w:val="8"/>
          <w:sz w:val="31"/>
          <w:szCs w:val="31"/>
        </w:rPr>
        <w:t>业单位医疗(项</w:t>
      </w:r>
      <w:r>
        <w:rPr>
          <w:rFonts w:ascii="仿宋" w:hAnsi="仿宋" w:eastAsia="仿宋" w:cs="仿宋"/>
          <w:spacing w:val="-12"/>
          <w:sz w:val="31"/>
          <w:szCs w:val="31"/>
        </w:rPr>
        <w:t>）：</w:t>
      </w:r>
      <w:r>
        <w:rPr>
          <w:rFonts w:ascii="仿宋" w:hAnsi="仿宋" w:eastAsia="仿宋" w:cs="仿宋"/>
          <w:spacing w:val="8"/>
          <w:sz w:val="31"/>
          <w:szCs w:val="31"/>
        </w:rPr>
        <w:t>反映财政部门安排的事业单位基本医疗保险</w:t>
      </w:r>
      <w:r>
        <w:rPr>
          <w:rFonts w:ascii="仿宋" w:hAnsi="仿宋" w:eastAsia="仿宋" w:cs="仿宋"/>
          <w:spacing w:val="12"/>
          <w:sz w:val="31"/>
          <w:szCs w:val="31"/>
        </w:rPr>
        <w:t>缴费经费，未参加医疗保险的事业单位的公费医疗经费，按国</w:t>
      </w:r>
      <w:r>
        <w:rPr>
          <w:rFonts w:ascii="仿宋" w:hAnsi="仿宋" w:eastAsia="仿宋" w:cs="仿宋"/>
          <w:spacing w:val="8"/>
          <w:sz w:val="31"/>
          <w:szCs w:val="31"/>
        </w:rPr>
        <w:t>家规定享受离休人员待遇的医疗经费。</w:t>
      </w:r>
    </w:p>
    <w:p w14:paraId="4F990A80">
      <w:pPr>
        <w:spacing w:before="227" w:line="312" w:lineRule="auto"/>
        <w:ind w:left="16" w:right="253" w:firstLine="619"/>
        <w:rPr>
          <w:rFonts w:ascii="仿宋" w:hAnsi="仿宋" w:eastAsia="仿宋" w:cs="仿宋"/>
          <w:sz w:val="31"/>
          <w:szCs w:val="31"/>
        </w:rPr>
      </w:pPr>
      <w:r>
        <w:rPr>
          <w:rFonts w:ascii="仿宋" w:hAnsi="仿宋" w:eastAsia="仿宋" w:cs="仿宋"/>
          <w:spacing w:val="9"/>
          <w:sz w:val="31"/>
          <w:szCs w:val="31"/>
        </w:rPr>
        <w:t>（十二）资源勘探工业信息等支出（类）其他资源勘探工</w:t>
      </w:r>
      <w:r>
        <w:rPr>
          <w:rFonts w:ascii="仿宋" w:hAnsi="仿宋" w:eastAsia="仿宋" w:cs="仿宋"/>
          <w:spacing w:val="8"/>
          <w:sz w:val="31"/>
          <w:szCs w:val="31"/>
        </w:rPr>
        <w:t>业信息等支出（款）其他资源勘探工业信息等支出（项</w:t>
      </w:r>
      <w:r>
        <w:rPr>
          <w:rFonts w:ascii="仿宋" w:hAnsi="仿宋" w:eastAsia="仿宋" w:cs="仿宋"/>
          <w:spacing w:val="21"/>
          <w:sz w:val="31"/>
          <w:szCs w:val="31"/>
        </w:rPr>
        <w:t>）：</w:t>
      </w:r>
      <w:r>
        <w:rPr>
          <w:rFonts w:ascii="仿宋" w:hAnsi="仿宋" w:eastAsia="仿宋" w:cs="仿宋"/>
          <w:spacing w:val="8"/>
          <w:sz w:val="31"/>
          <w:szCs w:val="31"/>
        </w:rPr>
        <w:t>反</w:t>
      </w:r>
      <w:r>
        <w:rPr>
          <w:rFonts w:ascii="仿宋" w:hAnsi="仿宋" w:eastAsia="仿宋" w:cs="仿宋"/>
          <w:spacing w:val="6"/>
          <w:sz w:val="31"/>
          <w:szCs w:val="31"/>
        </w:rPr>
        <w:t>映除黄金事务、技术改造支出、</w:t>
      </w:r>
      <w:r>
        <w:rPr>
          <w:rFonts w:ascii="仿宋" w:hAnsi="仿宋" w:eastAsia="仿宋" w:cs="仿宋"/>
          <w:spacing w:val="-75"/>
          <w:sz w:val="31"/>
          <w:szCs w:val="31"/>
        </w:rPr>
        <w:t xml:space="preserve"> </w:t>
      </w:r>
      <w:r>
        <w:rPr>
          <w:rFonts w:ascii="仿宋" w:hAnsi="仿宋" w:eastAsia="仿宋" w:cs="仿宋"/>
          <w:spacing w:val="6"/>
          <w:sz w:val="31"/>
          <w:szCs w:val="31"/>
        </w:rPr>
        <w:t>中药材扶持资金支出、重点产</w:t>
      </w:r>
      <w:r>
        <w:rPr>
          <w:rFonts w:ascii="仿宋" w:hAnsi="仿宋" w:eastAsia="仿宋" w:cs="仿宋"/>
          <w:spacing w:val="9"/>
          <w:sz w:val="31"/>
          <w:szCs w:val="31"/>
        </w:rPr>
        <w:t>业振兴和技术改造项目贷款贴息以外其他用于资源勘探工业信</w:t>
      </w:r>
      <w:r>
        <w:rPr>
          <w:rFonts w:ascii="仿宋" w:hAnsi="仿宋" w:eastAsia="仿宋" w:cs="仿宋"/>
          <w:spacing w:val="4"/>
          <w:sz w:val="31"/>
          <w:szCs w:val="31"/>
        </w:rPr>
        <w:t>息等方面的支出。</w:t>
      </w:r>
    </w:p>
    <w:p w14:paraId="4B40B769">
      <w:pPr>
        <w:spacing w:line="357" w:lineRule="auto"/>
        <w:ind w:left="3" w:right="250" w:firstLine="634"/>
        <w:jc w:val="both"/>
        <w:rPr>
          <w:rFonts w:ascii="仿宋_GB2312" w:eastAsia="仿宋_GB2312"/>
          <w:color w:val="000000"/>
          <w:sz w:val="32"/>
          <w:szCs w:val="30"/>
        </w:rPr>
      </w:pPr>
      <w:r>
        <w:rPr>
          <w:rFonts w:ascii="仿宋" w:hAnsi="仿宋" w:eastAsia="仿宋" w:cs="仿宋"/>
          <w:spacing w:val="9"/>
          <w:sz w:val="31"/>
          <w:szCs w:val="31"/>
        </w:rPr>
        <w:t>（十三）住房保障支出（类）住房改革支出（款）购房补贴（项</w:t>
      </w:r>
      <w:r>
        <w:rPr>
          <w:rFonts w:ascii="仿宋" w:hAnsi="仿宋" w:eastAsia="仿宋" w:cs="仿宋"/>
          <w:spacing w:val="17"/>
          <w:sz w:val="31"/>
          <w:szCs w:val="31"/>
        </w:rPr>
        <w:t>）：</w:t>
      </w:r>
      <w:r>
        <w:rPr>
          <w:rFonts w:ascii="仿宋" w:hAnsi="仿宋" w:eastAsia="仿宋" w:cs="仿宋"/>
          <w:spacing w:val="9"/>
          <w:sz w:val="31"/>
          <w:szCs w:val="31"/>
        </w:rPr>
        <w:t>反映按房改政策规定，行政事业单位向符合</w:t>
      </w:r>
      <w:r>
        <w:rPr>
          <w:rFonts w:ascii="仿宋" w:hAnsi="仿宋" w:eastAsia="仿宋" w:cs="仿宋"/>
          <w:spacing w:val="8"/>
          <w:sz w:val="31"/>
          <w:szCs w:val="31"/>
        </w:rPr>
        <w:t>条件职</w:t>
      </w:r>
      <w:r>
        <w:rPr>
          <w:rFonts w:ascii="仿宋" w:hAnsi="仿宋" w:eastAsia="仿宋" w:cs="仿宋"/>
          <w:spacing w:val="7"/>
          <w:sz w:val="31"/>
          <w:szCs w:val="31"/>
        </w:rPr>
        <w:t>工（含离退休人员）、军队（含武警）</w:t>
      </w:r>
      <w:r>
        <w:rPr>
          <w:rFonts w:ascii="仿宋" w:hAnsi="仿宋" w:eastAsia="仿宋" w:cs="仿宋"/>
          <w:spacing w:val="-87"/>
          <w:sz w:val="31"/>
          <w:szCs w:val="31"/>
        </w:rPr>
        <w:t xml:space="preserve"> </w:t>
      </w:r>
      <w:r>
        <w:rPr>
          <w:rFonts w:ascii="仿宋" w:hAnsi="仿宋" w:eastAsia="仿宋" w:cs="仿宋"/>
          <w:spacing w:val="7"/>
          <w:sz w:val="31"/>
          <w:szCs w:val="31"/>
        </w:rPr>
        <w:t>向转役复员离退休人员</w:t>
      </w:r>
      <w:r>
        <w:rPr>
          <w:rFonts w:ascii="仿宋" w:hAnsi="仿宋" w:eastAsia="仿宋" w:cs="仿宋"/>
          <w:spacing w:val="8"/>
          <w:sz w:val="31"/>
          <w:szCs w:val="31"/>
        </w:rPr>
        <w:t>发放的用于购买住房的补贴。</w:t>
      </w:r>
    </w:p>
    <w:p w14:paraId="7B901357">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097353A5">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3F969D8B">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4C611">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151E4B"/>
    <w:multiLevelType w:val="singleLevel"/>
    <w:tmpl w:val="F9151E4B"/>
    <w:lvl w:ilvl="0" w:tentative="0">
      <w:start w:val="13"/>
      <w:numFmt w:val="chineseCounting"/>
      <w:suff w:val="nothing"/>
      <w:lvlText w:val="（%1）"/>
      <w:lvlJc w:val="left"/>
      <w:rPr>
        <w:rFonts w:hint="eastAsia"/>
      </w:rPr>
    </w:lvl>
  </w:abstractNum>
  <w:abstractNum w:abstractNumId="1">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2">
    <w:nsid w:val="109A17A5"/>
    <w:multiLevelType w:val="singleLevel"/>
    <w:tmpl w:val="109A17A5"/>
    <w:lvl w:ilvl="0" w:tentative="0">
      <w:start w:val="1"/>
      <w:numFmt w:val="chineseCounting"/>
      <w:suff w:val="nothing"/>
      <w:lvlText w:val="（%1）"/>
      <w:lvlJc w:val="left"/>
      <w:rPr>
        <w:rFonts w:hint="eastAsia"/>
      </w:rPr>
    </w:lvl>
  </w:abstractNum>
  <w:abstractNum w:abstractNumId="3">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7A6028"/>
    <w:rsid w:val="069027A8"/>
    <w:rsid w:val="06A84B82"/>
    <w:rsid w:val="06BE4E5C"/>
    <w:rsid w:val="06D10F0F"/>
    <w:rsid w:val="06EB090E"/>
    <w:rsid w:val="070F6488"/>
    <w:rsid w:val="072E0AA7"/>
    <w:rsid w:val="07493DE4"/>
    <w:rsid w:val="076646E5"/>
    <w:rsid w:val="07944DAE"/>
    <w:rsid w:val="07DA39BA"/>
    <w:rsid w:val="07FD6DF7"/>
    <w:rsid w:val="089B644D"/>
    <w:rsid w:val="08AA6372"/>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7F0935"/>
    <w:rsid w:val="0D906017"/>
    <w:rsid w:val="0DB3098E"/>
    <w:rsid w:val="0DC46BAD"/>
    <w:rsid w:val="0E4868F2"/>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37A24B0"/>
    <w:rsid w:val="146A26EA"/>
    <w:rsid w:val="14972381"/>
    <w:rsid w:val="14DB226E"/>
    <w:rsid w:val="15722059"/>
    <w:rsid w:val="15F1786F"/>
    <w:rsid w:val="161C45A6"/>
    <w:rsid w:val="163E20B5"/>
    <w:rsid w:val="167909DF"/>
    <w:rsid w:val="16790A4B"/>
    <w:rsid w:val="16A62BCA"/>
    <w:rsid w:val="16B57185"/>
    <w:rsid w:val="16D72F09"/>
    <w:rsid w:val="16D73651"/>
    <w:rsid w:val="17201A96"/>
    <w:rsid w:val="175943AB"/>
    <w:rsid w:val="177B5642"/>
    <w:rsid w:val="181234B9"/>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CC80D10"/>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6D0602"/>
    <w:rsid w:val="20757BCC"/>
    <w:rsid w:val="208D0D40"/>
    <w:rsid w:val="212A1E87"/>
    <w:rsid w:val="218C669E"/>
    <w:rsid w:val="21C916A0"/>
    <w:rsid w:val="221F7512"/>
    <w:rsid w:val="22421D13"/>
    <w:rsid w:val="22430342"/>
    <w:rsid w:val="22601146"/>
    <w:rsid w:val="226F2247"/>
    <w:rsid w:val="22A5210D"/>
    <w:rsid w:val="22BD518D"/>
    <w:rsid w:val="230518A8"/>
    <w:rsid w:val="23F95523"/>
    <w:rsid w:val="2418246B"/>
    <w:rsid w:val="24407927"/>
    <w:rsid w:val="24430082"/>
    <w:rsid w:val="248511A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F37856"/>
    <w:rsid w:val="2D0D5D1F"/>
    <w:rsid w:val="2D12214D"/>
    <w:rsid w:val="2D5E2035"/>
    <w:rsid w:val="2D864873"/>
    <w:rsid w:val="2DA96B06"/>
    <w:rsid w:val="2E051E23"/>
    <w:rsid w:val="2ED008F1"/>
    <w:rsid w:val="2EE1627B"/>
    <w:rsid w:val="2F221578"/>
    <w:rsid w:val="2F3276C7"/>
    <w:rsid w:val="2F656EAC"/>
    <w:rsid w:val="2F875DDB"/>
    <w:rsid w:val="30007685"/>
    <w:rsid w:val="300F4902"/>
    <w:rsid w:val="303A64D0"/>
    <w:rsid w:val="303B4255"/>
    <w:rsid w:val="30427C69"/>
    <w:rsid w:val="3062588C"/>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FD49CD"/>
    <w:rsid w:val="39363AEB"/>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5F022D"/>
    <w:rsid w:val="47704B50"/>
    <w:rsid w:val="48967C7F"/>
    <w:rsid w:val="48BC3499"/>
    <w:rsid w:val="493F20C4"/>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B041A4"/>
    <w:rsid w:val="4D106251"/>
    <w:rsid w:val="4D1D271C"/>
    <w:rsid w:val="4D3073ED"/>
    <w:rsid w:val="4D824567"/>
    <w:rsid w:val="4DA22C22"/>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A315F0"/>
    <w:rsid w:val="551F080C"/>
    <w:rsid w:val="557D01FC"/>
    <w:rsid w:val="558649E9"/>
    <w:rsid w:val="559B757A"/>
    <w:rsid w:val="55B21658"/>
    <w:rsid w:val="560222CE"/>
    <w:rsid w:val="560A3E85"/>
    <w:rsid w:val="561E35DE"/>
    <w:rsid w:val="56423283"/>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A113609"/>
    <w:rsid w:val="5A124512"/>
    <w:rsid w:val="5A3D61AC"/>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EB629D1"/>
    <w:rsid w:val="5ED43404"/>
    <w:rsid w:val="5F28567D"/>
    <w:rsid w:val="5F5A15AE"/>
    <w:rsid w:val="5F7563E8"/>
    <w:rsid w:val="6025390F"/>
    <w:rsid w:val="602A730A"/>
    <w:rsid w:val="604A0FC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97E5C"/>
    <w:rsid w:val="6ECC5FE7"/>
    <w:rsid w:val="6EDB6140"/>
    <w:rsid w:val="6F9E1043"/>
    <w:rsid w:val="6FB14B95"/>
    <w:rsid w:val="6FBB39A3"/>
    <w:rsid w:val="6FD42CB7"/>
    <w:rsid w:val="70077DE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110AD8"/>
    <w:rsid w:val="791A1FD1"/>
    <w:rsid w:val="791A5BDE"/>
    <w:rsid w:val="79294073"/>
    <w:rsid w:val="79AE6381"/>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2202</Words>
  <Characters>2308</Characters>
  <Lines>47</Lines>
  <Paragraphs>13</Paragraphs>
  <TotalTime>0</TotalTime>
  <ScaleCrop>false</ScaleCrop>
  <LinksUpToDate>false</LinksUpToDate>
  <CharactersWithSpaces>2345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郑文</cp:lastModifiedBy>
  <dcterms:modified xsi:type="dcterms:W3CDTF">2026-03-02T13:06:32Z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2052-12.1.0.24657</vt:lpwstr>
  </property>
  <property fmtid="{D5CDD505-2E9C-101B-9397-08002B2CF9AE}" pid="4" name="KSOTemplateDocerSaveRecord">
    <vt:lpwstr>eyJoZGlkIjoiYTdiMTQwZTU1NTU3MGU4MWI2OWY3MzUwMmQ2OWE4ZDIiLCJ1c2VySWQiOiIzOTg1NTI1NjIifQ==</vt:lpwstr>
  </property>
</Properties>
</file>