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F635">
      <w:pPr>
        <w:pStyle w:val="17"/>
        <w:bidi w:val="0"/>
        <w:rPr>
          <w:rFonts w:hint="eastAsia"/>
        </w:rPr>
      </w:pPr>
      <w:r>
        <w:rPr>
          <w:rFonts w:hint="eastAsia"/>
          <w:lang w:eastAsia="zh-CN"/>
        </w:rPr>
        <w:t>景德镇市珠山区住房和城乡建设局2026</w:t>
      </w:r>
      <w:r>
        <w:rPr>
          <w:rFonts w:hint="eastAsia"/>
        </w:rPr>
        <w:t>年部门预算</w:t>
      </w:r>
    </w:p>
    <w:p w14:paraId="127CD6AF">
      <w:pPr>
        <w:pStyle w:val="14"/>
        <w:spacing w:line="600" w:lineRule="atLeast"/>
        <w:jc w:val="center"/>
        <w:rPr>
          <w:rFonts w:ascii="黑体" w:hAnsi="黑体" w:eastAsia="黑体"/>
          <w:color w:val="000000"/>
          <w:sz w:val="32"/>
          <w:szCs w:val="32"/>
        </w:rPr>
      </w:pPr>
    </w:p>
    <w:p w14:paraId="5AF60E53">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BD0D266">
      <w:pPr>
        <w:pStyle w:val="14"/>
        <w:rPr>
          <w:rFonts w:ascii="宋体" w:hAnsi="宋体"/>
          <w:color w:val="000000"/>
        </w:rPr>
      </w:pPr>
    </w:p>
    <w:p w14:paraId="2DC5E2F0">
      <w:pPr>
        <w:pStyle w:val="18"/>
        <w:numPr>
          <w:ilvl w:val="0"/>
          <w:numId w:val="0"/>
        </w:numPr>
        <w:bidi w:val="0"/>
        <w:ind w:left="420" w:leftChars="200"/>
        <w:jc w:val="left"/>
        <w:rPr>
          <w:rFonts w:hint="eastAsia"/>
          <w:lang w:eastAsia="zh-CN"/>
        </w:rPr>
      </w:pPr>
      <w:r>
        <w:rPr>
          <w:rFonts w:hint="eastAsia"/>
          <w:lang w:val="en-US" w:eastAsia="zh-CN"/>
        </w:rPr>
        <w:t>第一部分  景德镇市珠山区住房和城乡建设局概况</w:t>
      </w:r>
    </w:p>
    <w:p w14:paraId="76098653">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5E388301">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7387282">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景德镇市珠山区住房和城乡建设局2026</w:t>
      </w:r>
      <w:r>
        <w:rPr>
          <w:rFonts w:hint="eastAsia"/>
        </w:rPr>
        <w:t>年部门预算表</w:t>
      </w:r>
    </w:p>
    <w:p w14:paraId="14D7EE47">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829203D">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E9E3041">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612CCDE">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192504E">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8D63803">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B53AAD9">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2EE93C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D6E5CEE">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D759274">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E5F4D27">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7BA284BC">
      <w:pPr>
        <w:pStyle w:val="18"/>
        <w:numPr>
          <w:ilvl w:val="0"/>
          <w:numId w:val="0"/>
        </w:numPr>
        <w:bidi w:val="0"/>
        <w:ind w:left="420" w:leftChars="200"/>
        <w:jc w:val="left"/>
        <w:rPr>
          <w:rFonts w:hint="eastAsia"/>
          <w:lang w:eastAsia="zh-CN"/>
        </w:rPr>
      </w:pPr>
      <w:r>
        <w:rPr>
          <w:rFonts w:hint="eastAsia"/>
          <w:lang w:eastAsia="zh-CN"/>
        </w:rPr>
        <w:t>第三部分 景德镇市珠山区住房和城乡建设局 2026年部门预算情况说明</w:t>
      </w:r>
    </w:p>
    <w:p w14:paraId="50760795">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4B8B374">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344B223">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2A80FF46">
      <w:pPr>
        <w:pStyle w:val="18"/>
        <w:numPr>
          <w:ilvl w:val="0"/>
          <w:numId w:val="0"/>
        </w:numPr>
        <w:bidi w:val="0"/>
        <w:ind w:left="420" w:leftChars="200"/>
        <w:jc w:val="left"/>
        <w:rPr>
          <w:rFonts w:hint="eastAsia"/>
          <w:lang w:eastAsia="zh-CN"/>
        </w:rPr>
      </w:pPr>
      <w:r>
        <w:rPr>
          <w:rFonts w:hint="eastAsia"/>
          <w:lang w:eastAsia="zh-CN"/>
        </w:rPr>
        <w:t>第四部分  名词解释</w:t>
      </w:r>
    </w:p>
    <w:p w14:paraId="4D4F5DA6">
      <w:pPr>
        <w:widowControl/>
        <w:spacing w:line="580" w:lineRule="exact"/>
        <w:jc w:val="center"/>
        <w:rPr>
          <w:rFonts w:ascii="仿宋_GB2312" w:eastAsia="仿宋_GB2312"/>
          <w:b/>
          <w:sz w:val="32"/>
          <w:szCs w:val="30"/>
        </w:rPr>
      </w:pPr>
    </w:p>
    <w:p w14:paraId="66BDF38C">
      <w:pPr>
        <w:widowControl/>
        <w:spacing w:line="580" w:lineRule="exact"/>
        <w:jc w:val="center"/>
        <w:rPr>
          <w:rFonts w:ascii="仿宋_GB2312" w:eastAsia="仿宋_GB2312"/>
          <w:b/>
          <w:sz w:val="32"/>
          <w:szCs w:val="30"/>
        </w:rPr>
      </w:pPr>
    </w:p>
    <w:p w14:paraId="07A268D9">
      <w:pPr>
        <w:pStyle w:val="18"/>
        <w:numPr>
          <w:ilvl w:val="0"/>
          <w:numId w:val="0"/>
        </w:numPr>
        <w:bidi w:val="0"/>
        <w:ind w:left="420" w:leftChars="200"/>
        <w:jc w:val="center"/>
        <w:rPr>
          <w:rFonts w:hint="eastAsia"/>
          <w:lang w:eastAsia="zh-CN"/>
        </w:rPr>
      </w:pPr>
      <w:r>
        <w:rPr>
          <w:rFonts w:hint="eastAsia"/>
          <w:lang w:eastAsia="zh-CN"/>
        </w:rPr>
        <w:t>第一部分  景德镇市珠山区住房和城乡建设局概况</w:t>
      </w:r>
    </w:p>
    <w:p w14:paraId="4314C285">
      <w:pPr>
        <w:widowControl/>
        <w:spacing w:line="580" w:lineRule="exact"/>
        <w:jc w:val="left"/>
        <w:rPr>
          <w:rFonts w:asciiTheme="minorEastAsia" w:hAnsiTheme="minorEastAsia"/>
          <w:b/>
          <w:sz w:val="36"/>
          <w:szCs w:val="36"/>
        </w:rPr>
      </w:pPr>
    </w:p>
    <w:p w14:paraId="630E5F4C">
      <w:pPr>
        <w:pStyle w:val="18"/>
        <w:numPr>
          <w:ilvl w:val="0"/>
          <w:numId w:val="0"/>
        </w:numPr>
        <w:bidi w:val="0"/>
        <w:ind w:left="420" w:leftChars="200" w:firstLine="320" w:firstLineChars="100"/>
        <w:rPr>
          <w:rFonts w:hint="eastAsia"/>
        </w:rPr>
      </w:pPr>
      <w:r>
        <w:rPr>
          <w:rFonts w:hint="eastAsia"/>
        </w:rPr>
        <w:t>一、部门主要职责</w:t>
      </w:r>
    </w:p>
    <w:p w14:paraId="3589AC20">
      <w:pPr>
        <w:pStyle w:val="4"/>
        <w:spacing w:before="154" w:line="624" w:lineRule="exact"/>
        <w:ind w:left="681"/>
      </w:pPr>
      <w:r>
        <w:rPr>
          <w:rFonts w:hint="eastAsia"/>
          <w:spacing w:val="-2"/>
          <w:lang w:val="en-US" w:eastAsia="zh-CN"/>
        </w:rPr>
        <w:t>珠山区住房和城乡建设局是区政府工作</w:t>
      </w:r>
      <w:r>
        <w:rPr>
          <w:spacing w:val="-2"/>
        </w:rPr>
        <w:t>部门，主要职责是：</w:t>
      </w:r>
    </w:p>
    <w:p w14:paraId="0DA9D01A">
      <w:pPr>
        <w:widowControl/>
        <w:spacing w:line="550" w:lineRule="exact"/>
        <w:ind w:firstLine="645"/>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一）贯彻执行国家有关住房和城乡建设的法律，法规、规章和政策；承担规范珠山区住房和城乡建设管理秩序的责任；组织实施住房和城乡建设地方性政策；研究提出珠山区住房和城乡建设重大问题的政策建议；指导全区住房和城乡建设行政执法，执法监督。</w:t>
      </w:r>
    </w:p>
    <w:p w14:paraId="4DE88D63">
      <w:pPr>
        <w:widowControl/>
        <w:spacing w:line="550" w:lineRule="exact"/>
        <w:ind w:firstLine="645"/>
        <w:jc w:val="left"/>
        <w:rPr>
          <w:rFonts w:hint="eastAsia"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（二）负责全区房屋征收与补偿工作，并对其进行监督、指导。</w:t>
      </w:r>
    </w:p>
    <w:p w14:paraId="22339CE4">
      <w:pPr>
        <w:widowControl/>
        <w:spacing w:line="550" w:lineRule="exact"/>
        <w:ind w:firstLine="645"/>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（三）负责对辖区内里弄路面破损的维修完善以及下水道堵塞进行改造，并加强对施工工地的管理。</w:t>
      </w:r>
    </w:p>
    <w:p w14:paraId="3BBCA551">
      <w:pPr>
        <w:widowControl/>
        <w:spacing w:line="550" w:lineRule="exact"/>
        <w:ind w:firstLine="645"/>
        <w:jc w:val="left"/>
        <w:rPr>
          <w:rFonts w:hint="eastAsia"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（四）负责指导区政府市政建设工程的协调，调度及督办工作。</w:t>
      </w:r>
    </w:p>
    <w:p w14:paraId="50BD160D">
      <w:pPr>
        <w:widowControl/>
        <w:spacing w:line="550" w:lineRule="exact"/>
        <w:ind w:firstLine="645"/>
        <w:jc w:val="left"/>
        <w:rPr>
          <w:rFonts w:hint="eastAsia" w:ascii="仿宋_GB2312" w:hAnsi="宋体" w:eastAsia="仿宋_GB2312" w:cs="宋体"/>
          <w:kern w:val="0"/>
          <w:sz w:val="32"/>
          <w:szCs w:val="32"/>
        </w:rPr>
      </w:pPr>
      <w:r>
        <w:rPr>
          <w:rFonts w:hint="eastAsia" w:ascii="仿宋_GB2312" w:hAnsi="仿宋" w:eastAsia="仿宋_GB2312" w:cs="宋体"/>
          <w:kern w:val="0"/>
          <w:sz w:val="32"/>
          <w:szCs w:val="32"/>
        </w:rPr>
        <w:t>（五）负责指导辖区内推进小区整治和落实物业管理工作。</w:t>
      </w:r>
    </w:p>
    <w:p w14:paraId="7041A70D">
      <w:pPr>
        <w:widowControl/>
        <w:spacing w:line="55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（六）</w:t>
      </w:r>
      <w:r>
        <w:rPr>
          <w:rFonts w:hint="eastAsia" w:ascii="仿宋_GB2312" w:hAnsi="仿宋" w:eastAsia="仿宋_GB2312"/>
          <w:sz w:val="32"/>
          <w:szCs w:val="32"/>
        </w:rPr>
        <w:t>承接市</w:t>
      </w:r>
      <w:r>
        <w:rPr>
          <w:rFonts w:hint="eastAsia" w:ascii="仿宋_GB2312" w:hAnsi="仿宋" w:eastAsia="仿宋_GB2312"/>
          <w:sz w:val="32"/>
          <w:szCs w:val="32"/>
          <w:lang w:eastAsia="zh-CN"/>
        </w:rPr>
        <w:t>住房和城乡建设局</w:t>
      </w:r>
      <w:r>
        <w:rPr>
          <w:rFonts w:hint="eastAsia" w:ascii="仿宋_GB2312" w:hAnsi="仿宋" w:eastAsia="仿宋_GB2312"/>
          <w:sz w:val="32"/>
          <w:szCs w:val="32"/>
        </w:rPr>
        <w:t>、市自然资源和规划局下放的其他职能。</w:t>
      </w:r>
    </w:p>
    <w:p w14:paraId="2DAD0055">
      <w:pPr>
        <w:pStyle w:val="19"/>
        <w:bidi w:val="0"/>
        <w:rPr>
          <w:rFonts w:hint="eastAsia" w:ascii="仿宋_GB2312" w:hAnsi="仿宋_GB2312" w:eastAsia="仿宋_GB2312" w:cs="仿宋_GB2312"/>
        </w:rPr>
      </w:pPr>
      <w:r>
        <w:rPr>
          <w:rFonts w:hint="eastAsia" w:ascii="仿宋_GB2312" w:hAnsi="仿宋" w:eastAsia="仿宋_GB2312" w:cs="宋体"/>
          <w:kern w:val="0"/>
          <w:sz w:val="32"/>
          <w:szCs w:val="32"/>
        </w:rPr>
        <w:t>（七）</w:t>
      </w:r>
      <w:r>
        <w:rPr>
          <w:rFonts w:hint="eastAsia" w:ascii="仿宋_GB2312" w:hAnsi="仿宋" w:eastAsia="仿宋_GB2312"/>
          <w:sz w:val="32"/>
          <w:szCs w:val="32"/>
        </w:rPr>
        <w:t>完成区委、区政府交办的其他任务。</w:t>
      </w:r>
    </w:p>
    <w:p w14:paraId="2BDC6A6E">
      <w:pPr>
        <w:pStyle w:val="18"/>
        <w:numPr>
          <w:ilvl w:val="0"/>
          <w:numId w:val="0"/>
        </w:numPr>
        <w:bidi w:val="0"/>
        <w:ind w:left="420" w:leftChars="200" w:firstLine="320" w:firstLineChars="100"/>
        <w:rPr>
          <w:rFonts w:hint="eastAsia"/>
        </w:rPr>
      </w:pPr>
      <w:r>
        <w:rPr>
          <w:rFonts w:hint="eastAsia"/>
        </w:rPr>
        <w:t>二、机构设置及人员情况</w:t>
      </w:r>
    </w:p>
    <w:p w14:paraId="51493B53">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景德镇市珠山区住房和城乡建设局共有预算单位1个，包括景德镇市珠山区住房和城乡建设局</w:t>
      </w:r>
      <w:r>
        <w:rPr>
          <w:rFonts w:hint="eastAsia" w:ascii="仿宋_GB2312" w:hAnsi="仿宋_GB2312" w:eastAsia="仿宋_GB2312" w:cs="仿宋_GB2312"/>
        </w:rPr>
        <w:t>。</w:t>
      </w:r>
    </w:p>
    <w:p w14:paraId="37E8D3EC">
      <w:pPr>
        <w:pStyle w:val="19"/>
        <w:bidi w:val="0"/>
        <w:rPr>
          <w:rFonts w:hint="eastAsia" w:ascii="仿宋_GB2312" w:hAnsi="仿宋_GB2312" w:eastAsia="仿宋_GB2312" w:cs="仿宋_GB2312"/>
        </w:rPr>
      </w:pPr>
    </w:p>
    <w:p w14:paraId="5927484F">
      <w:pPr>
        <w:widowControl/>
        <w:spacing w:line="580" w:lineRule="exact"/>
        <w:jc w:val="center"/>
        <w:rPr>
          <w:rFonts w:ascii="仿宋_GB2312" w:eastAsia="仿宋_GB2312"/>
          <w:b/>
          <w:szCs w:val="30"/>
        </w:rPr>
      </w:pPr>
    </w:p>
    <w:p w14:paraId="5CD416E8">
      <w:pPr>
        <w:pStyle w:val="18"/>
        <w:numPr>
          <w:ilvl w:val="0"/>
          <w:numId w:val="0"/>
        </w:numPr>
        <w:bidi w:val="0"/>
        <w:ind w:left="420" w:leftChars="200"/>
        <w:jc w:val="center"/>
        <w:rPr>
          <w:rFonts w:hint="eastAsia"/>
          <w:lang w:eastAsia="zh-CN"/>
        </w:rPr>
      </w:pPr>
      <w:r>
        <w:rPr>
          <w:rFonts w:hint="eastAsia"/>
          <w:lang w:eastAsia="zh-CN"/>
        </w:rPr>
        <w:t>第二部分  景德镇市珠山区住房和城乡建设局2026年部门预算表</w:t>
      </w:r>
    </w:p>
    <w:p w14:paraId="66513F71">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10466" w:type="dxa"/>
        <w:jc w:val="center"/>
        <w:tblLayout w:type="fixed"/>
        <w:tblCellMar>
          <w:top w:w="0" w:type="dxa"/>
          <w:left w:w="108" w:type="dxa"/>
          <w:bottom w:w="0" w:type="dxa"/>
          <w:right w:w="108" w:type="dxa"/>
        </w:tblCellMar>
      </w:tblPr>
      <w:tblGrid>
        <w:gridCol w:w="3059"/>
        <w:gridCol w:w="2204"/>
        <w:gridCol w:w="3464"/>
        <w:gridCol w:w="1739"/>
      </w:tblGrid>
      <w:tr w14:paraId="6DAC8236">
        <w:tblPrEx>
          <w:tblCellMar>
            <w:top w:w="0" w:type="dxa"/>
            <w:left w:w="108" w:type="dxa"/>
            <w:bottom w:w="0" w:type="dxa"/>
            <w:right w:w="108" w:type="dxa"/>
          </w:tblCellMar>
        </w:tblPrEx>
        <w:trPr>
          <w:trHeight w:val="585" w:hRule="atLeast"/>
          <w:tblHeader/>
          <w:jc w:val="center"/>
        </w:trPr>
        <w:tc>
          <w:tcPr>
            <w:tcW w:w="10466" w:type="dxa"/>
            <w:gridSpan w:val="4"/>
            <w:noWrap/>
            <w:vAlign w:val="center"/>
          </w:tcPr>
          <w:p w14:paraId="256837A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0ABE32F">
        <w:tblPrEx>
          <w:tblCellMar>
            <w:top w:w="0" w:type="dxa"/>
            <w:left w:w="108" w:type="dxa"/>
            <w:bottom w:w="0" w:type="dxa"/>
            <w:right w:w="108" w:type="dxa"/>
          </w:tblCellMar>
        </w:tblPrEx>
        <w:trPr>
          <w:trHeight w:val="345" w:hRule="atLeast"/>
          <w:tblHeader/>
          <w:jc w:val="center"/>
        </w:trPr>
        <w:tc>
          <w:tcPr>
            <w:tcW w:w="5263" w:type="dxa"/>
            <w:gridSpan w:val="2"/>
            <w:noWrap/>
            <w:vAlign w:val="center"/>
          </w:tcPr>
          <w:p w14:paraId="760EB96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502景德镇市珠山区住房和城乡建设局</w:t>
            </w:r>
          </w:p>
        </w:tc>
        <w:tc>
          <w:tcPr>
            <w:tcW w:w="3464" w:type="dxa"/>
            <w:noWrap/>
            <w:vAlign w:val="bottom"/>
          </w:tcPr>
          <w:p w14:paraId="21867B6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14:paraId="4C0A035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A5A8D1F">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14:paraId="345B67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14:paraId="36415B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3B8E47F">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14:paraId="0C177C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14:paraId="144768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14:paraId="33B328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14:paraId="202377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67D2A4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1630FC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14:paraId="3521DA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288.02</w:t>
            </w:r>
          </w:p>
        </w:tc>
        <w:tc>
          <w:tcPr>
            <w:tcW w:w="3464" w:type="dxa"/>
            <w:tcBorders>
              <w:top w:val="nil"/>
              <w:left w:val="nil"/>
              <w:bottom w:val="single" w:color="000000" w:sz="4" w:space="0"/>
              <w:right w:val="single" w:color="000000" w:sz="4" w:space="0"/>
            </w:tcBorders>
            <w:noWrap/>
            <w:vAlign w:val="center"/>
          </w:tcPr>
          <w:p w14:paraId="516A2E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39" w:type="dxa"/>
            <w:tcBorders>
              <w:top w:val="nil"/>
              <w:left w:val="nil"/>
              <w:bottom w:val="single" w:color="000000" w:sz="4" w:space="0"/>
              <w:right w:val="single" w:color="000000" w:sz="4" w:space="0"/>
            </w:tcBorders>
            <w:noWrap/>
            <w:vAlign w:val="center"/>
          </w:tcPr>
          <w:p w14:paraId="631731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27.99</w:t>
            </w:r>
          </w:p>
        </w:tc>
      </w:tr>
      <w:tr w14:paraId="2BF4742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31A109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3265F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288.02</w:t>
            </w:r>
          </w:p>
        </w:tc>
        <w:tc>
          <w:tcPr>
            <w:tcW w:w="3464" w:type="dxa"/>
            <w:tcBorders>
              <w:top w:val="nil"/>
              <w:left w:val="nil"/>
              <w:bottom w:val="single" w:color="000000" w:sz="4" w:space="0"/>
              <w:right w:val="single" w:color="000000" w:sz="4" w:space="0"/>
            </w:tcBorders>
            <w:noWrap/>
            <w:vAlign w:val="center"/>
          </w:tcPr>
          <w:p w14:paraId="435048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14:paraId="12CAC4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11.89</w:t>
            </w:r>
          </w:p>
        </w:tc>
      </w:tr>
      <w:tr w14:paraId="20BA35D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A4BA4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14:paraId="48693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62C4E1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1739" w:type="dxa"/>
            <w:tcBorders>
              <w:top w:val="nil"/>
              <w:left w:val="nil"/>
              <w:bottom w:val="single" w:color="000000" w:sz="4" w:space="0"/>
              <w:right w:val="single" w:color="000000" w:sz="4" w:space="0"/>
            </w:tcBorders>
            <w:noWrap/>
            <w:vAlign w:val="center"/>
          </w:tcPr>
          <w:p w14:paraId="4FF8BE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227.15</w:t>
            </w:r>
          </w:p>
        </w:tc>
      </w:tr>
      <w:tr w14:paraId="5454559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1FF831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597F69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104ED4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14:paraId="03123D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2,318.09</w:t>
            </w:r>
          </w:p>
        </w:tc>
      </w:tr>
      <w:tr w14:paraId="44C5F3F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5366B8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1D19D2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2ACD15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4F44E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88EC6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C29B8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0F796A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08328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167B9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75910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B2274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117D19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0021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92C72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F2B34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EBDFD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14:paraId="553EEC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1DB8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91CBF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E7D43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B42D0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14:paraId="64BC14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058549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A0F3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53D5A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EC9D6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14:paraId="68983F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5673A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6936E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A8DCB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35C942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318BB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0F186B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32FAB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835A0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5572E2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7C2565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2C81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3E377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16C83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D873A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3AB68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6D4D6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CE6A0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7C399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52DFD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FE49B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B3848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B888C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CC025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BC3B7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B9F31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D64B8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B0CE0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70815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89D89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411A7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FEF22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5127A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75565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0DE1E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A5287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3FFB3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FE3F7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0B5E3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DCF5B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A9665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59E5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CD2EF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EC90E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451079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4C346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0B76D5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B521B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C82F5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DC495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4F597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4B52A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07F81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B19DD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32A61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4CB23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FC21E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0B7D0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13B50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9F6CD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E7A50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0F05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8DE9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AB3EB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2092AE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58B31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91CA6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A008D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25530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2D3BE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5F177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D10A3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072E5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32B5C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06AE5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9706C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48F34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DD755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80AF9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95DFA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F006B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73FBA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56EB2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42141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43E61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E3FC5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9BCC4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356C9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F7D5D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56610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34915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1C273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562FC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3F76B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6812F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BDBF1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5201D0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6E95A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B1AEC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14:paraId="7268A3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784E56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288.02</w:t>
            </w:r>
          </w:p>
        </w:tc>
        <w:tc>
          <w:tcPr>
            <w:tcW w:w="3464" w:type="dxa"/>
            <w:tcBorders>
              <w:top w:val="nil"/>
              <w:left w:val="nil"/>
              <w:bottom w:val="single" w:color="auto" w:sz="4" w:space="0"/>
              <w:right w:val="single" w:color="000000" w:sz="4" w:space="0"/>
            </w:tcBorders>
            <w:noWrap/>
            <w:vAlign w:val="center"/>
          </w:tcPr>
          <w:p w14:paraId="1DD1D1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14:paraId="4CBF7B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2,585.12</w:t>
            </w:r>
          </w:p>
        </w:tc>
      </w:tr>
      <w:tr w14:paraId="70BF9FA2">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55E2DD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64EE4E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14:paraId="0CF810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78DD43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0D1E8FA">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14:paraId="172F5E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14:paraId="50057C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2,297.10</w:t>
            </w:r>
          </w:p>
        </w:tc>
        <w:tc>
          <w:tcPr>
            <w:tcW w:w="3464" w:type="dxa"/>
            <w:tcBorders>
              <w:top w:val="single" w:color="auto" w:sz="4" w:space="0"/>
              <w:left w:val="nil"/>
              <w:bottom w:val="single" w:color="auto" w:sz="4" w:space="0"/>
              <w:right w:val="single" w:color="000000" w:sz="4" w:space="0"/>
            </w:tcBorders>
            <w:noWrap/>
            <w:vAlign w:val="bottom"/>
          </w:tcPr>
          <w:p w14:paraId="37AA09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53616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54345F">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633068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14:paraId="056E83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2,585.12</w:t>
            </w:r>
          </w:p>
        </w:tc>
        <w:tc>
          <w:tcPr>
            <w:tcW w:w="3464" w:type="dxa"/>
            <w:tcBorders>
              <w:top w:val="single" w:color="auto" w:sz="4" w:space="0"/>
              <w:left w:val="single" w:color="auto" w:sz="4" w:space="0"/>
              <w:bottom w:val="single" w:color="auto" w:sz="4" w:space="0"/>
              <w:right w:val="single" w:color="auto" w:sz="4" w:space="0"/>
            </w:tcBorders>
            <w:noWrap/>
            <w:vAlign w:val="center"/>
          </w:tcPr>
          <w:p w14:paraId="4E0A8C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14:paraId="7D5E3F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2,585.12</w:t>
            </w:r>
          </w:p>
        </w:tc>
      </w:tr>
    </w:tbl>
    <w:p w14:paraId="781C170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45229579">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14:paraId="0710E6A9">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412E7600">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noWrap/>
            <w:vAlign w:val="center"/>
          </w:tcPr>
          <w:p w14:paraId="25F6372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填报单位:502景德镇市珠山区住房和城乡建设局</w:t>
            </w:r>
          </w:p>
        </w:tc>
        <w:tc>
          <w:tcPr>
            <w:tcW w:w="943" w:type="dxa"/>
            <w:tcBorders>
              <w:top w:val="nil"/>
              <w:left w:val="nil"/>
              <w:bottom w:val="single" w:color="auto" w:sz="4" w:space="0"/>
              <w:right w:val="nil"/>
            </w:tcBorders>
            <w:shd w:val="clear" w:color="auto" w:fill="auto"/>
            <w:noWrap/>
            <w:vAlign w:val="bottom"/>
          </w:tcPr>
          <w:p w14:paraId="28A33AF0">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noWrap/>
            <w:vAlign w:val="bottom"/>
          </w:tcPr>
          <w:p w14:paraId="56E2E0B1">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noWrap/>
            <w:vAlign w:val="bottom"/>
          </w:tcPr>
          <w:p w14:paraId="4D3C9B74">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14:paraId="402A7D99">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noWrap/>
            <w:vAlign w:val="bottom"/>
          </w:tcPr>
          <w:p w14:paraId="439F0392">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noWrap/>
            <w:vAlign w:val="bottom"/>
          </w:tcPr>
          <w:p w14:paraId="0E690E04">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noWrap/>
            <w:vAlign w:val="bottom"/>
          </w:tcPr>
          <w:p w14:paraId="68230D2C">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14:paraId="60424A5A">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14:paraId="7FDFBC6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5C167DD">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noWrap/>
            <w:vAlign w:val="center"/>
          </w:tcPr>
          <w:p w14:paraId="6E31DAC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F337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22E8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6ABDC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015D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AFB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441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A120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1F40C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BDED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173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3A69F8F">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2807955C">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057D7064">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0294FC07">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844DF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930F6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A2C89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498C7A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39DD8638">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64E68DC7">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4A30FC7A">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3287A36F">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5E0A08B8">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04A8BB9F">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32380468">
            <w:pPr>
              <w:widowControl/>
              <w:jc w:val="left"/>
              <w:rPr>
                <w:rFonts w:ascii="宋体" w:hAnsi="宋体" w:eastAsia="宋体" w:cs="Arial"/>
                <w:color w:val="000000"/>
                <w:kern w:val="0"/>
                <w:sz w:val="13"/>
                <w:szCs w:val="13"/>
              </w:rPr>
            </w:pPr>
          </w:p>
        </w:tc>
      </w:tr>
      <w:tr w14:paraId="190806CD">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5987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6572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914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75A1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9DF1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CFBB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B40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AABF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D7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E00E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B8EE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5442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F12D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5A1A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5C56E0B">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C436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A1C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2,585.12</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AA9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2,297.10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615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288.02</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BE7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288.02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DB3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C2F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492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B39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AC6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8F9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FC2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0AD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75532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FDAB560">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4ED9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景德镇市珠山区住房和城乡建设局</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18F4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2,585.12</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21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2,297.10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F4D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288.02</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B18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288.02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762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712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1EF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F9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C0A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E6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FA8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139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593194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0CBF18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7140C329">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14:paraId="4B8FB1BD">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9A637CA">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14:paraId="4920BF2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502景德镇市珠山区住房和城乡建设局</w:t>
            </w:r>
          </w:p>
        </w:tc>
        <w:tc>
          <w:tcPr>
            <w:tcW w:w="1913" w:type="dxa"/>
            <w:tcBorders>
              <w:top w:val="nil"/>
              <w:left w:val="nil"/>
              <w:bottom w:val="nil"/>
              <w:right w:val="nil"/>
            </w:tcBorders>
            <w:shd w:val="clear" w:color="auto" w:fill="auto"/>
            <w:noWrap/>
            <w:vAlign w:val="bottom"/>
          </w:tcPr>
          <w:p w14:paraId="19585E8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14:paraId="485D4E7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14:paraId="18FDBA6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0E23D48">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D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62728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14:paraId="3C11E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4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A591EB4">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14:paraId="2DAFF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14:paraId="5587C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1AF2D6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45A5A9D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3491A702">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AEE3231">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14:paraId="14C68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14:paraId="65AF00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14:paraId="5AC3E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14:paraId="68DD10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14:paraId="309F37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DAF205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AE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E107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6562B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2,585.12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D75C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272.02</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ADC0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2,313.10</w:t>
            </w:r>
          </w:p>
        </w:tc>
      </w:tr>
      <w:tr w14:paraId="75066D7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3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A2E3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2340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92CB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956B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9E087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E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DF4F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0553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E60B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9579A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DD9B6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5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CA9C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18948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27.99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6C3A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D3DF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346FC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F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4534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33B4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950D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8F87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BD505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E8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F84D8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6A0D4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33AD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D456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A126B9">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5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348F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5FDC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50B86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A862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56A67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B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495E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0B4A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227.15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F7C3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F7A0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r>
      <w:tr w14:paraId="5B42ABD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3F89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6BE5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59B7A5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E6A25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B40AA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7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AF96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10DD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211.15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33BE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211.15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E61F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BB7C7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7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3CC1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其他城乡社区支出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6CBB3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954E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E54D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r>
      <w:tr w14:paraId="291AAB2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0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2129999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315D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C9CC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8665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A731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16.00</w:t>
            </w:r>
          </w:p>
        </w:tc>
      </w:tr>
      <w:tr w14:paraId="67ADD23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D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613D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85CE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2,318.09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519E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CA5B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2,297.10</w:t>
            </w:r>
          </w:p>
        </w:tc>
      </w:tr>
      <w:tr w14:paraId="5E0836A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4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A351C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保障性安居工程支出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186D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2,297.10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E95C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464A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2,297.10</w:t>
            </w:r>
          </w:p>
        </w:tc>
      </w:tr>
      <w:tr w14:paraId="5CCFC419">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B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2210103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45D7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棚户区改造</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55EC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926.00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A602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FADE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926.00</w:t>
            </w:r>
          </w:p>
        </w:tc>
      </w:tr>
      <w:tr w14:paraId="793A7B5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8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2210111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0B0E0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配租型住房保障</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1F240D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1,371.10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05C8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0397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1,371.10</w:t>
            </w:r>
          </w:p>
        </w:tc>
      </w:tr>
      <w:tr w14:paraId="64873FF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3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069C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A854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D804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A710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64309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4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42A11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BB8EE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5E8A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D293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DFFB4C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110072A4">
        <w:tblPrEx>
          <w:tblCellMar>
            <w:top w:w="0" w:type="dxa"/>
            <w:left w:w="108" w:type="dxa"/>
            <w:bottom w:w="0" w:type="dxa"/>
            <w:right w:w="108" w:type="dxa"/>
          </w:tblCellMar>
        </w:tblPrEx>
        <w:trPr>
          <w:trHeight w:val="585" w:hRule="atLeast"/>
          <w:tblHeader/>
        </w:trPr>
        <w:tc>
          <w:tcPr>
            <w:tcW w:w="10456" w:type="dxa"/>
            <w:gridSpan w:val="7"/>
            <w:noWrap/>
            <w:vAlign w:val="center"/>
          </w:tcPr>
          <w:p w14:paraId="7B34316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F1F126C">
        <w:tblPrEx>
          <w:tblCellMar>
            <w:top w:w="0" w:type="dxa"/>
            <w:left w:w="108" w:type="dxa"/>
            <w:bottom w:w="0" w:type="dxa"/>
            <w:right w:w="108" w:type="dxa"/>
          </w:tblCellMar>
        </w:tblPrEx>
        <w:trPr>
          <w:cantSplit/>
          <w:trHeight w:val="346" w:hRule="atLeast"/>
          <w:tblHeader/>
        </w:trPr>
        <w:tc>
          <w:tcPr>
            <w:tcW w:w="5382" w:type="dxa"/>
            <w:gridSpan w:val="3"/>
            <w:noWrap/>
            <w:vAlign w:val="center"/>
          </w:tcPr>
          <w:p w14:paraId="7F84380F">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填报单位:502景德镇市珠山区住房和城乡建设局</w:t>
            </w:r>
          </w:p>
        </w:tc>
        <w:tc>
          <w:tcPr>
            <w:tcW w:w="1207" w:type="dxa"/>
            <w:noWrap/>
            <w:vAlign w:val="bottom"/>
          </w:tcPr>
          <w:p w14:paraId="0DF134D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14:paraId="309B691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14:paraId="142AA81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48EEE1C">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14:paraId="0F5EA2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14:paraId="084D28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C27FA92">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14:paraId="44258A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14:paraId="1CBACC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14:paraId="369CEB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14:paraId="6F5250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14:paraId="7DEF7F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14:paraId="48C8A2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14:paraId="3EC16D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D7E2F7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1349B9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14:paraId="67A6A1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288.02</w:t>
            </w:r>
          </w:p>
        </w:tc>
        <w:tc>
          <w:tcPr>
            <w:tcW w:w="1982" w:type="dxa"/>
            <w:tcBorders>
              <w:top w:val="nil"/>
              <w:left w:val="nil"/>
              <w:bottom w:val="single" w:color="000000" w:sz="4" w:space="0"/>
              <w:right w:val="single" w:color="000000" w:sz="4" w:space="0"/>
            </w:tcBorders>
            <w:noWrap/>
            <w:vAlign w:val="center"/>
          </w:tcPr>
          <w:p w14:paraId="5EFAB1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07" w:type="dxa"/>
            <w:tcBorders>
              <w:top w:val="nil"/>
              <w:left w:val="nil"/>
              <w:bottom w:val="single" w:color="000000" w:sz="4" w:space="0"/>
              <w:right w:val="single" w:color="000000" w:sz="4" w:space="0"/>
            </w:tcBorders>
            <w:noWrap/>
            <w:vAlign w:val="center"/>
          </w:tcPr>
          <w:p w14:paraId="743A35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27.99</w:t>
            </w:r>
          </w:p>
        </w:tc>
        <w:tc>
          <w:tcPr>
            <w:tcW w:w="1280" w:type="dxa"/>
            <w:tcBorders>
              <w:top w:val="nil"/>
              <w:left w:val="nil"/>
              <w:bottom w:val="single" w:color="000000" w:sz="4" w:space="0"/>
              <w:right w:val="single" w:color="000000" w:sz="4" w:space="0"/>
            </w:tcBorders>
            <w:noWrap/>
            <w:vAlign w:val="center"/>
          </w:tcPr>
          <w:p w14:paraId="2AAE82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27.99</w:t>
            </w:r>
          </w:p>
        </w:tc>
        <w:tc>
          <w:tcPr>
            <w:tcW w:w="1259" w:type="dxa"/>
            <w:tcBorders>
              <w:top w:val="nil"/>
              <w:left w:val="nil"/>
              <w:bottom w:val="single" w:color="000000" w:sz="4" w:space="0"/>
              <w:right w:val="single" w:color="000000" w:sz="4" w:space="0"/>
            </w:tcBorders>
            <w:noWrap/>
            <w:vAlign w:val="center"/>
          </w:tcPr>
          <w:p w14:paraId="652897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14:paraId="51C0D8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FF4ED2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184876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14:paraId="6F2389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288.02</w:t>
            </w:r>
          </w:p>
        </w:tc>
        <w:tc>
          <w:tcPr>
            <w:tcW w:w="1982" w:type="dxa"/>
            <w:tcBorders>
              <w:top w:val="nil"/>
              <w:left w:val="single" w:color="000000" w:sz="4" w:space="0"/>
              <w:bottom w:val="single" w:color="000000" w:sz="4" w:space="0"/>
              <w:right w:val="single" w:color="000000" w:sz="4" w:space="0"/>
            </w:tcBorders>
            <w:noWrap/>
            <w:vAlign w:val="center"/>
          </w:tcPr>
          <w:p w14:paraId="0A58ECB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14:paraId="6F8911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11.89</w:t>
            </w:r>
          </w:p>
        </w:tc>
        <w:tc>
          <w:tcPr>
            <w:tcW w:w="1280" w:type="dxa"/>
            <w:tcBorders>
              <w:top w:val="nil"/>
              <w:left w:val="nil"/>
              <w:bottom w:val="single" w:color="000000" w:sz="4" w:space="0"/>
              <w:right w:val="single" w:color="000000" w:sz="4" w:space="0"/>
            </w:tcBorders>
            <w:noWrap/>
            <w:vAlign w:val="center"/>
          </w:tcPr>
          <w:p w14:paraId="651435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11.89</w:t>
            </w:r>
          </w:p>
        </w:tc>
        <w:tc>
          <w:tcPr>
            <w:tcW w:w="1259" w:type="dxa"/>
            <w:tcBorders>
              <w:top w:val="nil"/>
              <w:left w:val="nil"/>
              <w:bottom w:val="single" w:color="000000" w:sz="4" w:space="0"/>
              <w:right w:val="single" w:color="000000" w:sz="4" w:space="0"/>
            </w:tcBorders>
            <w:noWrap/>
            <w:vAlign w:val="center"/>
          </w:tcPr>
          <w:p w14:paraId="5C4282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365CC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71C1A9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8750F1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14:paraId="3CDBBE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14:paraId="177B8B89">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1207" w:type="dxa"/>
            <w:tcBorders>
              <w:top w:val="nil"/>
              <w:left w:val="nil"/>
              <w:bottom w:val="single" w:color="000000" w:sz="4" w:space="0"/>
              <w:right w:val="single" w:color="000000" w:sz="4" w:space="0"/>
            </w:tcBorders>
            <w:noWrap/>
            <w:vAlign w:val="center"/>
          </w:tcPr>
          <w:p w14:paraId="641597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227.15</w:t>
            </w:r>
          </w:p>
        </w:tc>
        <w:tc>
          <w:tcPr>
            <w:tcW w:w="1280" w:type="dxa"/>
            <w:tcBorders>
              <w:top w:val="nil"/>
              <w:left w:val="nil"/>
              <w:bottom w:val="single" w:color="000000" w:sz="4" w:space="0"/>
              <w:right w:val="single" w:color="000000" w:sz="4" w:space="0"/>
            </w:tcBorders>
            <w:noWrap/>
            <w:vAlign w:val="center"/>
          </w:tcPr>
          <w:p w14:paraId="66ACCE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227.15</w:t>
            </w:r>
          </w:p>
        </w:tc>
        <w:tc>
          <w:tcPr>
            <w:tcW w:w="1259" w:type="dxa"/>
            <w:tcBorders>
              <w:top w:val="nil"/>
              <w:left w:val="nil"/>
              <w:bottom w:val="single" w:color="000000" w:sz="4" w:space="0"/>
              <w:right w:val="single" w:color="000000" w:sz="4" w:space="0"/>
            </w:tcBorders>
            <w:noWrap/>
            <w:vAlign w:val="center"/>
          </w:tcPr>
          <w:p w14:paraId="2AF4A2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4A743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0219DD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17891E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57DEEF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14:paraId="2BA99C9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noWrap/>
            <w:vAlign w:val="center"/>
          </w:tcPr>
          <w:p w14:paraId="1FCA67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2,318.09</w:t>
            </w:r>
          </w:p>
        </w:tc>
        <w:tc>
          <w:tcPr>
            <w:tcW w:w="1280" w:type="dxa"/>
            <w:tcBorders>
              <w:top w:val="nil"/>
              <w:left w:val="nil"/>
              <w:bottom w:val="single" w:color="000000" w:sz="4" w:space="0"/>
              <w:right w:val="single" w:color="000000" w:sz="4" w:space="0"/>
            </w:tcBorders>
            <w:noWrap/>
            <w:vAlign w:val="center"/>
          </w:tcPr>
          <w:p w14:paraId="7C20C8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2,318.09</w:t>
            </w:r>
          </w:p>
        </w:tc>
        <w:tc>
          <w:tcPr>
            <w:tcW w:w="1259" w:type="dxa"/>
            <w:tcBorders>
              <w:top w:val="nil"/>
              <w:left w:val="nil"/>
              <w:bottom w:val="single" w:color="000000" w:sz="4" w:space="0"/>
              <w:right w:val="single" w:color="000000" w:sz="4" w:space="0"/>
            </w:tcBorders>
            <w:noWrap/>
            <w:vAlign w:val="center"/>
          </w:tcPr>
          <w:p w14:paraId="2C020B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773C1C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26F70F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267C8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ABC12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52122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53B98B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7B4A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080B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2717C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8537A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809CF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A7ADD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96498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6059C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A8A6E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23D1E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B811B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DC682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212A2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55E58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9AECC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3057C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C7BB3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27EC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3B197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62150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40228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31530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9A3B7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91F1A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FE60C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1400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C162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3834A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11603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97B87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6AF7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BBF71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386B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9DD4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B86F5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10019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E2B21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59AD5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B47FD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9B5F4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38474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386D5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50317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AC274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7B0D1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AE68D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62E48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9A807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8F2A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0F4C0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BB376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25C6C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F14A3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BC4AC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8D090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A922E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58890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FE35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368D3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1F419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F35F1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C628F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E10C8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DB948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0BA48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C7785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1D74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6472E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876CD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FC8F9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0873A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304B9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9F28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09DC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EE075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ADF7B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63B3A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30ECE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9CD6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20849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4E08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35E5B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9BD9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D38EC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43C88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8133C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EF1C6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80318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97F1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EE94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FCC1A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C7F0A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58597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7E596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A0E23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2AFC7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66F3F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1DF5E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D1651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4A364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5FBBC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B6AAF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6CD48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71F5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C548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384B4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0BCE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84532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27053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59157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ACEFE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1DD8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5A5AE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C3AF3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2D05C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4086D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340AE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75ECA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5F48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9C7D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5FD77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68C1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32CE1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9801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D8CCC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8CFED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BC747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AF4D8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1577A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6EB78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3B17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0474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6FC6A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BCA38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4DF0F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0F35B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80A54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988A2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3F8DC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DE780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7FE26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B0FCA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5F3C2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ED5B2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4A45B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943C5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B2462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B7916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100A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3FD4D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64F0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1E61E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E973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A370B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CE79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C5FF73">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14:paraId="46CACAF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2CA967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5C1F9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7D8F3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2819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9B2A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90356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A5AE5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DA7F3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CD04E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F67DC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70A1FD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A36B3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0BB2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46EF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CA4CC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690A9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89E4D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323B5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452F2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4A37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1D590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B883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EE81C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06BC1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704FA0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5C8661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5B311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34F70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492A6D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AF96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0FEAF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D623E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C742D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3E5A2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2419AA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E791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69CB0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046AF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40635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1DEFD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749FA4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2,297.10　</w:t>
            </w:r>
          </w:p>
        </w:tc>
        <w:tc>
          <w:tcPr>
            <w:tcW w:w="1982" w:type="dxa"/>
            <w:tcBorders>
              <w:top w:val="nil"/>
              <w:left w:val="nil"/>
              <w:bottom w:val="single" w:color="auto" w:sz="4" w:space="0"/>
              <w:right w:val="single" w:color="000000" w:sz="4" w:space="0"/>
            </w:tcBorders>
            <w:noWrap/>
            <w:vAlign w:val="center"/>
          </w:tcPr>
          <w:p w14:paraId="3EC80CC0">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14:paraId="4D7398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FB2D8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A8918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D36C06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FD9F8A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14:paraId="63DB8CEE">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550C3D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2,297.10　</w:t>
            </w:r>
          </w:p>
        </w:tc>
        <w:tc>
          <w:tcPr>
            <w:tcW w:w="1982" w:type="dxa"/>
            <w:tcBorders>
              <w:top w:val="single" w:color="auto" w:sz="4" w:space="0"/>
              <w:left w:val="single" w:color="auto" w:sz="4" w:space="0"/>
              <w:bottom w:val="single" w:color="auto" w:sz="4" w:space="0"/>
              <w:right w:val="single" w:color="auto" w:sz="4" w:space="0"/>
            </w:tcBorders>
            <w:noWrap/>
            <w:vAlign w:val="center"/>
          </w:tcPr>
          <w:p w14:paraId="139A4A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14:paraId="1F0E92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14:paraId="06C24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14:paraId="7189E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14:paraId="505F78D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047A0A">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65F1229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14:paraId="34A749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noWrap/>
            <w:vAlign w:val="center"/>
          </w:tcPr>
          <w:p w14:paraId="7BDBDD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14:paraId="40514D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333E52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416319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14:paraId="737D0F9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BF63B3E">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6B0478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14:paraId="0F5E15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2,585.12</w:t>
            </w:r>
          </w:p>
        </w:tc>
        <w:tc>
          <w:tcPr>
            <w:tcW w:w="1982" w:type="dxa"/>
            <w:tcBorders>
              <w:top w:val="single" w:color="auto" w:sz="4" w:space="0"/>
              <w:left w:val="single" w:color="auto" w:sz="4" w:space="0"/>
              <w:bottom w:val="single" w:color="auto" w:sz="4" w:space="0"/>
              <w:right w:val="single" w:color="auto" w:sz="4" w:space="0"/>
            </w:tcBorders>
            <w:noWrap/>
            <w:vAlign w:val="center"/>
          </w:tcPr>
          <w:p w14:paraId="451BE1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14:paraId="68B155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2,585.12</w:t>
            </w:r>
          </w:p>
        </w:tc>
        <w:tc>
          <w:tcPr>
            <w:tcW w:w="1280" w:type="dxa"/>
            <w:tcBorders>
              <w:top w:val="single" w:color="auto" w:sz="4" w:space="0"/>
              <w:left w:val="single" w:color="auto" w:sz="4" w:space="0"/>
              <w:bottom w:val="single" w:color="auto" w:sz="4" w:space="0"/>
              <w:right w:val="single" w:color="auto" w:sz="4" w:space="0"/>
            </w:tcBorders>
            <w:noWrap/>
            <w:vAlign w:val="center"/>
          </w:tcPr>
          <w:p w14:paraId="3931E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2,585.12</w:t>
            </w:r>
          </w:p>
        </w:tc>
        <w:tc>
          <w:tcPr>
            <w:tcW w:w="1259" w:type="dxa"/>
            <w:tcBorders>
              <w:top w:val="single" w:color="auto" w:sz="4" w:space="0"/>
              <w:left w:val="single" w:color="auto" w:sz="4" w:space="0"/>
              <w:bottom w:val="single" w:color="auto" w:sz="4" w:space="0"/>
              <w:right w:val="single" w:color="auto" w:sz="4" w:space="0"/>
            </w:tcBorders>
            <w:noWrap/>
            <w:vAlign w:val="center"/>
          </w:tcPr>
          <w:p w14:paraId="700C78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14:paraId="580C9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6021EC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2D7007BC">
        <w:tblPrEx>
          <w:tblCellMar>
            <w:top w:w="0" w:type="dxa"/>
            <w:left w:w="108" w:type="dxa"/>
            <w:bottom w:w="0" w:type="dxa"/>
            <w:right w:w="108" w:type="dxa"/>
          </w:tblCellMar>
        </w:tblPrEx>
        <w:trPr>
          <w:trHeight w:val="585" w:hRule="atLeast"/>
          <w:tblHeader/>
        </w:trPr>
        <w:tc>
          <w:tcPr>
            <w:tcW w:w="10466" w:type="dxa"/>
            <w:gridSpan w:val="5"/>
            <w:noWrap/>
            <w:vAlign w:val="center"/>
          </w:tcPr>
          <w:p w14:paraId="043A5C9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9CA6A3F">
        <w:tblPrEx>
          <w:tblCellMar>
            <w:top w:w="0" w:type="dxa"/>
            <w:left w:w="108" w:type="dxa"/>
            <w:bottom w:w="0" w:type="dxa"/>
            <w:right w:w="108" w:type="dxa"/>
          </w:tblCellMar>
        </w:tblPrEx>
        <w:trPr>
          <w:trHeight w:val="420" w:hRule="atLeast"/>
          <w:tblHeader/>
        </w:trPr>
        <w:tc>
          <w:tcPr>
            <w:tcW w:w="5093" w:type="dxa"/>
            <w:gridSpan w:val="2"/>
            <w:noWrap/>
            <w:vAlign w:val="center"/>
          </w:tcPr>
          <w:p w14:paraId="3D36B94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填报单位:502景德镇市珠山区住房和城乡建设局</w:t>
            </w:r>
          </w:p>
        </w:tc>
        <w:tc>
          <w:tcPr>
            <w:tcW w:w="2210" w:type="dxa"/>
            <w:noWrap/>
            <w:vAlign w:val="bottom"/>
          </w:tcPr>
          <w:p w14:paraId="12092D5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14:paraId="6FBD904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14:paraId="6D1272B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C22BC3A">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14:paraId="44E4C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14:paraId="12290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E7DACBC">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14:paraId="222FC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14:paraId="4E1AD2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14:paraId="59C73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14:paraId="4C5BA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14:paraId="072AE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A7951BC">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14:paraId="3661C8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14:paraId="69F43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14:paraId="06B31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14:paraId="1A2E76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14:paraId="5640B8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FAC00A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DACF62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14:paraId="538E4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14:paraId="06FA9D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288.02</w:t>
            </w:r>
          </w:p>
        </w:tc>
        <w:tc>
          <w:tcPr>
            <w:tcW w:w="1432" w:type="dxa"/>
            <w:tcBorders>
              <w:top w:val="single" w:color="000000" w:sz="4" w:space="0"/>
              <w:left w:val="nil"/>
              <w:bottom w:val="single" w:color="000000" w:sz="4" w:space="0"/>
              <w:right w:val="single" w:color="000000" w:sz="4" w:space="0"/>
            </w:tcBorders>
            <w:noWrap/>
            <w:vAlign w:val="center"/>
          </w:tcPr>
          <w:p w14:paraId="70723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272.02</w:t>
            </w:r>
          </w:p>
        </w:tc>
        <w:tc>
          <w:tcPr>
            <w:tcW w:w="1731" w:type="dxa"/>
            <w:tcBorders>
              <w:top w:val="single" w:color="000000" w:sz="4" w:space="0"/>
              <w:left w:val="nil"/>
              <w:bottom w:val="single" w:color="000000" w:sz="4" w:space="0"/>
              <w:right w:val="single" w:color="000000" w:sz="4" w:space="0"/>
            </w:tcBorders>
            <w:noWrap/>
            <w:vAlign w:val="center"/>
          </w:tcPr>
          <w:p w14:paraId="1FFDBF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r>
      <w:tr w14:paraId="4E6BC4C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05F3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14:paraId="16962B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14:paraId="4C128B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432" w:type="dxa"/>
            <w:tcBorders>
              <w:top w:val="single" w:color="000000" w:sz="4" w:space="0"/>
              <w:left w:val="nil"/>
              <w:bottom w:val="single" w:color="000000" w:sz="4" w:space="0"/>
              <w:right w:val="single" w:color="000000" w:sz="4" w:space="0"/>
            </w:tcBorders>
            <w:noWrap/>
            <w:vAlign w:val="center"/>
          </w:tcPr>
          <w:p w14:paraId="338EC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731" w:type="dxa"/>
            <w:tcBorders>
              <w:top w:val="single" w:color="000000" w:sz="4" w:space="0"/>
              <w:left w:val="nil"/>
              <w:bottom w:val="single" w:color="000000" w:sz="4" w:space="0"/>
              <w:right w:val="single" w:color="000000" w:sz="4" w:space="0"/>
            </w:tcBorders>
            <w:noWrap/>
            <w:vAlign w:val="center"/>
          </w:tcPr>
          <w:p w14:paraId="44C63B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8777C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01EF1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14:paraId="012257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14:paraId="458F5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432" w:type="dxa"/>
            <w:tcBorders>
              <w:top w:val="single" w:color="000000" w:sz="4" w:space="0"/>
              <w:left w:val="nil"/>
              <w:bottom w:val="single" w:color="000000" w:sz="4" w:space="0"/>
              <w:right w:val="single" w:color="000000" w:sz="4" w:space="0"/>
            </w:tcBorders>
            <w:noWrap/>
            <w:vAlign w:val="center"/>
          </w:tcPr>
          <w:p w14:paraId="6927B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27.99</w:t>
            </w:r>
          </w:p>
        </w:tc>
        <w:tc>
          <w:tcPr>
            <w:tcW w:w="1731" w:type="dxa"/>
            <w:tcBorders>
              <w:top w:val="single" w:color="000000" w:sz="4" w:space="0"/>
              <w:left w:val="nil"/>
              <w:bottom w:val="single" w:color="000000" w:sz="4" w:space="0"/>
              <w:right w:val="single" w:color="000000" w:sz="4" w:space="0"/>
            </w:tcBorders>
            <w:noWrap/>
            <w:vAlign w:val="center"/>
          </w:tcPr>
          <w:p w14:paraId="6F593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E2760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D8730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14:paraId="2E2C5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14:paraId="14359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27.99</w:t>
            </w:r>
          </w:p>
        </w:tc>
        <w:tc>
          <w:tcPr>
            <w:tcW w:w="1432" w:type="dxa"/>
            <w:tcBorders>
              <w:top w:val="single" w:color="000000" w:sz="4" w:space="0"/>
              <w:left w:val="nil"/>
              <w:bottom w:val="single" w:color="000000" w:sz="4" w:space="0"/>
              <w:right w:val="single" w:color="000000" w:sz="4" w:space="0"/>
            </w:tcBorders>
            <w:noWrap/>
            <w:vAlign w:val="center"/>
          </w:tcPr>
          <w:p w14:paraId="00CBE9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27.99</w:t>
            </w:r>
          </w:p>
        </w:tc>
        <w:tc>
          <w:tcPr>
            <w:tcW w:w="1731" w:type="dxa"/>
            <w:tcBorders>
              <w:top w:val="single" w:color="000000" w:sz="4" w:space="0"/>
              <w:left w:val="nil"/>
              <w:bottom w:val="single" w:color="000000" w:sz="4" w:space="0"/>
              <w:right w:val="single" w:color="000000" w:sz="4" w:space="0"/>
            </w:tcBorders>
            <w:noWrap/>
            <w:vAlign w:val="center"/>
          </w:tcPr>
          <w:p w14:paraId="65F64D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01FB5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A754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14:paraId="1EBFC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14:paraId="384C2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432" w:type="dxa"/>
            <w:tcBorders>
              <w:top w:val="single" w:color="000000" w:sz="4" w:space="0"/>
              <w:left w:val="nil"/>
              <w:bottom w:val="single" w:color="000000" w:sz="4" w:space="0"/>
              <w:right w:val="single" w:color="000000" w:sz="4" w:space="0"/>
            </w:tcBorders>
            <w:noWrap/>
            <w:vAlign w:val="center"/>
          </w:tcPr>
          <w:p w14:paraId="6C8D4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731" w:type="dxa"/>
            <w:tcBorders>
              <w:top w:val="single" w:color="000000" w:sz="4" w:space="0"/>
              <w:left w:val="nil"/>
              <w:bottom w:val="single" w:color="000000" w:sz="4" w:space="0"/>
              <w:right w:val="single" w:color="000000" w:sz="4" w:space="0"/>
            </w:tcBorders>
            <w:noWrap/>
            <w:vAlign w:val="center"/>
          </w:tcPr>
          <w:p w14:paraId="0DCBEF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81DD1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7794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14:paraId="02974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14:paraId="4BE7B4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432" w:type="dxa"/>
            <w:tcBorders>
              <w:top w:val="single" w:color="000000" w:sz="4" w:space="0"/>
              <w:left w:val="nil"/>
              <w:bottom w:val="single" w:color="000000" w:sz="4" w:space="0"/>
              <w:right w:val="single" w:color="000000" w:sz="4" w:space="0"/>
            </w:tcBorders>
            <w:noWrap/>
            <w:vAlign w:val="center"/>
          </w:tcPr>
          <w:p w14:paraId="15313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11.89</w:t>
            </w:r>
          </w:p>
        </w:tc>
        <w:tc>
          <w:tcPr>
            <w:tcW w:w="1731" w:type="dxa"/>
            <w:tcBorders>
              <w:top w:val="single" w:color="000000" w:sz="4" w:space="0"/>
              <w:left w:val="nil"/>
              <w:bottom w:val="single" w:color="000000" w:sz="4" w:space="0"/>
              <w:right w:val="single" w:color="000000" w:sz="4" w:space="0"/>
            </w:tcBorders>
            <w:noWrap/>
            <w:vAlign w:val="center"/>
          </w:tcPr>
          <w:p w14:paraId="17A27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CEB24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279BC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14:paraId="084ED0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14:paraId="01669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11.89</w:t>
            </w:r>
          </w:p>
        </w:tc>
        <w:tc>
          <w:tcPr>
            <w:tcW w:w="1432" w:type="dxa"/>
            <w:tcBorders>
              <w:top w:val="single" w:color="000000" w:sz="4" w:space="0"/>
              <w:left w:val="nil"/>
              <w:bottom w:val="single" w:color="000000" w:sz="4" w:space="0"/>
              <w:right w:val="single" w:color="000000" w:sz="4" w:space="0"/>
            </w:tcBorders>
            <w:noWrap/>
            <w:vAlign w:val="center"/>
          </w:tcPr>
          <w:p w14:paraId="22502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11.89</w:t>
            </w:r>
          </w:p>
        </w:tc>
        <w:tc>
          <w:tcPr>
            <w:tcW w:w="1731" w:type="dxa"/>
            <w:tcBorders>
              <w:top w:val="single" w:color="000000" w:sz="4" w:space="0"/>
              <w:left w:val="nil"/>
              <w:bottom w:val="single" w:color="000000" w:sz="4" w:space="0"/>
              <w:right w:val="single" w:color="000000" w:sz="4" w:space="0"/>
            </w:tcBorders>
            <w:noWrap/>
            <w:vAlign w:val="center"/>
          </w:tcPr>
          <w:p w14:paraId="2E501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A5809D0">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AD77E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307" w:type="dxa"/>
            <w:tcBorders>
              <w:top w:val="single" w:color="000000" w:sz="4" w:space="0"/>
              <w:left w:val="nil"/>
              <w:bottom w:val="single" w:color="000000" w:sz="4" w:space="0"/>
              <w:right w:val="single" w:color="000000" w:sz="4" w:space="0"/>
            </w:tcBorders>
            <w:noWrap/>
            <w:vAlign w:val="center"/>
          </w:tcPr>
          <w:p w14:paraId="57486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2210" w:type="dxa"/>
            <w:tcBorders>
              <w:top w:val="single" w:color="000000" w:sz="4" w:space="0"/>
              <w:left w:val="nil"/>
              <w:bottom w:val="single" w:color="000000" w:sz="4" w:space="0"/>
              <w:right w:val="single" w:color="000000" w:sz="4" w:space="0"/>
            </w:tcBorders>
            <w:noWrap/>
            <w:vAlign w:val="center"/>
          </w:tcPr>
          <w:p w14:paraId="40BAB5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227.15</w:t>
            </w:r>
          </w:p>
        </w:tc>
        <w:tc>
          <w:tcPr>
            <w:tcW w:w="1432" w:type="dxa"/>
            <w:tcBorders>
              <w:top w:val="single" w:color="000000" w:sz="4" w:space="0"/>
              <w:left w:val="nil"/>
              <w:bottom w:val="single" w:color="000000" w:sz="4" w:space="0"/>
              <w:right w:val="single" w:color="000000" w:sz="4" w:space="0"/>
            </w:tcBorders>
            <w:noWrap/>
            <w:vAlign w:val="center"/>
          </w:tcPr>
          <w:p w14:paraId="27A8A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731" w:type="dxa"/>
            <w:tcBorders>
              <w:top w:val="single" w:color="000000" w:sz="4" w:space="0"/>
              <w:left w:val="nil"/>
              <w:bottom w:val="single" w:color="000000" w:sz="4" w:space="0"/>
              <w:right w:val="single" w:color="000000" w:sz="4" w:space="0"/>
            </w:tcBorders>
            <w:noWrap/>
            <w:vAlign w:val="center"/>
          </w:tcPr>
          <w:p w14:paraId="1EAD8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r>
      <w:tr w14:paraId="54039C2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8D51A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307" w:type="dxa"/>
            <w:tcBorders>
              <w:top w:val="single" w:color="000000" w:sz="4" w:space="0"/>
              <w:left w:val="nil"/>
              <w:bottom w:val="single" w:color="000000" w:sz="4" w:space="0"/>
              <w:right w:val="single" w:color="000000" w:sz="4" w:space="0"/>
            </w:tcBorders>
            <w:noWrap/>
            <w:vAlign w:val="center"/>
          </w:tcPr>
          <w:p w14:paraId="286EC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2210" w:type="dxa"/>
            <w:tcBorders>
              <w:top w:val="single" w:color="000000" w:sz="4" w:space="0"/>
              <w:left w:val="nil"/>
              <w:bottom w:val="single" w:color="000000" w:sz="4" w:space="0"/>
              <w:right w:val="single" w:color="000000" w:sz="4" w:space="0"/>
            </w:tcBorders>
            <w:noWrap/>
            <w:vAlign w:val="center"/>
          </w:tcPr>
          <w:p w14:paraId="7AEED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432" w:type="dxa"/>
            <w:tcBorders>
              <w:top w:val="single" w:color="000000" w:sz="4" w:space="0"/>
              <w:left w:val="nil"/>
              <w:bottom w:val="single" w:color="000000" w:sz="4" w:space="0"/>
              <w:right w:val="single" w:color="000000" w:sz="4" w:space="0"/>
            </w:tcBorders>
            <w:noWrap/>
            <w:vAlign w:val="center"/>
          </w:tcPr>
          <w:p w14:paraId="2B9C3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211.15</w:t>
            </w:r>
          </w:p>
        </w:tc>
        <w:tc>
          <w:tcPr>
            <w:tcW w:w="1731" w:type="dxa"/>
            <w:tcBorders>
              <w:top w:val="single" w:color="000000" w:sz="4" w:space="0"/>
              <w:left w:val="nil"/>
              <w:bottom w:val="single" w:color="000000" w:sz="4" w:space="0"/>
              <w:right w:val="single" w:color="000000" w:sz="4" w:space="0"/>
            </w:tcBorders>
            <w:noWrap/>
            <w:vAlign w:val="center"/>
          </w:tcPr>
          <w:p w14:paraId="3F0588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4C3DA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7D520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3307" w:type="dxa"/>
            <w:tcBorders>
              <w:top w:val="single" w:color="000000" w:sz="4" w:space="0"/>
              <w:left w:val="nil"/>
              <w:bottom w:val="single" w:color="000000" w:sz="4" w:space="0"/>
              <w:right w:val="single" w:color="000000" w:sz="4" w:space="0"/>
            </w:tcBorders>
            <w:noWrap/>
            <w:vAlign w:val="center"/>
          </w:tcPr>
          <w:p w14:paraId="1BB9C5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14:paraId="5523B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211.15</w:t>
            </w:r>
          </w:p>
        </w:tc>
        <w:tc>
          <w:tcPr>
            <w:tcW w:w="1432" w:type="dxa"/>
            <w:tcBorders>
              <w:top w:val="single" w:color="000000" w:sz="4" w:space="0"/>
              <w:left w:val="nil"/>
              <w:bottom w:val="single" w:color="000000" w:sz="4" w:space="0"/>
              <w:right w:val="single" w:color="000000" w:sz="4" w:space="0"/>
            </w:tcBorders>
            <w:noWrap/>
            <w:vAlign w:val="center"/>
          </w:tcPr>
          <w:p w14:paraId="41798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211.15</w:t>
            </w:r>
          </w:p>
        </w:tc>
        <w:tc>
          <w:tcPr>
            <w:tcW w:w="1731" w:type="dxa"/>
            <w:tcBorders>
              <w:top w:val="single" w:color="000000" w:sz="4" w:space="0"/>
              <w:left w:val="nil"/>
              <w:bottom w:val="single" w:color="000000" w:sz="4" w:space="0"/>
              <w:right w:val="single" w:color="000000" w:sz="4" w:space="0"/>
            </w:tcBorders>
            <w:noWrap/>
            <w:vAlign w:val="center"/>
          </w:tcPr>
          <w:p w14:paraId="523D0D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87E8E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51B56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21299</w:t>
            </w:r>
          </w:p>
        </w:tc>
        <w:tc>
          <w:tcPr>
            <w:tcW w:w="3307" w:type="dxa"/>
            <w:tcBorders>
              <w:top w:val="single" w:color="000000" w:sz="4" w:space="0"/>
              <w:left w:val="nil"/>
              <w:bottom w:val="single" w:color="000000" w:sz="4" w:space="0"/>
              <w:right w:val="single" w:color="000000" w:sz="4" w:space="0"/>
            </w:tcBorders>
            <w:noWrap/>
            <w:vAlign w:val="center"/>
          </w:tcPr>
          <w:p w14:paraId="5037E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其他城乡社区支出</w:t>
            </w:r>
          </w:p>
        </w:tc>
        <w:tc>
          <w:tcPr>
            <w:tcW w:w="2210" w:type="dxa"/>
            <w:tcBorders>
              <w:top w:val="single" w:color="000000" w:sz="4" w:space="0"/>
              <w:left w:val="nil"/>
              <w:bottom w:val="single" w:color="000000" w:sz="4" w:space="0"/>
              <w:right w:val="single" w:color="000000" w:sz="4" w:space="0"/>
            </w:tcBorders>
            <w:noWrap/>
            <w:vAlign w:val="center"/>
          </w:tcPr>
          <w:p w14:paraId="6B687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c>
          <w:tcPr>
            <w:tcW w:w="1432" w:type="dxa"/>
            <w:tcBorders>
              <w:top w:val="single" w:color="000000" w:sz="4" w:space="0"/>
              <w:left w:val="nil"/>
              <w:bottom w:val="single" w:color="000000" w:sz="4" w:space="0"/>
              <w:right w:val="single" w:color="000000" w:sz="4" w:space="0"/>
            </w:tcBorders>
            <w:noWrap/>
            <w:vAlign w:val="center"/>
          </w:tcPr>
          <w:p w14:paraId="10AC2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14:paraId="2A00A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16.00</w:t>
            </w:r>
          </w:p>
        </w:tc>
      </w:tr>
      <w:tr w14:paraId="08A99E5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1BC8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2129999</w:t>
            </w:r>
          </w:p>
        </w:tc>
        <w:tc>
          <w:tcPr>
            <w:tcW w:w="3307" w:type="dxa"/>
            <w:tcBorders>
              <w:top w:val="single" w:color="000000" w:sz="4" w:space="0"/>
              <w:left w:val="nil"/>
              <w:bottom w:val="single" w:color="000000" w:sz="4" w:space="0"/>
              <w:right w:val="single" w:color="000000" w:sz="4" w:space="0"/>
            </w:tcBorders>
            <w:noWrap/>
            <w:vAlign w:val="center"/>
          </w:tcPr>
          <w:p w14:paraId="4945D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其他城乡社区支出</w:t>
            </w:r>
          </w:p>
        </w:tc>
        <w:tc>
          <w:tcPr>
            <w:tcW w:w="2210" w:type="dxa"/>
            <w:tcBorders>
              <w:top w:val="single" w:color="000000" w:sz="4" w:space="0"/>
              <w:left w:val="nil"/>
              <w:bottom w:val="single" w:color="000000" w:sz="4" w:space="0"/>
              <w:right w:val="single" w:color="000000" w:sz="4" w:space="0"/>
            </w:tcBorders>
            <w:noWrap/>
            <w:vAlign w:val="center"/>
          </w:tcPr>
          <w:p w14:paraId="6A31C1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16.00</w:t>
            </w:r>
          </w:p>
        </w:tc>
        <w:tc>
          <w:tcPr>
            <w:tcW w:w="1432" w:type="dxa"/>
            <w:tcBorders>
              <w:top w:val="single" w:color="000000" w:sz="4" w:space="0"/>
              <w:left w:val="nil"/>
              <w:bottom w:val="single" w:color="000000" w:sz="4" w:space="0"/>
              <w:right w:val="single" w:color="000000" w:sz="4" w:space="0"/>
            </w:tcBorders>
            <w:noWrap/>
            <w:vAlign w:val="center"/>
          </w:tcPr>
          <w:p w14:paraId="2C9AD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14:paraId="089E3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16.00</w:t>
            </w:r>
          </w:p>
        </w:tc>
      </w:tr>
      <w:tr w14:paraId="28C4F75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5046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14:paraId="3B71F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14:paraId="08850F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432" w:type="dxa"/>
            <w:tcBorders>
              <w:top w:val="single" w:color="000000" w:sz="4" w:space="0"/>
              <w:left w:val="nil"/>
              <w:bottom w:val="single" w:color="000000" w:sz="4" w:space="0"/>
              <w:right w:val="single" w:color="000000" w:sz="4" w:space="0"/>
            </w:tcBorders>
            <w:noWrap/>
            <w:vAlign w:val="center"/>
          </w:tcPr>
          <w:p w14:paraId="5C1E8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731" w:type="dxa"/>
            <w:tcBorders>
              <w:top w:val="single" w:color="000000" w:sz="4" w:space="0"/>
              <w:left w:val="nil"/>
              <w:bottom w:val="single" w:color="000000" w:sz="4" w:space="0"/>
              <w:right w:val="single" w:color="000000" w:sz="4" w:space="0"/>
            </w:tcBorders>
            <w:noWrap/>
            <w:vAlign w:val="center"/>
          </w:tcPr>
          <w:p w14:paraId="48937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99A4E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16BE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14:paraId="0AEE8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14:paraId="42694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432" w:type="dxa"/>
            <w:tcBorders>
              <w:top w:val="single" w:color="000000" w:sz="4" w:space="0"/>
              <w:left w:val="nil"/>
              <w:bottom w:val="single" w:color="000000" w:sz="4" w:space="0"/>
              <w:right w:val="single" w:color="000000" w:sz="4" w:space="0"/>
            </w:tcBorders>
            <w:noWrap/>
            <w:vAlign w:val="center"/>
          </w:tcPr>
          <w:p w14:paraId="5C241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20.99</w:t>
            </w:r>
          </w:p>
        </w:tc>
        <w:tc>
          <w:tcPr>
            <w:tcW w:w="1731" w:type="dxa"/>
            <w:tcBorders>
              <w:top w:val="single" w:color="000000" w:sz="4" w:space="0"/>
              <w:left w:val="nil"/>
              <w:bottom w:val="single" w:color="000000" w:sz="4" w:space="0"/>
              <w:right w:val="single" w:color="000000" w:sz="4" w:space="0"/>
            </w:tcBorders>
            <w:noWrap/>
            <w:vAlign w:val="center"/>
          </w:tcPr>
          <w:p w14:paraId="43426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3F98BB">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07DE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14:paraId="36B59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14:paraId="7C6D6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1432" w:type="dxa"/>
            <w:tcBorders>
              <w:top w:val="single" w:color="000000" w:sz="4" w:space="0"/>
              <w:left w:val="nil"/>
              <w:bottom w:val="single" w:color="000000" w:sz="4" w:space="0"/>
              <w:right w:val="single" w:color="000000" w:sz="4" w:space="0"/>
            </w:tcBorders>
            <w:noWrap/>
            <w:vAlign w:val="center"/>
          </w:tcPr>
          <w:p w14:paraId="666CA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20.99</w:t>
            </w:r>
          </w:p>
        </w:tc>
        <w:tc>
          <w:tcPr>
            <w:tcW w:w="1731" w:type="dxa"/>
            <w:tcBorders>
              <w:top w:val="single" w:color="000000" w:sz="4" w:space="0"/>
              <w:left w:val="nil"/>
              <w:bottom w:val="single" w:color="000000" w:sz="4" w:space="0"/>
              <w:right w:val="single" w:color="000000" w:sz="4" w:space="0"/>
            </w:tcBorders>
            <w:noWrap/>
            <w:vAlign w:val="center"/>
          </w:tcPr>
          <w:p w14:paraId="7B218B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2AC7A08">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41DC2819">
        <w:tblPrEx>
          <w:tblCellMar>
            <w:top w:w="0" w:type="dxa"/>
            <w:left w:w="108" w:type="dxa"/>
            <w:bottom w:w="0" w:type="dxa"/>
            <w:right w:w="108" w:type="dxa"/>
          </w:tblCellMar>
        </w:tblPrEx>
        <w:trPr>
          <w:trHeight w:val="585" w:hRule="atLeast"/>
        </w:trPr>
        <w:tc>
          <w:tcPr>
            <w:tcW w:w="10466" w:type="dxa"/>
            <w:gridSpan w:val="5"/>
            <w:noWrap/>
            <w:vAlign w:val="center"/>
          </w:tcPr>
          <w:p w14:paraId="3436676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F1D6F26">
        <w:tblPrEx>
          <w:tblCellMar>
            <w:top w:w="0" w:type="dxa"/>
            <w:left w:w="108" w:type="dxa"/>
            <w:bottom w:w="0" w:type="dxa"/>
            <w:right w:w="108" w:type="dxa"/>
          </w:tblCellMar>
        </w:tblPrEx>
        <w:trPr>
          <w:trHeight w:val="420" w:hRule="atLeast"/>
        </w:trPr>
        <w:tc>
          <w:tcPr>
            <w:tcW w:w="5020" w:type="dxa"/>
            <w:gridSpan w:val="2"/>
            <w:noWrap/>
            <w:vAlign w:val="center"/>
          </w:tcPr>
          <w:p w14:paraId="729DA6D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填报单位:502景德镇市珠山区住房和城乡建设局</w:t>
            </w:r>
          </w:p>
        </w:tc>
        <w:tc>
          <w:tcPr>
            <w:tcW w:w="1865" w:type="dxa"/>
            <w:noWrap/>
            <w:vAlign w:val="bottom"/>
          </w:tcPr>
          <w:p w14:paraId="196745A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14:paraId="467E838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14:paraId="2C4EE3C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6AB1401">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14:paraId="2839D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14:paraId="42ED2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B346481">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14:paraId="79D7F1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14:paraId="307EA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14:paraId="5B4BF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14:paraId="6F472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14:paraId="5F737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6AABC4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E1FD2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3B1F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C278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9FF3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F72EB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F4121C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1CE856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C394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330DA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272.02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02298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246.28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60C9C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25.74</w:t>
            </w:r>
          </w:p>
        </w:tc>
      </w:tr>
      <w:tr w14:paraId="6875D32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A7BF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A149E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655FA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243.34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49405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243.34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F5787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488E46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3994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65F4C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42AB0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86.26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05E92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86.26</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CA0FE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9A297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4E21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029E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BA288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C650C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11.41</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4A3FC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E206A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B967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AF70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6EE69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8664E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776E3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C8F88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04C46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DD7AB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957B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75.57</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1F519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75.57</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83F34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1974A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63A1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0DFE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0D35C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27.99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244B4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27.99</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4396A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CB8278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5BDA2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52C9B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C29C4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32067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11.89</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51169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922741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0A0C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59B3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91C19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07B87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E08BB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806E6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6D54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507A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FA2D2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EF46C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20.99</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8E469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EB0AA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51C1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43968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487A5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32021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79A6B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6DBA7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45F7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A8C5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8BC25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7054C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CCBD0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25.74</w:t>
            </w:r>
          </w:p>
        </w:tc>
      </w:tr>
      <w:tr w14:paraId="407422D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01A1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D7CF1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D16E9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756EF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82C9E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62384569">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18A68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E822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58B86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1E2C5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BB385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w:t>
            </w:r>
          </w:p>
        </w:tc>
      </w:tr>
      <w:tr w14:paraId="77C9C2B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E1A3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6D92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02C49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AB077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E5282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177C160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3108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0851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E02E1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FFF3B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17B3D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r>
      <w:tr w14:paraId="7471762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3CD5F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B9ED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634F5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13F2B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75406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61475D2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ABF0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41EB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738A0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AFB74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F06D5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5545A26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A51F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AA95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0B72A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F7BA6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70B8A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r>
      <w:tr w14:paraId="1D5AD2D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0A580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2349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B8C84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426EF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7773F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6DCBCF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DE5F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F7D2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54365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4FDF4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2DE67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FCE283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7DC4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475F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25567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3B7DB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EA199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7FFFEF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159E010B">
        <w:tblPrEx>
          <w:tblCellMar>
            <w:top w:w="0" w:type="dxa"/>
            <w:left w:w="108" w:type="dxa"/>
            <w:bottom w:w="0" w:type="dxa"/>
            <w:right w:w="108" w:type="dxa"/>
          </w:tblCellMar>
        </w:tblPrEx>
        <w:trPr>
          <w:trHeight w:val="450" w:hRule="atLeast"/>
          <w:tblHeader/>
        </w:trPr>
        <w:tc>
          <w:tcPr>
            <w:tcW w:w="1333" w:type="dxa"/>
            <w:noWrap/>
            <w:vAlign w:val="bottom"/>
          </w:tcPr>
          <w:p w14:paraId="7D8E06A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14:paraId="21B4B3E1">
            <w:pPr>
              <w:widowControl/>
              <w:jc w:val="left"/>
              <w:rPr>
                <w:rFonts w:ascii="Times New Roman" w:hAnsi="Times New Roman" w:eastAsia="宋体"/>
                <w:kern w:val="0"/>
                <w:sz w:val="20"/>
                <w:szCs w:val="20"/>
              </w:rPr>
            </w:pPr>
          </w:p>
        </w:tc>
        <w:tc>
          <w:tcPr>
            <w:tcW w:w="1432" w:type="dxa"/>
            <w:noWrap/>
            <w:vAlign w:val="bottom"/>
          </w:tcPr>
          <w:p w14:paraId="0213A5FC">
            <w:pPr>
              <w:widowControl/>
              <w:jc w:val="left"/>
              <w:rPr>
                <w:rFonts w:ascii="Times New Roman" w:hAnsi="Times New Roman" w:eastAsia="宋体"/>
                <w:kern w:val="0"/>
                <w:sz w:val="20"/>
                <w:szCs w:val="20"/>
              </w:rPr>
            </w:pPr>
          </w:p>
        </w:tc>
        <w:tc>
          <w:tcPr>
            <w:tcW w:w="1128" w:type="dxa"/>
            <w:noWrap/>
            <w:vAlign w:val="bottom"/>
          </w:tcPr>
          <w:p w14:paraId="722D8F0A">
            <w:pPr>
              <w:widowControl/>
              <w:jc w:val="left"/>
              <w:rPr>
                <w:rFonts w:ascii="Times New Roman" w:hAnsi="Times New Roman" w:eastAsia="宋体"/>
                <w:kern w:val="0"/>
                <w:sz w:val="20"/>
                <w:szCs w:val="20"/>
              </w:rPr>
            </w:pPr>
          </w:p>
        </w:tc>
        <w:tc>
          <w:tcPr>
            <w:tcW w:w="5939" w:type="dxa"/>
            <w:gridSpan w:val="5"/>
            <w:noWrap/>
            <w:vAlign w:val="center"/>
          </w:tcPr>
          <w:p w14:paraId="488CE1FE">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476C71C">
        <w:tblPrEx>
          <w:tblCellMar>
            <w:top w:w="0" w:type="dxa"/>
            <w:left w:w="108" w:type="dxa"/>
            <w:bottom w:w="0" w:type="dxa"/>
            <w:right w:w="108" w:type="dxa"/>
          </w:tblCellMar>
        </w:tblPrEx>
        <w:trPr>
          <w:trHeight w:val="485" w:hRule="atLeast"/>
          <w:tblHeader/>
        </w:trPr>
        <w:tc>
          <w:tcPr>
            <w:tcW w:w="10468" w:type="dxa"/>
            <w:gridSpan w:val="9"/>
            <w:noWrap/>
            <w:vAlign w:val="center"/>
          </w:tcPr>
          <w:p w14:paraId="7500DA1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612F265">
        <w:tblPrEx>
          <w:tblCellMar>
            <w:top w:w="0" w:type="dxa"/>
            <w:left w:w="108" w:type="dxa"/>
            <w:bottom w:w="0" w:type="dxa"/>
            <w:right w:w="108" w:type="dxa"/>
          </w:tblCellMar>
        </w:tblPrEx>
        <w:trPr>
          <w:trHeight w:val="340" w:hRule="atLeast"/>
          <w:tblHeader/>
        </w:trPr>
        <w:tc>
          <w:tcPr>
            <w:tcW w:w="4529" w:type="dxa"/>
            <w:gridSpan w:val="4"/>
            <w:noWrap/>
            <w:vAlign w:val="center"/>
          </w:tcPr>
          <w:p w14:paraId="4B024D3F">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填报单位:502景德镇市珠山区住房和城乡建设局</w:t>
            </w:r>
          </w:p>
        </w:tc>
        <w:tc>
          <w:tcPr>
            <w:tcW w:w="1553" w:type="dxa"/>
            <w:noWrap/>
            <w:vAlign w:val="bottom"/>
          </w:tcPr>
          <w:p w14:paraId="141CA8FC">
            <w:pPr>
              <w:widowControl/>
              <w:jc w:val="left"/>
              <w:rPr>
                <w:rFonts w:ascii="Times New Roman" w:hAnsi="Times New Roman" w:eastAsia="宋体"/>
                <w:kern w:val="0"/>
                <w:sz w:val="20"/>
                <w:szCs w:val="20"/>
              </w:rPr>
            </w:pPr>
          </w:p>
        </w:tc>
        <w:tc>
          <w:tcPr>
            <w:tcW w:w="992" w:type="dxa"/>
            <w:noWrap/>
            <w:vAlign w:val="bottom"/>
          </w:tcPr>
          <w:p w14:paraId="6C8BFF37">
            <w:pPr>
              <w:widowControl/>
              <w:jc w:val="left"/>
              <w:rPr>
                <w:rFonts w:ascii="Times New Roman" w:hAnsi="Times New Roman" w:eastAsia="宋体"/>
                <w:kern w:val="0"/>
                <w:sz w:val="20"/>
                <w:szCs w:val="20"/>
              </w:rPr>
            </w:pPr>
          </w:p>
        </w:tc>
        <w:tc>
          <w:tcPr>
            <w:tcW w:w="1248" w:type="dxa"/>
            <w:noWrap/>
            <w:vAlign w:val="bottom"/>
          </w:tcPr>
          <w:p w14:paraId="65F07EC7">
            <w:pPr>
              <w:widowControl/>
              <w:jc w:val="left"/>
              <w:rPr>
                <w:rFonts w:ascii="Times New Roman" w:hAnsi="Times New Roman" w:eastAsia="宋体"/>
                <w:kern w:val="0"/>
                <w:sz w:val="20"/>
                <w:szCs w:val="20"/>
              </w:rPr>
            </w:pPr>
          </w:p>
        </w:tc>
        <w:tc>
          <w:tcPr>
            <w:tcW w:w="2146" w:type="dxa"/>
            <w:gridSpan w:val="2"/>
            <w:noWrap/>
            <w:vAlign w:val="bottom"/>
          </w:tcPr>
          <w:p w14:paraId="676FA72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C2D70F1">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14:paraId="26C40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14:paraId="085C8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14:paraId="7FADE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14:paraId="5F497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77685E8">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63CA1F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14:paraId="089FF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30E28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0B7CE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76368D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14:paraId="56178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578A9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14:paraId="68ECB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C57F045">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6E7CB32D">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5BB5F5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5E91D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200AA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1ECA91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2C350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26B73C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014361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4BFDD3C">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3B9F1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1432" w:type="dxa"/>
            <w:tcBorders>
              <w:top w:val="single" w:color="000000" w:sz="4" w:space="0"/>
              <w:left w:val="nil"/>
              <w:bottom w:val="single" w:color="000000" w:sz="4" w:space="0"/>
              <w:right w:val="single" w:color="000000" w:sz="4" w:space="0"/>
            </w:tcBorders>
            <w:vAlign w:val="center"/>
          </w:tcPr>
          <w:p w14:paraId="74C9D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14:paraId="6CBD1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1CE4B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69E98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1248" w:type="dxa"/>
            <w:tcBorders>
              <w:top w:val="single" w:color="000000" w:sz="4" w:space="0"/>
              <w:left w:val="single" w:color="000000" w:sz="4" w:space="0"/>
              <w:bottom w:val="single" w:color="000000" w:sz="4" w:space="0"/>
              <w:right w:val="nil"/>
            </w:tcBorders>
            <w:vAlign w:val="center"/>
          </w:tcPr>
          <w:p w14:paraId="5C6CE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118AC1C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154B70D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8DFD387">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0C66CC84">
        <w:tblPrEx>
          <w:tblCellMar>
            <w:top w:w="0" w:type="dxa"/>
            <w:left w:w="108" w:type="dxa"/>
            <w:bottom w:w="0" w:type="dxa"/>
            <w:right w:w="108" w:type="dxa"/>
          </w:tblCellMar>
        </w:tblPrEx>
        <w:trPr>
          <w:trHeight w:val="507" w:hRule="atLeast"/>
          <w:tblHeader/>
        </w:trPr>
        <w:tc>
          <w:tcPr>
            <w:tcW w:w="2044" w:type="dxa"/>
            <w:noWrap/>
            <w:vAlign w:val="bottom"/>
          </w:tcPr>
          <w:p w14:paraId="72D908C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14:paraId="77214453">
            <w:pPr>
              <w:widowControl/>
              <w:jc w:val="left"/>
              <w:rPr>
                <w:rFonts w:ascii="Times New Roman" w:hAnsi="Times New Roman" w:eastAsia="宋体"/>
                <w:kern w:val="0"/>
                <w:sz w:val="20"/>
                <w:szCs w:val="20"/>
              </w:rPr>
            </w:pPr>
          </w:p>
        </w:tc>
        <w:tc>
          <w:tcPr>
            <w:tcW w:w="5867" w:type="dxa"/>
            <w:gridSpan w:val="3"/>
            <w:noWrap/>
            <w:vAlign w:val="center"/>
          </w:tcPr>
          <w:p w14:paraId="7143DA4E">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AAB3441">
        <w:tblPrEx>
          <w:tblCellMar>
            <w:top w:w="0" w:type="dxa"/>
            <w:left w:w="108" w:type="dxa"/>
            <w:bottom w:w="0" w:type="dxa"/>
            <w:right w:w="108" w:type="dxa"/>
          </w:tblCellMar>
        </w:tblPrEx>
        <w:trPr>
          <w:trHeight w:val="564" w:hRule="atLeast"/>
          <w:tblHeader/>
        </w:trPr>
        <w:tc>
          <w:tcPr>
            <w:tcW w:w="10470" w:type="dxa"/>
            <w:gridSpan w:val="5"/>
            <w:noWrap/>
            <w:vAlign w:val="center"/>
          </w:tcPr>
          <w:p w14:paraId="44AC729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69E5E03">
        <w:tblPrEx>
          <w:tblCellMar>
            <w:top w:w="0" w:type="dxa"/>
            <w:left w:w="108" w:type="dxa"/>
            <w:bottom w:w="0" w:type="dxa"/>
            <w:right w:w="108" w:type="dxa"/>
          </w:tblCellMar>
        </w:tblPrEx>
        <w:trPr>
          <w:trHeight w:val="405" w:hRule="atLeast"/>
          <w:tblHeader/>
        </w:trPr>
        <w:tc>
          <w:tcPr>
            <w:tcW w:w="4603" w:type="dxa"/>
            <w:gridSpan w:val="2"/>
            <w:noWrap/>
            <w:vAlign w:val="center"/>
          </w:tcPr>
          <w:p w14:paraId="214C553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填报单位:502景德镇市珠山区住房和城乡建设局</w:t>
            </w:r>
          </w:p>
        </w:tc>
        <w:tc>
          <w:tcPr>
            <w:tcW w:w="2301" w:type="dxa"/>
            <w:noWrap/>
            <w:vAlign w:val="bottom"/>
          </w:tcPr>
          <w:p w14:paraId="1436600B">
            <w:pPr>
              <w:rPr>
                <w:rFonts w:hint="eastAsia" w:ascii="宋体" w:hAnsi="宋体" w:eastAsia="宋体" w:cs="Arial"/>
                <w:color w:val="000000"/>
                <w:kern w:val="0"/>
                <w:sz w:val="24"/>
                <w:szCs w:val="24"/>
              </w:rPr>
            </w:pPr>
          </w:p>
        </w:tc>
        <w:tc>
          <w:tcPr>
            <w:tcW w:w="1604" w:type="dxa"/>
            <w:noWrap/>
            <w:vAlign w:val="bottom"/>
          </w:tcPr>
          <w:p w14:paraId="06730F15">
            <w:pPr>
              <w:widowControl/>
              <w:jc w:val="left"/>
              <w:rPr>
                <w:rFonts w:ascii="Times New Roman" w:hAnsi="Times New Roman" w:eastAsia="宋体"/>
                <w:kern w:val="0"/>
                <w:sz w:val="20"/>
                <w:szCs w:val="20"/>
              </w:rPr>
            </w:pPr>
          </w:p>
        </w:tc>
        <w:tc>
          <w:tcPr>
            <w:tcW w:w="1962" w:type="dxa"/>
            <w:noWrap/>
            <w:vAlign w:val="center"/>
          </w:tcPr>
          <w:p w14:paraId="02F68EB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907E2E4">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14:paraId="3236C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14:paraId="0F053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5DDC851">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1F6637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14:paraId="3C0BF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14:paraId="7BB3F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14:paraId="77AE5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14:paraId="735D5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2B667B8">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4F8EF2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14:paraId="67828B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14:paraId="3B5581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14:paraId="0DDF36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14:paraId="75F857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D06840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5C93BF18">
        <w:tblPrEx>
          <w:tblCellMar>
            <w:top w:w="0" w:type="dxa"/>
            <w:left w:w="108" w:type="dxa"/>
            <w:bottom w:w="0" w:type="dxa"/>
            <w:right w:w="108" w:type="dxa"/>
          </w:tblCellMar>
        </w:tblPrEx>
        <w:trPr>
          <w:trHeight w:val="619" w:hRule="atLeast"/>
          <w:tblHeader/>
        </w:trPr>
        <w:tc>
          <w:tcPr>
            <w:tcW w:w="2021" w:type="dxa"/>
            <w:noWrap/>
            <w:vAlign w:val="bottom"/>
          </w:tcPr>
          <w:p w14:paraId="3E9889AD">
            <w:pPr>
              <w:rPr>
                <w:rStyle w:val="13"/>
                <w:rFonts w:hint="eastAsia" w:ascii="仿宋" w:hAnsi="仿宋" w:eastAsia="仿宋"/>
                <w:bCs/>
                <w:sz w:val="32"/>
                <w:szCs w:val="32"/>
              </w:rPr>
            </w:pPr>
          </w:p>
        </w:tc>
        <w:tc>
          <w:tcPr>
            <w:tcW w:w="2596" w:type="dxa"/>
            <w:noWrap/>
            <w:vAlign w:val="bottom"/>
          </w:tcPr>
          <w:p w14:paraId="07A981A1">
            <w:pPr>
              <w:widowControl/>
              <w:jc w:val="left"/>
              <w:rPr>
                <w:rFonts w:ascii="Times New Roman" w:hAnsi="Times New Roman" w:eastAsia="宋体"/>
                <w:kern w:val="0"/>
                <w:sz w:val="20"/>
                <w:szCs w:val="20"/>
              </w:rPr>
            </w:pPr>
          </w:p>
        </w:tc>
        <w:tc>
          <w:tcPr>
            <w:tcW w:w="5903" w:type="dxa"/>
            <w:gridSpan w:val="3"/>
            <w:noWrap/>
            <w:vAlign w:val="center"/>
          </w:tcPr>
          <w:p w14:paraId="235A6E0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589EC77">
        <w:tblPrEx>
          <w:tblCellMar>
            <w:top w:w="0" w:type="dxa"/>
            <w:left w:w="108" w:type="dxa"/>
            <w:bottom w:w="0" w:type="dxa"/>
            <w:right w:w="108" w:type="dxa"/>
          </w:tblCellMar>
        </w:tblPrEx>
        <w:trPr>
          <w:trHeight w:val="613" w:hRule="atLeast"/>
          <w:tblHeader/>
        </w:trPr>
        <w:tc>
          <w:tcPr>
            <w:tcW w:w="10520" w:type="dxa"/>
            <w:gridSpan w:val="5"/>
            <w:noWrap/>
            <w:vAlign w:val="center"/>
          </w:tcPr>
          <w:p w14:paraId="363E555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F0F1AE7">
        <w:tblPrEx>
          <w:tblCellMar>
            <w:top w:w="0" w:type="dxa"/>
            <w:left w:w="108" w:type="dxa"/>
            <w:bottom w:w="0" w:type="dxa"/>
            <w:right w:w="108" w:type="dxa"/>
          </w:tblCellMar>
        </w:tblPrEx>
        <w:trPr>
          <w:trHeight w:val="413" w:hRule="atLeast"/>
          <w:tblHeader/>
        </w:trPr>
        <w:tc>
          <w:tcPr>
            <w:tcW w:w="6906" w:type="dxa"/>
            <w:gridSpan w:val="3"/>
            <w:noWrap/>
            <w:vAlign w:val="center"/>
          </w:tcPr>
          <w:p w14:paraId="4E59817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填报单位:502景德镇市珠山区住房和城乡建设局</w:t>
            </w:r>
          </w:p>
        </w:tc>
        <w:tc>
          <w:tcPr>
            <w:tcW w:w="1603" w:type="dxa"/>
            <w:noWrap/>
            <w:vAlign w:val="bottom"/>
          </w:tcPr>
          <w:p w14:paraId="2F371A2F">
            <w:pPr>
              <w:widowControl/>
              <w:jc w:val="left"/>
              <w:rPr>
                <w:rFonts w:ascii="Times New Roman" w:hAnsi="Times New Roman" w:eastAsia="宋体"/>
                <w:kern w:val="0"/>
                <w:sz w:val="20"/>
                <w:szCs w:val="20"/>
              </w:rPr>
            </w:pPr>
          </w:p>
        </w:tc>
        <w:tc>
          <w:tcPr>
            <w:tcW w:w="2011" w:type="dxa"/>
            <w:noWrap/>
            <w:vAlign w:val="center"/>
          </w:tcPr>
          <w:p w14:paraId="772D5C8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E446A48">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14:paraId="19D73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14:paraId="3B015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DC4305B">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14:paraId="512BF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14:paraId="21602A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14:paraId="6F33C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14:paraId="02F2D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14:paraId="6B7E9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11E4E1D">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14:paraId="3EF3D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06159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56D2B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4AA25AC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6A3062C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D62C7C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2CC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37EF7A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956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3AE5B5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6C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502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D6F89C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CCC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景德镇市珠山区住房和城乡建设局</w:t>
            </w:r>
          </w:p>
        </w:tc>
      </w:tr>
      <w:tr w14:paraId="5F65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9115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F6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加速城市基础建设，环保督察整改工作，行业监管精准施策，力促安全规范发展，全面提升物业管理效能。</w:t>
            </w:r>
          </w:p>
        </w:tc>
      </w:tr>
      <w:tr w14:paraId="14E6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F45AF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E4538">
            <w:pPr>
              <w:jc w:val="center"/>
              <w:rPr>
                <w:rFonts w:hint="eastAsia" w:asciiTheme="minorEastAsia" w:hAnsiTheme="minorEastAsia" w:eastAsiaTheme="minorEastAsia" w:cstheme="minorEastAsia"/>
                <w:b w:val="0"/>
                <w:i w:val="0"/>
                <w:iCs w:val="0"/>
                <w:color w:val="000000"/>
                <w:sz w:val="18"/>
                <w:szCs w:val="18"/>
                <w:u w:val="none"/>
              </w:rPr>
            </w:pPr>
          </w:p>
        </w:tc>
      </w:tr>
      <w:tr w14:paraId="0FD7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BFC399B">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FCD8">
            <w:pPr>
              <w:jc w:val="center"/>
              <w:rPr>
                <w:rFonts w:hint="eastAsia" w:asciiTheme="minorEastAsia" w:hAnsiTheme="minorEastAsia" w:eastAsiaTheme="minorEastAsia" w:cstheme="minorEastAsia"/>
                <w:b w:val="0"/>
                <w:i w:val="0"/>
                <w:iCs w:val="0"/>
                <w:color w:val="000000"/>
                <w:sz w:val="18"/>
                <w:szCs w:val="18"/>
                <w:u w:val="none"/>
              </w:rPr>
            </w:pPr>
          </w:p>
        </w:tc>
      </w:tr>
      <w:tr w14:paraId="71B2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16A2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EEEAC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42E2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2E75E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5EC16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D629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631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AF8F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96A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7C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老旧线路改造</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5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2C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D8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4EF4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4C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3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1B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排查自建房</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211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6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D1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栋</w:t>
            </w:r>
          </w:p>
        </w:tc>
      </w:tr>
      <w:tr w14:paraId="392C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4CE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09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老旧线路改造换新率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69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22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11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B49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04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D4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9D1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自建房排查整治销号率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5E6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3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D1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C91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51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FE8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0A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线路改造及时率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C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F6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7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0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E7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F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B52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自建房排查及时率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D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8F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E2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047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134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1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D1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4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2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7E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2D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FD7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8B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B30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E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D77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2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477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61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E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B2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8A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5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1C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ECC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9B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6A3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077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A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2B4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A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DB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5B9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6C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7CB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提高辖区城市发展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61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F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2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983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11C8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D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11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D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F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5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3E920FD">
      <w:pPr>
        <w:rPr>
          <w:rFonts w:hint="eastAsia"/>
          <w:lang w:eastAsia="zh-CN"/>
        </w:rPr>
        <w:sectPr>
          <w:pgSz w:w="11906" w:h="16838"/>
          <w:pgMar w:top="720" w:right="720" w:bottom="720" w:left="720" w:header="851" w:footer="992" w:gutter="0"/>
          <w:cols w:space="425" w:num="1"/>
          <w:docGrid w:type="lines" w:linePitch="312" w:charSpace="0"/>
        </w:sectPr>
      </w:pPr>
    </w:p>
    <w:p w14:paraId="3B5EC047">
      <w:pPr>
        <w:pStyle w:val="18"/>
        <w:numPr>
          <w:ilvl w:val="0"/>
          <w:numId w:val="0"/>
        </w:numPr>
        <w:bidi w:val="0"/>
        <w:ind w:left="420" w:leftChars="200"/>
        <w:jc w:val="center"/>
        <w:rPr>
          <w:rFonts w:hint="eastAsia"/>
          <w:lang w:val="en-US" w:eastAsia="zh-CN"/>
        </w:rPr>
      </w:pPr>
    </w:p>
    <w:p w14:paraId="13DDDCE7">
      <w:pPr>
        <w:pStyle w:val="18"/>
        <w:numPr>
          <w:ilvl w:val="0"/>
          <w:numId w:val="0"/>
        </w:numPr>
        <w:bidi w:val="0"/>
        <w:ind w:left="420" w:leftChars="200"/>
        <w:jc w:val="center"/>
        <w:rPr>
          <w:rFonts w:hint="eastAsia"/>
          <w:lang w:val="en-US" w:eastAsia="zh-CN"/>
        </w:rPr>
      </w:pPr>
      <w:r>
        <w:drawing>
          <wp:anchor distT="0" distB="0" distL="114300" distR="114300" simplePos="0" relativeHeight="251659264" behindDoc="1" locked="0" layoutInCell="1" allowOverlap="1">
            <wp:simplePos x="0" y="0"/>
            <wp:positionH relativeFrom="column">
              <wp:posOffset>76200</wp:posOffset>
            </wp:positionH>
            <wp:positionV relativeFrom="paragraph">
              <wp:posOffset>247650</wp:posOffset>
            </wp:positionV>
            <wp:extent cx="5539740" cy="3950335"/>
            <wp:effectExtent l="0" t="0" r="381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39740" cy="3950335"/>
                    </a:xfrm>
                    <a:prstGeom prst="rect">
                      <a:avLst/>
                    </a:prstGeom>
                    <a:noFill/>
                    <a:ln>
                      <a:noFill/>
                    </a:ln>
                  </pic:spPr>
                </pic:pic>
              </a:graphicData>
            </a:graphic>
          </wp:anchor>
        </w:drawing>
      </w:r>
    </w:p>
    <w:p w14:paraId="7BEF391D">
      <w:pPr>
        <w:pStyle w:val="18"/>
        <w:numPr>
          <w:ilvl w:val="0"/>
          <w:numId w:val="0"/>
        </w:numPr>
        <w:bidi w:val="0"/>
        <w:ind w:left="420" w:leftChars="200"/>
        <w:jc w:val="center"/>
        <w:rPr>
          <w:rFonts w:hint="eastAsia"/>
          <w:lang w:val="en-US" w:eastAsia="zh-CN"/>
        </w:rPr>
      </w:pPr>
    </w:p>
    <w:p w14:paraId="74A4CD6E">
      <w:pPr>
        <w:pStyle w:val="18"/>
        <w:numPr>
          <w:ilvl w:val="0"/>
          <w:numId w:val="0"/>
        </w:numPr>
        <w:bidi w:val="0"/>
        <w:ind w:left="420" w:leftChars="200"/>
        <w:jc w:val="center"/>
        <w:rPr>
          <w:rFonts w:hint="eastAsia"/>
          <w:lang w:val="en-US" w:eastAsia="zh-CN"/>
        </w:rPr>
      </w:pPr>
    </w:p>
    <w:p w14:paraId="750F2609">
      <w:pPr>
        <w:pStyle w:val="18"/>
        <w:numPr>
          <w:ilvl w:val="0"/>
          <w:numId w:val="0"/>
        </w:numPr>
        <w:bidi w:val="0"/>
        <w:ind w:left="420" w:leftChars="200"/>
        <w:jc w:val="center"/>
        <w:rPr>
          <w:rFonts w:hint="eastAsia"/>
          <w:lang w:val="en-US" w:eastAsia="zh-CN"/>
        </w:rPr>
      </w:pPr>
    </w:p>
    <w:p w14:paraId="720FD6C6">
      <w:pPr>
        <w:pStyle w:val="18"/>
        <w:numPr>
          <w:ilvl w:val="0"/>
          <w:numId w:val="0"/>
        </w:numPr>
        <w:bidi w:val="0"/>
        <w:ind w:left="420" w:leftChars="200"/>
        <w:jc w:val="center"/>
        <w:rPr>
          <w:rFonts w:hint="eastAsia"/>
          <w:lang w:val="en-US" w:eastAsia="zh-CN"/>
        </w:rPr>
      </w:pPr>
    </w:p>
    <w:p w14:paraId="329A7D01">
      <w:pPr>
        <w:pStyle w:val="18"/>
        <w:numPr>
          <w:ilvl w:val="0"/>
          <w:numId w:val="0"/>
        </w:numPr>
        <w:bidi w:val="0"/>
        <w:ind w:left="420" w:leftChars="200"/>
        <w:jc w:val="center"/>
        <w:rPr>
          <w:rFonts w:hint="eastAsia"/>
          <w:lang w:val="en-US" w:eastAsia="zh-CN"/>
        </w:rPr>
      </w:pPr>
    </w:p>
    <w:p w14:paraId="303D2DA0">
      <w:pPr>
        <w:pStyle w:val="18"/>
        <w:numPr>
          <w:ilvl w:val="0"/>
          <w:numId w:val="0"/>
        </w:numPr>
        <w:bidi w:val="0"/>
        <w:ind w:left="420" w:leftChars="200"/>
        <w:jc w:val="center"/>
        <w:rPr>
          <w:rFonts w:hint="eastAsia"/>
          <w:lang w:val="en-US" w:eastAsia="zh-CN"/>
        </w:rPr>
      </w:pPr>
    </w:p>
    <w:p w14:paraId="11D03C6D">
      <w:pPr>
        <w:pStyle w:val="18"/>
        <w:numPr>
          <w:ilvl w:val="0"/>
          <w:numId w:val="0"/>
        </w:numPr>
        <w:bidi w:val="0"/>
        <w:ind w:left="420" w:leftChars="200"/>
        <w:jc w:val="center"/>
        <w:rPr>
          <w:rFonts w:hint="eastAsia"/>
          <w:lang w:val="en-US" w:eastAsia="zh-CN"/>
        </w:rPr>
      </w:pPr>
    </w:p>
    <w:p w14:paraId="48BDB90F">
      <w:pPr>
        <w:pStyle w:val="18"/>
        <w:numPr>
          <w:ilvl w:val="0"/>
          <w:numId w:val="0"/>
        </w:numPr>
        <w:bidi w:val="0"/>
        <w:ind w:left="420" w:leftChars="200"/>
        <w:jc w:val="center"/>
        <w:rPr>
          <w:rFonts w:hint="eastAsia"/>
          <w:lang w:val="en-US" w:eastAsia="zh-CN"/>
        </w:rPr>
      </w:pPr>
    </w:p>
    <w:p w14:paraId="31BBF7A5">
      <w:pPr>
        <w:pStyle w:val="18"/>
        <w:numPr>
          <w:ilvl w:val="0"/>
          <w:numId w:val="0"/>
        </w:numPr>
        <w:bidi w:val="0"/>
        <w:ind w:left="420" w:leftChars="200"/>
        <w:jc w:val="center"/>
        <w:rPr>
          <w:rFonts w:hint="eastAsia"/>
          <w:lang w:val="en-US" w:eastAsia="zh-CN"/>
        </w:rPr>
      </w:pPr>
    </w:p>
    <w:p w14:paraId="17B19B18">
      <w:pPr>
        <w:pStyle w:val="18"/>
        <w:numPr>
          <w:ilvl w:val="0"/>
          <w:numId w:val="0"/>
        </w:numPr>
        <w:bidi w:val="0"/>
        <w:ind w:left="420" w:leftChars="200"/>
        <w:jc w:val="center"/>
        <w:rPr>
          <w:rFonts w:hint="eastAsia"/>
          <w:lang w:val="en-US" w:eastAsia="zh-CN"/>
        </w:rPr>
      </w:pPr>
    </w:p>
    <w:p w14:paraId="77D97E76">
      <w:pPr>
        <w:pStyle w:val="18"/>
        <w:numPr>
          <w:ilvl w:val="0"/>
          <w:numId w:val="0"/>
        </w:numPr>
        <w:bidi w:val="0"/>
        <w:ind w:left="420" w:leftChars="200"/>
        <w:jc w:val="center"/>
        <w:rPr>
          <w:rFonts w:hint="eastAsia"/>
          <w:lang w:val="en-US" w:eastAsia="zh-CN"/>
        </w:rPr>
      </w:pPr>
    </w:p>
    <w:p w14:paraId="156F8B6F">
      <w:pPr>
        <w:pStyle w:val="18"/>
        <w:numPr>
          <w:ilvl w:val="0"/>
          <w:numId w:val="0"/>
        </w:numPr>
        <w:bidi w:val="0"/>
        <w:ind w:left="420" w:leftChars="200"/>
        <w:jc w:val="center"/>
        <w:rPr>
          <w:rFonts w:hint="eastAsia"/>
          <w:lang w:val="en-US" w:eastAsia="zh-CN"/>
        </w:rPr>
      </w:pPr>
    </w:p>
    <w:p w14:paraId="45F0EC67">
      <w:pPr>
        <w:pStyle w:val="18"/>
        <w:numPr>
          <w:ilvl w:val="0"/>
          <w:numId w:val="0"/>
        </w:numPr>
        <w:bidi w:val="0"/>
        <w:ind w:left="420" w:leftChars="200"/>
        <w:jc w:val="center"/>
        <w:rPr>
          <w:rFonts w:hint="eastAsia"/>
          <w:lang w:val="en-US" w:eastAsia="zh-CN"/>
        </w:rPr>
      </w:pPr>
    </w:p>
    <w:p w14:paraId="5393B8E0">
      <w:pPr>
        <w:pStyle w:val="18"/>
        <w:numPr>
          <w:ilvl w:val="0"/>
          <w:numId w:val="0"/>
        </w:numPr>
        <w:bidi w:val="0"/>
        <w:ind w:left="420" w:leftChars="200"/>
        <w:jc w:val="center"/>
        <w:rPr>
          <w:rFonts w:hint="eastAsia"/>
          <w:lang w:val="en-US" w:eastAsia="zh-CN"/>
        </w:rPr>
      </w:pPr>
    </w:p>
    <w:p w14:paraId="3DD853C0">
      <w:pPr>
        <w:pStyle w:val="18"/>
        <w:numPr>
          <w:ilvl w:val="0"/>
          <w:numId w:val="0"/>
        </w:numPr>
        <w:bidi w:val="0"/>
        <w:ind w:left="420" w:leftChars="200"/>
        <w:jc w:val="center"/>
        <w:rPr>
          <w:rFonts w:hint="eastAsia"/>
          <w:lang w:val="en-US" w:eastAsia="zh-CN"/>
        </w:rPr>
      </w:pPr>
    </w:p>
    <w:p w14:paraId="6BA543C7">
      <w:pPr>
        <w:pStyle w:val="18"/>
        <w:numPr>
          <w:ilvl w:val="0"/>
          <w:numId w:val="0"/>
        </w:numPr>
        <w:bidi w:val="0"/>
        <w:ind w:left="420" w:leftChars="200"/>
        <w:jc w:val="center"/>
        <w:rPr>
          <w:rFonts w:hint="eastAsia"/>
          <w:lang w:val="en-US" w:eastAsia="zh-CN"/>
        </w:rPr>
      </w:pPr>
    </w:p>
    <w:p w14:paraId="66C33D6E">
      <w:pPr>
        <w:pStyle w:val="18"/>
        <w:numPr>
          <w:ilvl w:val="0"/>
          <w:numId w:val="0"/>
        </w:numPr>
        <w:bidi w:val="0"/>
        <w:ind w:left="420" w:leftChars="200"/>
        <w:jc w:val="center"/>
        <w:rPr>
          <w:rFonts w:hint="eastAsia"/>
          <w:lang w:val="en-US" w:eastAsia="zh-CN"/>
        </w:rPr>
      </w:pPr>
    </w:p>
    <w:p w14:paraId="1854AD54">
      <w:pPr>
        <w:pStyle w:val="18"/>
        <w:numPr>
          <w:ilvl w:val="0"/>
          <w:numId w:val="0"/>
        </w:numPr>
        <w:bidi w:val="0"/>
        <w:ind w:left="420" w:leftChars="200"/>
        <w:jc w:val="center"/>
        <w:rPr>
          <w:rFonts w:hint="eastAsia"/>
          <w:lang w:val="en-US" w:eastAsia="zh-CN"/>
        </w:rPr>
      </w:pPr>
    </w:p>
    <w:p w14:paraId="1DCE7382">
      <w:pPr>
        <w:pStyle w:val="18"/>
        <w:numPr>
          <w:ilvl w:val="0"/>
          <w:numId w:val="0"/>
        </w:numPr>
        <w:bidi w:val="0"/>
        <w:ind w:left="420" w:leftChars="200"/>
        <w:jc w:val="center"/>
        <w:rPr>
          <w:rFonts w:hint="eastAsia"/>
          <w:lang w:eastAsia="zh-CN"/>
        </w:rPr>
      </w:pPr>
      <w:r>
        <w:rPr>
          <w:rFonts w:hint="eastAsia"/>
          <w:lang w:val="en-US" w:eastAsia="zh-CN"/>
        </w:rPr>
        <w:t>第三部分  景德镇市珠山区住房和城乡建设局2026年部门预算情况说明</w:t>
      </w:r>
    </w:p>
    <w:p w14:paraId="771FD8CB">
      <w:pPr>
        <w:widowControl/>
        <w:spacing w:line="580" w:lineRule="exact"/>
        <w:jc w:val="center"/>
        <w:rPr>
          <w:rFonts w:ascii="仿宋_GB2312" w:eastAsia="仿宋_GB2312"/>
          <w:b/>
          <w:sz w:val="32"/>
          <w:szCs w:val="30"/>
        </w:rPr>
      </w:pPr>
    </w:p>
    <w:p w14:paraId="7E8D8E3E">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1D41B1A">
      <w:pPr>
        <w:pStyle w:val="20"/>
        <w:numPr>
          <w:ilvl w:val="0"/>
          <w:numId w:val="0"/>
        </w:numPr>
        <w:bidi w:val="0"/>
        <w:ind w:left="420" w:leftChars="200"/>
        <w:rPr>
          <w:rFonts w:hint="eastAsia"/>
        </w:rPr>
      </w:pPr>
      <w:r>
        <w:rPr>
          <w:rFonts w:hint="eastAsia"/>
        </w:rPr>
        <w:t xml:space="preserve"> (一)收入预算情况</w:t>
      </w:r>
    </w:p>
    <w:p w14:paraId="77BE510E">
      <w:pPr>
        <w:pStyle w:val="19"/>
        <w:bidi w:val="0"/>
        <w:rPr>
          <w:rFonts w:hint="eastAsia"/>
        </w:rPr>
      </w:pPr>
      <w:r>
        <w:rPr>
          <w:rFonts w:hint="eastAsia"/>
          <w:lang w:eastAsia="zh-CN"/>
        </w:rPr>
        <w:t>2026</w:t>
      </w:r>
      <w:r>
        <w:rPr>
          <w:rFonts w:hint="eastAsia"/>
        </w:rPr>
        <w:t>年</w:t>
      </w:r>
      <w:r>
        <w:rPr>
          <w:rFonts w:hint="eastAsia"/>
          <w:lang w:eastAsia="zh-CN"/>
        </w:rPr>
        <w:t>景德镇市珠山区住房和城乡建设局</w:t>
      </w:r>
      <w:r>
        <w:rPr>
          <w:rFonts w:hint="eastAsia"/>
        </w:rPr>
        <w:t>收入预算总额为2585.12万元</w:t>
      </w:r>
      <w:r>
        <w:rPr>
          <w:rFonts w:hint="eastAsia"/>
          <w:lang w:eastAsia="zh-CN"/>
        </w:rPr>
        <w:t>，</w:t>
      </w:r>
      <w:r>
        <w:rPr>
          <w:rFonts w:hint="eastAsia"/>
        </w:rPr>
        <w:t>较上年预算安排减少</w:t>
      </w:r>
      <w:r>
        <w:rPr>
          <w:rFonts w:hint="eastAsia"/>
          <w:lang w:val="en-US" w:eastAsia="zh-CN"/>
        </w:rPr>
        <w:t>4442.28</w:t>
      </w:r>
      <w:r>
        <w:rPr>
          <w:rFonts w:hint="eastAsia"/>
        </w:rPr>
        <w:t>万元</w:t>
      </w:r>
      <w:r>
        <w:rPr>
          <w:rFonts w:hint="eastAsia"/>
          <w:lang w:eastAsia="zh-CN"/>
        </w:rPr>
        <w:t>；本年收入合计288.02万元，较上年预算安排减少</w:t>
      </w:r>
      <w:r>
        <w:rPr>
          <w:rFonts w:hint="eastAsia"/>
          <w:lang w:val="en-US" w:eastAsia="zh-CN"/>
        </w:rPr>
        <w:t>6524.38</w:t>
      </w:r>
      <w:r>
        <w:rPr>
          <w:rFonts w:hint="eastAsia"/>
          <w:lang w:eastAsia="zh-CN"/>
        </w:rPr>
        <w:t>万元；包括：财政拨款收入288.02万元，较上年预算安排减少</w:t>
      </w:r>
      <w:r>
        <w:rPr>
          <w:rFonts w:hint="eastAsia"/>
          <w:lang w:val="en-US" w:eastAsia="zh-CN"/>
        </w:rPr>
        <w:t>6524.38</w:t>
      </w:r>
      <w:r>
        <w:rPr>
          <w:rFonts w:hint="eastAsia"/>
          <w:lang w:eastAsia="zh-CN"/>
        </w:rPr>
        <w:t>万元。上年结转2297.10万元，较上年预算安排增加</w:t>
      </w:r>
      <w:r>
        <w:rPr>
          <w:rFonts w:hint="eastAsia"/>
          <w:lang w:val="en-US" w:eastAsia="zh-CN"/>
        </w:rPr>
        <w:t>2082.1</w:t>
      </w:r>
      <w:r>
        <w:rPr>
          <w:rFonts w:hint="eastAsia"/>
          <w:lang w:eastAsia="zh-CN"/>
        </w:rPr>
        <w:t>万元。</w:t>
      </w:r>
    </w:p>
    <w:p w14:paraId="798145FB">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DBAD4FA">
      <w:pPr>
        <w:pStyle w:val="19"/>
        <w:bidi w:val="0"/>
        <w:rPr>
          <w:rFonts w:hint="eastAsia"/>
        </w:rPr>
      </w:pPr>
      <w:r>
        <w:rPr>
          <w:rFonts w:hint="eastAsia"/>
          <w:lang w:eastAsia="zh-CN"/>
        </w:rPr>
        <w:t>2026</w:t>
      </w:r>
      <w:r>
        <w:rPr>
          <w:rFonts w:hint="eastAsia"/>
        </w:rPr>
        <w:t>年</w:t>
      </w:r>
      <w:r>
        <w:rPr>
          <w:rFonts w:hint="eastAsia"/>
          <w:lang w:eastAsia="zh-CN"/>
        </w:rPr>
        <w:t>景德镇市珠山区住房和城乡建设局</w:t>
      </w:r>
      <w:r>
        <w:rPr>
          <w:rFonts w:hint="eastAsia"/>
        </w:rPr>
        <w:t>支出预算总额为2585.12万元</w:t>
      </w:r>
      <w:r>
        <w:rPr>
          <w:rFonts w:hint="eastAsia"/>
          <w:lang w:eastAsia="zh-CN"/>
        </w:rPr>
        <w:t>，</w:t>
      </w:r>
      <w:r>
        <w:rPr>
          <w:rFonts w:hint="eastAsia"/>
        </w:rPr>
        <w:t>较上年预算安排减少</w:t>
      </w:r>
      <w:r>
        <w:rPr>
          <w:rFonts w:hint="eastAsia"/>
          <w:lang w:val="en-US" w:eastAsia="zh-CN"/>
        </w:rPr>
        <w:t>4442.28</w:t>
      </w:r>
      <w:r>
        <w:rPr>
          <w:rFonts w:hint="eastAsia"/>
        </w:rPr>
        <w:t xml:space="preserve">万元。 </w:t>
      </w:r>
    </w:p>
    <w:p w14:paraId="0CD6819C">
      <w:pPr>
        <w:pStyle w:val="19"/>
        <w:bidi w:val="0"/>
        <w:rPr>
          <w:rFonts w:hint="eastAsia"/>
        </w:rPr>
      </w:pPr>
      <w:r>
        <w:rPr>
          <w:rFonts w:hint="eastAsia"/>
        </w:rPr>
        <w:t>按支出项目类别划分：基本支出272.02万元</w:t>
      </w:r>
      <w:r>
        <w:rPr>
          <w:rFonts w:hint="eastAsia"/>
          <w:lang w:eastAsia="zh-CN"/>
        </w:rPr>
        <w:t>，</w:t>
      </w:r>
      <w:r>
        <w:rPr>
          <w:rFonts w:hint="eastAsia"/>
        </w:rPr>
        <w:t>较上年预算安排减少</w:t>
      </w:r>
      <w:r>
        <w:rPr>
          <w:rFonts w:hint="eastAsia"/>
          <w:lang w:val="en-US" w:eastAsia="zh-CN"/>
        </w:rPr>
        <w:t>53.8</w:t>
      </w:r>
      <w:r>
        <w:rPr>
          <w:rFonts w:hint="eastAsia"/>
        </w:rPr>
        <w:t>万元</w:t>
      </w:r>
      <w:r>
        <w:rPr>
          <w:rFonts w:hint="eastAsia"/>
          <w:lang w:eastAsia="zh-CN"/>
        </w:rPr>
        <w:t>；</w:t>
      </w:r>
      <w:r>
        <w:rPr>
          <w:rFonts w:hint="eastAsia"/>
        </w:rPr>
        <w:t>项目支出2313.10万元</w:t>
      </w:r>
      <w:r>
        <w:rPr>
          <w:rFonts w:hint="eastAsia"/>
          <w:lang w:eastAsia="zh-CN"/>
        </w:rPr>
        <w:t>，</w:t>
      </w:r>
      <w:r>
        <w:rPr>
          <w:rFonts w:hint="eastAsia"/>
        </w:rPr>
        <w:t>较上年预算安排减少</w:t>
      </w:r>
      <w:r>
        <w:rPr>
          <w:rFonts w:hint="eastAsia"/>
          <w:lang w:val="en-US" w:eastAsia="zh-CN"/>
        </w:rPr>
        <w:t>4388.48</w:t>
      </w:r>
      <w:r>
        <w:rPr>
          <w:rFonts w:hint="eastAsia"/>
        </w:rPr>
        <w:t>万元。</w:t>
      </w:r>
    </w:p>
    <w:p w14:paraId="510D5DD8">
      <w:pPr>
        <w:pStyle w:val="19"/>
        <w:bidi w:val="0"/>
        <w:rPr>
          <w:rFonts w:hint="eastAsia"/>
        </w:rPr>
      </w:pPr>
      <w:r>
        <w:rPr>
          <w:rFonts w:hint="eastAsia"/>
        </w:rPr>
        <w:t>按支出功能科目划分：社会保障和就业支出27.99万元，较上年预算安排减少</w:t>
      </w:r>
      <w:r>
        <w:rPr>
          <w:rFonts w:hint="eastAsia"/>
          <w:lang w:val="en-US" w:eastAsia="zh-CN"/>
        </w:rPr>
        <w:t>3.23</w:t>
      </w:r>
      <w:r>
        <w:rPr>
          <w:rFonts w:hint="eastAsia"/>
        </w:rPr>
        <w:t>万元；卫生健康支出11.89万元，较上年预算安排减少</w:t>
      </w:r>
      <w:r>
        <w:rPr>
          <w:rFonts w:hint="eastAsia"/>
          <w:lang w:val="en-US" w:eastAsia="zh-CN"/>
        </w:rPr>
        <w:t>0.79</w:t>
      </w:r>
      <w:r>
        <w:rPr>
          <w:rFonts w:hint="eastAsia"/>
        </w:rPr>
        <w:t>万元；城乡社区支出227.15万元，较上年预算安排减少</w:t>
      </w:r>
      <w:r>
        <w:rPr>
          <w:rFonts w:hint="eastAsia"/>
          <w:lang w:val="en-US" w:eastAsia="zh-CN"/>
        </w:rPr>
        <w:t>501.23</w:t>
      </w:r>
      <w:r>
        <w:rPr>
          <w:rFonts w:hint="eastAsia"/>
        </w:rPr>
        <w:t>万元；住房保障支出2318.09万元，较上年预算安排减少</w:t>
      </w:r>
      <w:r>
        <w:rPr>
          <w:rFonts w:hint="eastAsia"/>
          <w:lang w:val="en-US" w:eastAsia="zh-CN"/>
        </w:rPr>
        <w:t>6489.44</w:t>
      </w:r>
      <w:r>
        <w:rPr>
          <w:rFonts w:hint="eastAsia"/>
        </w:rPr>
        <w:t>万元。</w:t>
      </w:r>
    </w:p>
    <w:p w14:paraId="04C193F0">
      <w:pPr>
        <w:pStyle w:val="19"/>
        <w:bidi w:val="0"/>
        <w:rPr>
          <w:rFonts w:hint="eastAsia"/>
        </w:rPr>
      </w:pPr>
      <w:r>
        <w:rPr>
          <w:rFonts w:hint="eastAsia"/>
        </w:rPr>
        <w:t>按支出经济分类划分：工资福利支出243.34万元，较上年预算安排减少</w:t>
      </w:r>
      <w:r>
        <w:rPr>
          <w:rFonts w:hint="eastAsia"/>
          <w:lang w:val="en-US" w:eastAsia="zh-CN"/>
        </w:rPr>
        <w:t>60.67</w:t>
      </w:r>
      <w:r>
        <w:rPr>
          <w:rFonts w:hint="eastAsia"/>
        </w:rPr>
        <w:t>万元；商品和服务支出41.74万元，较上年预算安排增加</w:t>
      </w:r>
      <w:r>
        <w:rPr>
          <w:rFonts w:hint="eastAsia"/>
          <w:lang w:val="en-US" w:eastAsia="zh-CN"/>
        </w:rPr>
        <w:t>21.24</w:t>
      </w:r>
      <w:r>
        <w:rPr>
          <w:rFonts w:hint="eastAsia"/>
        </w:rPr>
        <w:t>万元；对个人和家庭的补助2.94万元，较上年预算安排增加</w:t>
      </w:r>
      <w:r>
        <w:rPr>
          <w:rFonts w:hint="eastAsia"/>
          <w:lang w:val="en-US" w:eastAsia="zh-CN"/>
        </w:rPr>
        <w:t>1.47</w:t>
      </w:r>
      <w:r>
        <w:rPr>
          <w:rFonts w:hint="eastAsia"/>
        </w:rPr>
        <w:t>万元；资本性支出（基本建设）2297.10万元，较上年预算安排减少</w:t>
      </w:r>
      <w:r>
        <w:rPr>
          <w:rFonts w:hint="eastAsia"/>
          <w:lang w:val="en-US" w:eastAsia="zh-CN"/>
        </w:rPr>
        <w:t>4404.48</w:t>
      </w:r>
      <w:r>
        <w:rPr>
          <w:rFonts w:hint="eastAsia"/>
        </w:rPr>
        <w:t>万元。</w:t>
      </w:r>
    </w:p>
    <w:p w14:paraId="07292510">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56F67DF4">
      <w:pPr>
        <w:pStyle w:val="19"/>
        <w:bidi w:val="0"/>
        <w:rPr>
          <w:rFonts w:hint="eastAsia"/>
        </w:rPr>
      </w:pPr>
      <w:r>
        <w:rPr>
          <w:rFonts w:hint="eastAsia"/>
          <w:lang w:eastAsia="zh-CN"/>
        </w:rPr>
        <w:t>2026</w:t>
      </w:r>
      <w:r>
        <w:rPr>
          <w:rFonts w:hint="eastAsia"/>
        </w:rPr>
        <w:t>年</w:t>
      </w:r>
      <w:r>
        <w:rPr>
          <w:rFonts w:hint="eastAsia"/>
          <w:lang w:eastAsia="zh-CN"/>
        </w:rPr>
        <w:t>景德镇市珠山区住房和城乡建设局</w:t>
      </w:r>
      <w:r>
        <w:rPr>
          <w:rFonts w:hint="eastAsia"/>
        </w:rPr>
        <w:t>财政拨款支出预算总额2585.12万元,较上年预算安排减少</w:t>
      </w:r>
      <w:r>
        <w:rPr>
          <w:rFonts w:hint="eastAsia"/>
          <w:lang w:val="en-US" w:eastAsia="zh-CN"/>
        </w:rPr>
        <w:t>4442.28</w:t>
      </w:r>
      <w:r>
        <w:rPr>
          <w:rFonts w:hint="eastAsia"/>
        </w:rPr>
        <w:t>万元。</w:t>
      </w:r>
    </w:p>
    <w:p w14:paraId="797E3F70">
      <w:pPr>
        <w:pStyle w:val="19"/>
        <w:bidi w:val="0"/>
        <w:rPr>
          <w:rFonts w:hint="eastAsia"/>
        </w:rPr>
      </w:pPr>
      <w:r>
        <w:rPr>
          <w:rFonts w:hint="eastAsia"/>
        </w:rPr>
        <w:t>按支出功能科目划分：社会保障和就业支出27.99万元，卫生健康支出11.89万元，城乡社区支出227.15万元，住房保障支出2318.09万元。</w:t>
      </w:r>
    </w:p>
    <w:p w14:paraId="7424D514">
      <w:pPr>
        <w:pStyle w:val="19"/>
        <w:bidi w:val="0"/>
        <w:rPr>
          <w:rFonts w:hint="eastAsia"/>
        </w:rPr>
      </w:pPr>
      <w:r>
        <w:rPr>
          <w:rFonts w:hint="eastAsia"/>
        </w:rPr>
        <w:t>按支出项目类别划分：基本支出272.02万元,项目支出2313.10万元。</w:t>
      </w:r>
    </w:p>
    <w:p w14:paraId="759A46C5">
      <w:pPr>
        <w:pStyle w:val="19"/>
        <w:bidi w:val="0"/>
        <w:rPr>
          <w:rFonts w:hint="eastAsia"/>
        </w:rPr>
      </w:pPr>
      <w:r>
        <w:rPr>
          <w:rFonts w:hint="eastAsia"/>
        </w:rPr>
        <w:t>按支</w:t>
      </w:r>
      <w:r>
        <w:rPr>
          <w:rFonts w:hint="eastAsia"/>
          <w:lang w:val="en-US" w:eastAsia="zh-CN"/>
        </w:rPr>
        <w:t>出经济分类</w:t>
      </w:r>
      <w:r>
        <w:rPr>
          <w:rFonts w:hint="eastAsia"/>
        </w:rPr>
        <w:t>划分：工资福利支出243.34万元，商品和服务支出41.74万元（其中委托业务费5.00万元），对个人和家庭的补助2.94万元，资本性支出（基本建设）2297.10万元。</w:t>
      </w:r>
    </w:p>
    <w:p w14:paraId="1BFD7003">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BDCE0BE">
      <w:pPr>
        <w:pStyle w:val="19"/>
        <w:bidi w:val="0"/>
        <w:rPr>
          <w:rFonts w:hint="eastAsia"/>
          <w:lang w:eastAsia="zh-CN"/>
        </w:rPr>
      </w:pPr>
      <w:r>
        <w:rPr>
          <w:rFonts w:hint="eastAsia"/>
          <w:lang w:eastAsia="zh-CN"/>
        </w:rPr>
        <w:t>2026</w:t>
      </w:r>
      <w:r>
        <w:rPr>
          <w:rFonts w:hint="eastAsia"/>
        </w:rPr>
        <w:t>年</w:t>
      </w:r>
      <w:r>
        <w:rPr>
          <w:rFonts w:hint="eastAsia"/>
          <w:lang w:eastAsia="zh-CN"/>
        </w:rPr>
        <w:t>景德镇市珠山区住房和城乡建设局政府性基金支出预算总额万元,较上年预算安排增加（减少）</w:t>
      </w:r>
      <w:r>
        <w:rPr>
          <w:rFonts w:hint="eastAsia"/>
          <w:lang w:val="en-US" w:eastAsia="zh-CN"/>
        </w:rPr>
        <w:t>0</w:t>
      </w:r>
      <w:r>
        <w:rPr>
          <w:rFonts w:hint="eastAsia"/>
          <w:lang w:eastAsia="zh-CN"/>
        </w:rPr>
        <w:t>万元。</w:t>
      </w:r>
    </w:p>
    <w:p w14:paraId="2C0A58FC">
      <w:pPr>
        <w:pStyle w:val="19"/>
        <w:bidi w:val="0"/>
        <w:rPr>
          <w:rFonts w:hint="eastAsia"/>
        </w:rPr>
      </w:pPr>
      <w:r>
        <w:rPr>
          <w:rFonts w:hint="eastAsia"/>
        </w:rPr>
        <w:t>按支出项目类别划分：本部门没有使用政府性基金预算拨款安排的支出。</w:t>
      </w:r>
    </w:p>
    <w:p w14:paraId="67824067">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划分：本部门没有使用政府性基金预算拨款安排的支出</w:t>
      </w:r>
      <w:r>
        <w:rPr>
          <w:rFonts w:hint="eastAsia"/>
          <w:lang w:eastAsia="zh-CN"/>
        </w:rPr>
        <w:t>。</w:t>
      </w:r>
    </w:p>
    <w:p w14:paraId="38D11AF3">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3613F0FF">
      <w:pPr>
        <w:pStyle w:val="19"/>
        <w:bidi w:val="0"/>
        <w:rPr>
          <w:rFonts w:hint="eastAsia"/>
        </w:rPr>
      </w:pPr>
      <w:r>
        <w:rPr>
          <w:rFonts w:hint="eastAsia"/>
          <w:lang w:eastAsia="zh-CN"/>
        </w:rPr>
        <w:t>2026</w:t>
      </w:r>
      <w:r>
        <w:rPr>
          <w:rFonts w:hint="eastAsia"/>
        </w:rPr>
        <w:t>年</w:t>
      </w:r>
      <w:r>
        <w:rPr>
          <w:rFonts w:hint="eastAsia"/>
          <w:lang w:eastAsia="zh-CN"/>
        </w:rPr>
        <w:t>景德镇市珠山区住房和城乡建设局</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4BCA418C">
      <w:pPr>
        <w:pStyle w:val="19"/>
        <w:bidi w:val="0"/>
        <w:rPr>
          <w:rFonts w:hint="eastAsia"/>
        </w:rPr>
      </w:pPr>
      <w:r>
        <w:rPr>
          <w:rFonts w:hint="eastAsia"/>
        </w:rPr>
        <w:t>按支出项目类别划分：本部门没有使用国有资本经营预算拨款安排的支出。</w:t>
      </w:r>
    </w:p>
    <w:p w14:paraId="57C298DB">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划分：本部门没有使用国有资本经营预算拨款安排的支出</w:t>
      </w:r>
      <w:r>
        <w:rPr>
          <w:rFonts w:hint="eastAsia"/>
          <w:lang w:eastAsia="zh-CN"/>
        </w:rPr>
        <w:t>。</w:t>
      </w:r>
    </w:p>
    <w:p w14:paraId="486DD065">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9369267">
      <w:pPr>
        <w:pStyle w:val="19"/>
        <w:bidi w:val="0"/>
        <w:rPr>
          <w:rFonts w:hint="eastAsia"/>
        </w:rPr>
      </w:pPr>
      <w:r>
        <w:rPr>
          <w:rFonts w:hint="eastAsia"/>
          <w:lang w:eastAsia="zh-CN"/>
        </w:rPr>
        <w:t>2026</w:t>
      </w:r>
      <w:r>
        <w:rPr>
          <w:rFonts w:hint="eastAsia"/>
        </w:rPr>
        <w:t>年部门机关运行费预算</w:t>
      </w:r>
      <w:r>
        <w:rPr>
          <w:rFonts w:hint="eastAsia"/>
          <w:lang w:val="en-US" w:eastAsia="zh-CN"/>
        </w:rPr>
        <w:t>25.74</w:t>
      </w:r>
      <w:r>
        <w:rPr>
          <w:rFonts w:hint="eastAsia"/>
        </w:rPr>
        <w:t>万元，比2025年预算增加</w:t>
      </w:r>
      <w:r>
        <w:rPr>
          <w:rFonts w:hint="eastAsia"/>
          <w:lang w:val="en-US" w:eastAsia="zh-CN"/>
        </w:rPr>
        <w:t>5.4</w:t>
      </w:r>
      <w:r>
        <w:rPr>
          <w:rFonts w:hint="eastAsia"/>
        </w:rPr>
        <w:t>万元，增长</w:t>
      </w:r>
      <w:r>
        <w:rPr>
          <w:rFonts w:hint="eastAsia"/>
          <w:lang w:val="en-US" w:eastAsia="zh-CN"/>
        </w:rPr>
        <w:t>26</w:t>
      </w:r>
      <w:r>
        <w:rPr>
          <w:rFonts w:hint="eastAsia"/>
        </w:rPr>
        <w:t>_%。</w:t>
      </w:r>
    </w:p>
    <w:p w14:paraId="4AAA6D14">
      <w:pPr>
        <w:widowControl/>
        <w:spacing w:line="580" w:lineRule="exact"/>
        <w:ind w:firstLine="636"/>
        <w:jc w:val="left"/>
        <w:rPr>
          <w:rFonts w:ascii="Adobe 仿宋 Std R" w:hAnsi="Adobe 仿宋 Std R" w:eastAsia="Adobe 仿宋 Std R"/>
          <w:sz w:val="32"/>
          <w:szCs w:val="32"/>
        </w:rPr>
      </w:pPr>
    </w:p>
    <w:p w14:paraId="141AECD1">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3DB7821C">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6DCD40C7">
      <w:pPr>
        <w:pStyle w:val="19"/>
        <w:bidi w:val="0"/>
        <w:rPr>
          <w:rFonts w:hint="eastAsia"/>
          <w:lang w:eastAsia="zh-CN"/>
        </w:rPr>
      </w:pPr>
    </w:p>
    <w:p w14:paraId="507F4A2D">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5EF2E90">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 xml:space="preserve"> 辆。</w:t>
      </w:r>
    </w:p>
    <w:p w14:paraId="4945F8C9">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7C375FFE">
      <w:pPr>
        <w:pStyle w:val="20"/>
        <w:numPr>
          <w:ilvl w:val="0"/>
          <w:numId w:val="0"/>
        </w:numPr>
        <w:bidi w:val="0"/>
        <w:ind w:firstLine="643" w:firstLineChars="200"/>
        <w:rPr>
          <w:rFonts w:hint="eastAsia"/>
          <w:lang w:val="en-US" w:eastAsia="zh-CN"/>
        </w:rPr>
      </w:pPr>
      <w:bookmarkStart w:id="0" w:name="_GoBack"/>
      <w:bookmarkEnd w:id="0"/>
      <w:r>
        <w:rPr>
          <w:rFonts w:hint="eastAsia"/>
          <w:lang w:val="en-US" w:eastAsia="zh-CN"/>
        </w:rPr>
        <w:t>(九)</w:t>
      </w:r>
      <w:r>
        <w:rPr>
          <w:rFonts w:hint="eastAsia"/>
          <w:b/>
          <w:bCs/>
          <w:spacing w:val="5"/>
          <w:lang w:val="en-US" w:eastAsia="zh-CN"/>
        </w:rPr>
        <w:t>征收工作经费</w:t>
      </w:r>
      <w:r>
        <w:rPr>
          <w:rFonts w:hint="eastAsia"/>
          <w:lang w:val="en-US" w:eastAsia="zh-CN"/>
        </w:rPr>
        <w:t>项目情况说明</w:t>
      </w:r>
    </w:p>
    <w:p w14:paraId="647276FF">
      <w:pPr>
        <w:pStyle w:val="19"/>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w:t>
      </w:r>
      <w:r>
        <w:rPr>
          <w:rFonts w:hint="eastAsia"/>
          <w:spacing w:val="7"/>
        </w:rPr>
        <w:t>全力推进项目建设进度。加快推动202</w:t>
      </w:r>
      <w:r>
        <w:rPr>
          <w:rFonts w:hint="eastAsia"/>
          <w:spacing w:val="7"/>
          <w:lang w:val="en-US" w:eastAsia="zh-CN"/>
        </w:rPr>
        <w:t>6</w:t>
      </w:r>
      <w:r>
        <w:rPr>
          <w:rFonts w:hint="eastAsia"/>
          <w:spacing w:val="7"/>
        </w:rPr>
        <w:t>年老旧小区改造、排水防涝治理工程等项目建设。</w:t>
      </w:r>
    </w:p>
    <w:p w14:paraId="10F6C5A4">
      <w:pPr>
        <w:pStyle w:val="4"/>
        <w:spacing w:before="234" w:line="323" w:lineRule="auto"/>
        <w:ind w:left="19" w:right="16" w:firstLine="1140"/>
        <w:rPr>
          <w:rFonts w:hint="default"/>
          <w:lang w:val="en-US" w:eastAsia="zh-CN"/>
        </w:rPr>
      </w:pPr>
      <w:r>
        <w:rPr>
          <w:rFonts w:hint="eastAsia"/>
          <w:lang w:eastAsia="zh-CN"/>
        </w:rPr>
        <w:t>2）立项依据</w:t>
      </w:r>
      <w:r>
        <w:rPr>
          <w:rFonts w:hint="eastAsia"/>
          <w:lang w:val="en-US" w:eastAsia="zh-CN"/>
        </w:rPr>
        <w:t>:</w:t>
      </w:r>
      <w:r>
        <w:rPr>
          <w:rFonts w:hint="eastAsia"/>
          <w:spacing w:val="8"/>
        </w:rPr>
        <w:t>按照上级要求，保质保量完成。争取城中村改造、城市雨污分流改造、“背街小巷”改造等涉及民生项目尽快落地</w:t>
      </w:r>
      <w:r>
        <w:rPr>
          <w:rFonts w:hint="eastAsia"/>
          <w:spacing w:val="8"/>
          <w:lang w:eastAsia="zh-CN"/>
        </w:rPr>
        <w:t>。</w:t>
      </w:r>
    </w:p>
    <w:p w14:paraId="6FE68BCC">
      <w:pPr>
        <w:pStyle w:val="4"/>
        <w:spacing w:before="230" w:line="222" w:lineRule="auto"/>
        <w:ind w:left="1172"/>
        <w:rPr>
          <w:rFonts w:hint="default"/>
          <w:lang w:val="en-US" w:eastAsia="zh-CN"/>
        </w:rPr>
      </w:pPr>
      <w:r>
        <w:rPr>
          <w:rFonts w:hint="eastAsia"/>
          <w:lang w:eastAsia="zh-CN"/>
        </w:rPr>
        <w:t>3）实施主体</w:t>
      </w:r>
      <w:r>
        <w:rPr>
          <w:rFonts w:hint="eastAsia"/>
          <w:lang w:val="en-US" w:eastAsia="zh-CN"/>
        </w:rPr>
        <w:t>:</w:t>
      </w:r>
      <w:r>
        <w:rPr>
          <w:rFonts w:hint="eastAsia"/>
          <w:spacing w:val="6"/>
          <w:lang w:val="en-US" w:eastAsia="zh-CN"/>
        </w:rPr>
        <w:t>珠山区住房和城乡建设局</w:t>
      </w:r>
    </w:p>
    <w:p w14:paraId="14BCA36A">
      <w:pPr>
        <w:pStyle w:val="4"/>
        <w:spacing w:before="216" w:line="312" w:lineRule="auto"/>
        <w:ind w:right="13" w:firstLine="930" w:firstLineChars="300"/>
        <w:rPr>
          <w:rFonts w:hint="default"/>
          <w:lang w:val="en-US" w:eastAsia="zh-CN"/>
        </w:rPr>
      </w:pPr>
      <w:r>
        <w:rPr>
          <w:rFonts w:hint="eastAsia"/>
          <w:lang w:eastAsia="zh-CN"/>
        </w:rPr>
        <w:t xml:space="preserve"> 4）实施方案</w:t>
      </w:r>
      <w:r>
        <w:rPr>
          <w:rFonts w:hint="eastAsia"/>
          <w:lang w:val="en-US" w:eastAsia="zh-CN"/>
        </w:rPr>
        <w:t>:</w:t>
      </w:r>
      <w:r>
        <w:rPr>
          <w:rFonts w:hint="eastAsia"/>
          <w:spacing w:val="8"/>
        </w:rPr>
        <w:t>根据业务需要，合理合规安排使用</w:t>
      </w:r>
      <w:r>
        <w:rPr>
          <w:rFonts w:hint="eastAsia"/>
          <w:spacing w:val="8"/>
          <w:lang w:val="en-US" w:eastAsia="zh-CN"/>
        </w:rPr>
        <w:t>专项资金等</w:t>
      </w:r>
      <w:r>
        <w:rPr>
          <w:rFonts w:hint="eastAsia"/>
          <w:spacing w:val="8"/>
        </w:rPr>
        <w:t>相关费用。</w:t>
      </w:r>
    </w:p>
    <w:p w14:paraId="3B0A7EEC">
      <w:pPr>
        <w:pStyle w:val="19"/>
        <w:bidi w:val="0"/>
        <w:rPr>
          <w:rFonts w:hint="default"/>
          <w:lang w:val="en-US" w:eastAsia="zh-CN"/>
        </w:rPr>
      </w:pPr>
      <w:r>
        <w:rPr>
          <w:rFonts w:hint="eastAsia"/>
          <w:lang w:eastAsia="zh-CN"/>
        </w:rPr>
        <w:t xml:space="preserve">   5）实施周期</w:t>
      </w:r>
      <w:r>
        <w:rPr>
          <w:rFonts w:hint="eastAsia"/>
          <w:lang w:val="en-US" w:eastAsia="zh-CN"/>
        </w:rPr>
        <w:t>:</w:t>
      </w:r>
      <w:r>
        <w:rPr>
          <w:spacing w:val="4"/>
        </w:rPr>
        <w:t>202年度</w:t>
      </w:r>
    </w:p>
    <w:p w14:paraId="18F413C4">
      <w:pPr>
        <w:pStyle w:val="19"/>
        <w:bidi w:val="0"/>
        <w:rPr>
          <w:rFonts w:hint="default"/>
          <w:lang w:val="en-US" w:eastAsia="zh-CN"/>
        </w:rPr>
      </w:pPr>
      <w:r>
        <w:rPr>
          <w:rFonts w:hint="eastAsia"/>
          <w:lang w:eastAsia="zh-CN"/>
        </w:rPr>
        <w:t xml:space="preserve">   6）年度预算安排</w:t>
      </w:r>
      <w:r>
        <w:rPr>
          <w:rFonts w:hint="eastAsia"/>
          <w:lang w:val="en-US" w:eastAsia="zh-CN"/>
        </w:rPr>
        <w:t>:3万元</w:t>
      </w:r>
    </w:p>
    <w:p w14:paraId="34157767">
      <w:pPr>
        <w:pStyle w:val="19"/>
        <w:bidi w:val="0"/>
        <w:rPr>
          <w:rFonts w:hint="eastAsia"/>
          <w:lang w:eastAsia="zh-CN"/>
        </w:rPr>
      </w:pPr>
      <w:r>
        <w:rPr>
          <w:rFonts w:hint="eastAsia"/>
          <w:lang w:eastAsia="zh-CN"/>
        </w:rPr>
        <w:t>（如果本部门没有项目，请说明“本部门本年度未安排项目”）</w:t>
      </w:r>
    </w:p>
    <w:p w14:paraId="1D6632F7">
      <w:pPr>
        <w:pStyle w:val="19"/>
        <w:bidi w:val="0"/>
        <w:rPr>
          <w:rFonts w:hint="eastAsia"/>
          <w:lang w:eastAsia="zh-CN"/>
        </w:rPr>
      </w:pPr>
    </w:p>
    <w:p w14:paraId="0F949D1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7E5B3E2">
      <w:pPr>
        <w:pStyle w:val="19"/>
        <w:bidi w:val="0"/>
        <w:rPr>
          <w:rFonts w:hint="eastAsia"/>
          <w:lang w:eastAsia="zh-CN"/>
        </w:rPr>
      </w:pPr>
      <w:r>
        <w:rPr>
          <w:rFonts w:hint="eastAsia"/>
          <w:lang w:eastAsia="zh-CN"/>
        </w:rPr>
        <w:t>2026年景德镇市珠山区住房和城乡建设局财政拨款"三公"经费安排2.52万元，其中：</w:t>
      </w:r>
    </w:p>
    <w:p w14:paraId="7D025863">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5A784B6B">
      <w:pPr>
        <w:pStyle w:val="19"/>
        <w:bidi w:val="0"/>
        <w:rPr>
          <w:rFonts w:hint="eastAsia"/>
          <w:lang w:eastAsia="zh-CN"/>
        </w:rPr>
      </w:pPr>
      <w:r>
        <w:rPr>
          <w:rFonts w:hint="eastAsia"/>
          <w:lang w:eastAsia="zh-CN"/>
        </w:rPr>
        <w:t>公务接待2.52万元,比上年减</w:t>
      </w:r>
      <w:r>
        <w:rPr>
          <w:rFonts w:hint="eastAsia"/>
          <w:lang w:val="en-US" w:eastAsia="zh-CN"/>
        </w:rPr>
        <w:t>0.03</w:t>
      </w:r>
      <w:r>
        <w:rPr>
          <w:rFonts w:hint="eastAsia"/>
          <w:lang w:eastAsia="zh-CN"/>
        </w:rPr>
        <w:t>万元，主要原因是：</w:t>
      </w:r>
      <w:r>
        <w:rPr>
          <w:rFonts w:hint="eastAsia"/>
          <w:spacing w:val="3"/>
          <w:lang w:val="en-US" w:eastAsia="zh-CN"/>
        </w:rPr>
        <w:t>节约过紧日子</w:t>
      </w:r>
      <w:r>
        <w:rPr>
          <w:spacing w:val="7"/>
        </w:rPr>
        <w:t>，减少了公务接待预算</w:t>
      </w:r>
      <w:r>
        <w:rPr>
          <w:rFonts w:hint="eastAsia"/>
          <w:lang w:eastAsia="zh-CN"/>
        </w:rPr>
        <w:t>。</w:t>
      </w:r>
    </w:p>
    <w:p w14:paraId="2BD24BF6">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5E831206">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C41C333">
      <w:pPr>
        <w:pStyle w:val="19"/>
        <w:bidi w:val="0"/>
        <w:rPr>
          <w:rFonts w:hint="eastAsia"/>
          <w:lang w:eastAsia="zh-CN"/>
        </w:rPr>
      </w:pPr>
      <w:r>
        <w:rPr>
          <w:rFonts w:hint="eastAsia"/>
          <w:lang w:eastAsia="zh-CN"/>
        </w:rPr>
        <w:t>（增减变化为0的也请填写，并在主要原因说明“与上年安排保持一致”）</w:t>
      </w:r>
    </w:p>
    <w:p w14:paraId="6777E050">
      <w:pPr>
        <w:rPr>
          <w:rStyle w:val="13"/>
          <w:rFonts w:hint="eastAsia" w:ascii="仿宋" w:hAnsi="仿宋" w:eastAsia="仿宋"/>
          <w:sz w:val="32"/>
          <w:szCs w:val="32"/>
        </w:rPr>
      </w:pPr>
      <w:r>
        <w:rPr>
          <w:rStyle w:val="13"/>
          <w:rFonts w:hint="eastAsia" w:ascii="仿宋" w:hAnsi="仿宋" w:eastAsia="仿宋"/>
          <w:sz w:val="32"/>
          <w:szCs w:val="32"/>
        </w:rPr>
        <w:br w:type="page"/>
      </w:r>
    </w:p>
    <w:p w14:paraId="46EBC618">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221C34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4CE5636">
      <w:pPr>
        <w:pStyle w:val="19"/>
        <w:bidi w:val="0"/>
        <w:rPr>
          <w:rFonts w:hint="eastAsia"/>
          <w:lang w:eastAsia="zh-CN"/>
        </w:rPr>
      </w:pPr>
      <w:r>
        <w:rPr>
          <w:rFonts w:hint="eastAsia"/>
          <w:lang w:eastAsia="zh-CN"/>
        </w:rPr>
        <w:t>各部门结合实际进行解释。</w:t>
      </w:r>
    </w:p>
    <w:p w14:paraId="273DC5C9">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32EF315">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5CBE3E4">
      <w:pPr>
        <w:pStyle w:val="19"/>
        <w:bidi w:val="0"/>
        <w:rPr>
          <w:rFonts w:hint="eastAsia"/>
          <w:lang w:eastAsia="zh-CN"/>
        </w:rPr>
      </w:pPr>
      <w:r>
        <w:rPr>
          <w:rFonts w:hint="eastAsia"/>
          <w:lang w:eastAsia="zh-CN"/>
        </w:rPr>
        <w:t>（三）事业收入：指事业单位开展专业业务活动及辅助活动取得的收入。</w:t>
      </w:r>
    </w:p>
    <w:p w14:paraId="31C5BDBF">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240594B">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5213138">
      <w:pPr>
        <w:pStyle w:val="19"/>
        <w:bidi w:val="0"/>
        <w:rPr>
          <w:rFonts w:hint="eastAsia"/>
          <w:lang w:eastAsia="zh-CN"/>
        </w:rPr>
      </w:pPr>
      <w:r>
        <w:rPr>
          <w:rFonts w:hint="eastAsia"/>
          <w:lang w:eastAsia="zh-CN"/>
        </w:rPr>
        <w:t>（六）上级补助收入：指事业单位从主管部门和上级单位取得的非财政补助收入。</w:t>
      </w:r>
    </w:p>
    <w:p w14:paraId="4D54DD26">
      <w:pPr>
        <w:pStyle w:val="19"/>
        <w:bidi w:val="0"/>
        <w:rPr>
          <w:rFonts w:hint="eastAsia"/>
          <w:lang w:eastAsia="zh-CN"/>
        </w:rPr>
      </w:pPr>
      <w:r>
        <w:rPr>
          <w:rFonts w:hint="eastAsia"/>
          <w:lang w:eastAsia="zh-CN"/>
        </w:rPr>
        <w:t>（七）其他收入：指除财政拨款、事业收入、事业单位经营收入等以外的各项收入。</w:t>
      </w:r>
    </w:p>
    <w:p w14:paraId="600FEE51">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5B649BF9">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799446E">
      <w:pPr>
        <w:ind w:firstLine="640" w:firstLineChars="200"/>
        <w:rPr>
          <w:rFonts w:ascii="Adobe 仿宋 Std R" w:hAnsi="Adobe 仿宋 Std R" w:eastAsia="Adobe 仿宋 Std R"/>
          <w:sz w:val="32"/>
          <w:szCs w:val="32"/>
        </w:rPr>
      </w:pPr>
    </w:p>
    <w:p w14:paraId="6603B09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E416CD6">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7EA672F3">
      <w:pPr>
        <w:widowControl/>
        <w:spacing w:line="600" w:lineRule="exact"/>
        <w:ind w:firstLine="640" w:firstLineChars="200"/>
        <w:jc w:val="left"/>
        <w:rPr>
          <w:rFonts w:ascii="仿宋_GB2312" w:eastAsia="仿宋_GB2312"/>
          <w:color w:val="000000"/>
          <w:sz w:val="32"/>
          <w:szCs w:val="30"/>
        </w:rPr>
      </w:pPr>
    </w:p>
    <w:p w14:paraId="279056B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B2B8166">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345F5F1">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7B7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67271A"/>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43066E"/>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7352AE"/>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C5053E"/>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2C70"/>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A677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6FC6BB0"/>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6C66D6D"/>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2843</Words>
  <Characters>4124</Characters>
  <Lines>47</Lines>
  <Paragraphs>13</Paragraphs>
  <TotalTime>3</TotalTime>
  <ScaleCrop>false</ScaleCrop>
  <LinksUpToDate>false</LinksUpToDate>
  <CharactersWithSpaces>4201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2026-03-04T03:10:29Z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