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BF230">
      <w:pPr>
        <w:pStyle w:val="17"/>
        <w:bidi w:val="0"/>
        <w:rPr>
          <w:rFonts w:hint="eastAsia"/>
        </w:rPr>
      </w:pPr>
      <w:r>
        <w:rPr>
          <w:rFonts w:hint="eastAsia"/>
          <w:lang w:eastAsia="zh-CN"/>
        </w:rPr>
        <w:t>景德镇市珠山区教育体育局2026</w:t>
      </w:r>
      <w:r>
        <w:rPr>
          <w:rFonts w:hint="eastAsia"/>
        </w:rPr>
        <w:t>年</w:t>
      </w:r>
      <w:r>
        <w:rPr>
          <w:rFonts w:hint="eastAsia"/>
          <w:lang w:val="en-US" w:eastAsia="zh-CN"/>
        </w:rPr>
        <w:t>单位</w:t>
      </w:r>
      <w:r>
        <w:rPr>
          <w:rFonts w:hint="eastAsia"/>
        </w:rPr>
        <w:t>预算</w:t>
      </w:r>
    </w:p>
    <w:p w14:paraId="00B9FD64">
      <w:pPr>
        <w:pStyle w:val="14"/>
        <w:spacing w:line="600" w:lineRule="atLeast"/>
        <w:jc w:val="center"/>
        <w:rPr>
          <w:rFonts w:ascii="黑体" w:hAnsi="黑体" w:eastAsia="黑体"/>
          <w:color w:val="000000"/>
          <w:sz w:val="32"/>
          <w:szCs w:val="32"/>
        </w:rPr>
      </w:pPr>
    </w:p>
    <w:p w14:paraId="2CB0A043">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4807979D">
      <w:pPr>
        <w:pStyle w:val="14"/>
        <w:rPr>
          <w:rFonts w:ascii="宋体" w:hAnsi="宋体"/>
          <w:color w:val="000000"/>
        </w:rPr>
      </w:pPr>
    </w:p>
    <w:p w14:paraId="77767EB3">
      <w:pPr>
        <w:pStyle w:val="18"/>
        <w:numPr>
          <w:ilvl w:val="0"/>
          <w:numId w:val="0"/>
        </w:numPr>
        <w:bidi w:val="0"/>
        <w:ind w:left="420" w:leftChars="200"/>
        <w:jc w:val="left"/>
        <w:rPr>
          <w:rFonts w:hint="eastAsia"/>
          <w:lang w:eastAsia="zh-CN"/>
        </w:rPr>
      </w:pPr>
      <w:r>
        <w:rPr>
          <w:rFonts w:hint="eastAsia"/>
          <w:lang w:val="en-US" w:eastAsia="zh-CN"/>
        </w:rPr>
        <w:t>第一部分  景德镇市珠山区教育体育局概况</w:t>
      </w:r>
    </w:p>
    <w:p w14:paraId="4E193221">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37130F9C">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7542518B">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景德镇市珠山区教育体育局2026</w:t>
      </w:r>
      <w:r>
        <w:rPr>
          <w:rFonts w:hint="eastAsia"/>
        </w:rPr>
        <w:t>年</w:t>
      </w:r>
      <w:r>
        <w:rPr>
          <w:rFonts w:hint="eastAsia"/>
          <w:lang w:val="en-US" w:eastAsia="zh-CN"/>
        </w:rPr>
        <w:t>单位</w:t>
      </w:r>
      <w:r>
        <w:rPr>
          <w:rFonts w:hint="eastAsia"/>
        </w:rPr>
        <w:t>预算表</w:t>
      </w:r>
    </w:p>
    <w:p w14:paraId="77D645F5">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56827651">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500A8454">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758A6256">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5373D830">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135B5112">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2F3798FA">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5F12F6FD">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4FB0327F">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79AF18E0">
      <w:pPr>
        <w:pStyle w:val="19"/>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72EE5192">
      <w:pPr>
        <w:pStyle w:val="19"/>
        <w:bidi w:val="0"/>
        <w:ind w:left="0" w:leftChars="0" w:firstLine="0" w:firstLineChars="0"/>
        <w:rPr>
          <w:rFonts w:hint="eastAsia" w:ascii="仿宋_GB2312" w:hAnsi="仿宋_GB2312" w:eastAsia="仿宋_GB2312" w:cs="仿宋_GB2312"/>
        </w:rPr>
      </w:pPr>
    </w:p>
    <w:p w14:paraId="2046BE40">
      <w:pPr>
        <w:pStyle w:val="18"/>
        <w:numPr>
          <w:ilvl w:val="0"/>
          <w:numId w:val="0"/>
        </w:numPr>
        <w:bidi w:val="0"/>
        <w:ind w:left="420" w:leftChars="200"/>
        <w:jc w:val="left"/>
        <w:rPr>
          <w:rFonts w:hint="eastAsia"/>
          <w:lang w:eastAsia="zh-CN"/>
        </w:rPr>
      </w:pPr>
      <w:r>
        <w:rPr>
          <w:rFonts w:hint="eastAsia"/>
          <w:lang w:eastAsia="zh-CN"/>
        </w:rPr>
        <w:t>第三部分 景德镇市珠山区教育体育局 2026年</w:t>
      </w:r>
      <w:r>
        <w:rPr>
          <w:rFonts w:hint="eastAsia"/>
          <w:lang w:val="en-US" w:eastAsia="zh-CN"/>
        </w:rPr>
        <w:t>单位</w:t>
      </w:r>
      <w:r>
        <w:rPr>
          <w:rFonts w:hint="eastAsia"/>
          <w:lang w:eastAsia="zh-CN"/>
        </w:rPr>
        <w:t>预算情况说明</w:t>
      </w:r>
    </w:p>
    <w:p w14:paraId="08F99E5D">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5003996A">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76D9AF7C">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0F1853B0">
      <w:pPr>
        <w:pStyle w:val="18"/>
        <w:numPr>
          <w:ilvl w:val="0"/>
          <w:numId w:val="0"/>
        </w:numPr>
        <w:bidi w:val="0"/>
        <w:ind w:left="420" w:leftChars="200"/>
        <w:jc w:val="left"/>
        <w:rPr>
          <w:rFonts w:hint="eastAsia"/>
          <w:lang w:eastAsia="zh-CN"/>
        </w:rPr>
      </w:pPr>
      <w:r>
        <w:rPr>
          <w:rFonts w:hint="eastAsia"/>
          <w:lang w:eastAsia="zh-CN"/>
        </w:rPr>
        <w:t>第四部分  名词解释</w:t>
      </w:r>
    </w:p>
    <w:p w14:paraId="437733A3">
      <w:pPr>
        <w:widowControl/>
        <w:spacing w:line="580" w:lineRule="exact"/>
        <w:jc w:val="center"/>
        <w:rPr>
          <w:rFonts w:ascii="仿宋_GB2312" w:eastAsia="仿宋_GB2312"/>
          <w:b/>
          <w:sz w:val="32"/>
          <w:szCs w:val="30"/>
        </w:rPr>
      </w:pPr>
    </w:p>
    <w:p w14:paraId="3F78C11D">
      <w:pPr>
        <w:widowControl/>
        <w:spacing w:line="580" w:lineRule="exact"/>
        <w:jc w:val="center"/>
        <w:rPr>
          <w:rFonts w:ascii="仿宋_GB2312" w:eastAsia="仿宋_GB2312"/>
          <w:b/>
          <w:sz w:val="32"/>
          <w:szCs w:val="30"/>
        </w:rPr>
      </w:pPr>
    </w:p>
    <w:p w14:paraId="2722F75A">
      <w:pPr>
        <w:pStyle w:val="18"/>
        <w:numPr>
          <w:ilvl w:val="0"/>
          <w:numId w:val="0"/>
        </w:numPr>
        <w:bidi w:val="0"/>
        <w:ind w:left="420" w:leftChars="200"/>
        <w:jc w:val="center"/>
        <w:rPr>
          <w:rFonts w:hint="eastAsia"/>
          <w:lang w:eastAsia="zh-CN"/>
        </w:rPr>
      </w:pPr>
      <w:r>
        <w:rPr>
          <w:rFonts w:hint="eastAsia"/>
          <w:lang w:eastAsia="zh-CN"/>
        </w:rPr>
        <w:t>第一部分  景德镇市珠山区教育体育局概况</w:t>
      </w:r>
    </w:p>
    <w:p w14:paraId="33ED9010">
      <w:pPr>
        <w:widowControl/>
        <w:spacing w:line="580" w:lineRule="exact"/>
        <w:jc w:val="left"/>
        <w:rPr>
          <w:rFonts w:asciiTheme="minorEastAsia" w:hAnsiTheme="minorEastAsia"/>
          <w:b/>
          <w:sz w:val="36"/>
          <w:szCs w:val="36"/>
        </w:rPr>
      </w:pPr>
    </w:p>
    <w:p w14:paraId="1E5322DF">
      <w:pPr>
        <w:pStyle w:val="18"/>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492120DE">
      <w:pPr>
        <w:pStyle w:val="4"/>
        <w:spacing w:before="156" w:line="372" w:lineRule="auto"/>
        <w:ind w:left="26" w:right="89" w:firstLine="657"/>
        <w:rPr>
          <w:rFonts w:hint="eastAsia"/>
          <w:spacing w:val="22"/>
          <w:lang w:eastAsia="zh-CN"/>
        </w:rPr>
      </w:pPr>
      <w:r>
        <w:rPr>
          <w:rFonts w:hint="eastAsia"/>
          <w:spacing w:val="22"/>
          <w:lang w:eastAsia="zh-CN"/>
        </w:rPr>
        <w:t>（1）贯彻执行党和国家教育体育工作的方针、政策、法律、法规和规章,并依法对全区各级各类学校、体育市场进行监督管理和业务指导。</w:t>
      </w:r>
    </w:p>
    <w:p w14:paraId="50546F87">
      <w:pPr>
        <w:pStyle w:val="4"/>
        <w:spacing w:before="156" w:line="372" w:lineRule="auto"/>
        <w:ind w:left="26" w:right="89" w:firstLine="657"/>
        <w:rPr>
          <w:rFonts w:hint="eastAsia"/>
          <w:spacing w:val="22"/>
          <w:lang w:eastAsia="zh-CN"/>
        </w:rPr>
      </w:pPr>
      <w:r>
        <w:rPr>
          <w:rFonts w:hint="eastAsia"/>
          <w:spacing w:val="22"/>
          <w:lang w:eastAsia="zh-CN"/>
        </w:rPr>
        <w:t>（2）负责义务教育的指导与协调，推进全区义务教育均衡发展和促进教育公平，推进基础教育教学改革，全面实施素质教育；指导教育体育科研工作的规划与管理及科研成果的推广应用。</w:t>
      </w:r>
    </w:p>
    <w:p w14:paraId="38802F24">
      <w:pPr>
        <w:pStyle w:val="4"/>
        <w:spacing w:before="156" w:line="372" w:lineRule="auto"/>
        <w:ind w:left="26" w:right="89" w:firstLine="657"/>
        <w:rPr>
          <w:rFonts w:hint="eastAsia"/>
          <w:spacing w:val="22"/>
          <w:lang w:eastAsia="zh-CN"/>
        </w:rPr>
      </w:pPr>
      <w:r>
        <w:rPr>
          <w:rFonts w:hint="eastAsia"/>
          <w:spacing w:val="22"/>
          <w:lang w:eastAsia="zh-CN"/>
        </w:rPr>
        <w:t>（3）统筹管理本部门教育经费、体育经费；统筹管理使用教育费附加和专项转移支付经费；监督测评全区教育体育经费的筹措和使用管理情况；统筹办理和管理生源地信用助学贷款工作。</w:t>
      </w:r>
    </w:p>
    <w:p w14:paraId="5055F877">
      <w:pPr>
        <w:pStyle w:val="4"/>
        <w:spacing w:before="156" w:line="372" w:lineRule="auto"/>
        <w:ind w:left="26" w:right="89" w:firstLine="657"/>
        <w:rPr>
          <w:rFonts w:hint="eastAsia"/>
          <w:spacing w:val="22"/>
          <w:lang w:eastAsia="zh-CN"/>
        </w:rPr>
      </w:pPr>
      <w:r>
        <w:rPr>
          <w:rFonts w:hint="eastAsia"/>
          <w:spacing w:val="22"/>
          <w:lang w:eastAsia="zh-CN"/>
        </w:rPr>
        <w:t>（4）主管全区教师工作，规划并指导学校教师和干部队伍建设；负责学校领导干部的选拔、考核、聘用工作；会同有关部门做好全区教师招聘工作;负责教师资格制度的实施和教育体育系统人才队伍建设。</w:t>
      </w:r>
    </w:p>
    <w:p w14:paraId="1D311106">
      <w:pPr>
        <w:pStyle w:val="4"/>
        <w:spacing w:before="156" w:line="372" w:lineRule="auto"/>
        <w:ind w:left="26" w:right="89" w:firstLine="657"/>
        <w:rPr>
          <w:rFonts w:hint="eastAsia"/>
          <w:spacing w:val="22"/>
          <w:lang w:eastAsia="zh-CN"/>
        </w:rPr>
      </w:pPr>
      <w:r>
        <w:rPr>
          <w:rFonts w:hint="eastAsia"/>
          <w:spacing w:val="22"/>
          <w:lang w:eastAsia="zh-CN"/>
        </w:rPr>
        <w:t>（5）指导全区中小学校的思想政治、德育、体育卫生与艺术、国防教育、安全稳定工作，指导全区中小学校共青团、少先队和科技教育工作。</w:t>
      </w:r>
    </w:p>
    <w:p w14:paraId="07E5350F">
      <w:pPr>
        <w:pStyle w:val="4"/>
        <w:spacing w:before="156" w:line="372" w:lineRule="auto"/>
        <w:ind w:left="26" w:right="89" w:firstLine="657"/>
        <w:rPr>
          <w:rFonts w:hint="eastAsia"/>
          <w:spacing w:val="22"/>
          <w:lang w:eastAsia="zh-CN"/>
        </w:rPr>
      </w:pPr>
      <w:r>
        <w:rPr>
          <w:rFonts w:hint="eastAsia"/>
          <w:spacing w:val="22"/>
          <w:lang w:eastAsia="zh-CN"/>
        </w:rPr>
        <w:t>（6）统筹规划全区群众体育发展；为全区各类企事业单位及社会团体体育活动提供有偿或无偿服务；统筹规划全区青少年体育发展，指导和推进青少年体育工作。</w:t>
      </w:r>
    </w:p>
    <w:p w14:paraId="3176A924">
      <w:pPr>
        <w:pStyle w:val="4"/>
        <w:spacing w:before="156" w:line="372" w:lineRule="auto"/>
        <w:ind w:left="26" w:right="89" w:firstLine="657"/>
        <w:rPr>
          <w:rFonts w:hint="eastAsia"/>
          <w:spacing w:val="22"/>
          <w:lang w:eastAsia="zh-CN"/>
        </w:rPr>
      </w:pPr>
      <w:r>
        <w:rPr>
          <w:rFonts w:hint="eastAsia"/>
          <w:spacing w:val="22"/>
          <w:lang w:eastAsia="zh-CN"/>
        </w:rPr>
        <w:t>（7）贯彻执行党和国家有关信访维稳工作的法律、法规和政策；负责接待处理本系统群众来信来访工作；指导直属学校的党建工作，指导局属单位党的组织建设，做好党员的教育、发展和管理工作。</w:t>
      </w:r>
    </w:p>
    <w:p w14:paraId="18EED4E2">
      <w:pPr>
        <w:pStyle w:val="4"/>
        <w:spacing w:before="156" w:line="372" w:lineRule="auto"/>
        <w:ind w:left="26" w:right="89" w:firstLine="657"/>
        <w:rPr>
          <w:rFonts w:hint="eastAsia"/>
          <w:spacing w:val="22"/>
          <w:lang w:eastAsia="zh-CN"/>
        </w:rPr>
      </w:pPr>
      <w:r>
        <w:rPr>
          <w:rFonts w:hint="eastAsia"/>
          <w:spacing w:val="22"/>
          <w:lang w:eastAsia="zh-CN"/>
        </w:rPr>
        <w:t>（8）贯彻执行安全工作的法律、法规和规章；制定学校安全工作有关规章制度；指导学校安全工作；组织协调学校重大安全事故处理。</w:t>
      </w:r>
    </w:p>
    <w:p w14:paraId="768E3EEA">
      <w:pPr>
        <w:pStyle w:val="4"/>
        <w:spacing w:before="156" w:line="372" w:lineRule="auto"/>
        <w:ind w:left="26" w:right="89" w:firstLine="657"/>
        <w:rPr>
          <w:rFonts w:hint="eastAsia"/>
          <w:spacing w:val="22"/>
          <w:lang w:eastAsia="zh-CN"/>
        </w:rPr>
      </w:pPr>
      <w:r>
        <w:rPr>
          <w:rFonts w:hint="eastAsia"/>
          <w:spacing w:val="22"/>
          <w:lang w:eastAsia="zh-CN"/>
        </w:rPr>
        <w:t>（9）承担经区政府批准保留的有关行政审批事项。</w:t>
      </w:r>
    </w:p>
    <w:p w14:paraId="1A67D9EA">
      <w:pPr>
        <w:pStyle w:val="4"/>
        <w:spacing w:before="156" w:line="372" w:lineRule="auto"/>
        <w:ind w:left="26" w:right="89" w:firstLine="657"/>
        <w:rPr>
          <w:spacing w:val="22"/>
        </w:rPr>
      </w:pPr>
      <w:r>
        <w:rPr>
          <w:rFonts w:hint="eastAsia"/>
          <w:spacing w:val="22"/>
          <w:lang w:eastAsia="zh-CN"/>
        </w:rPr>
        <w:t>（10）承办区政府交办的其他事项。</w:t>
      </w:r>
    </w:p>
    <w:p w14:paraId="1BC9DFE7">
      <w:pPr>
        <w:pStyle w:val="19"/>
        <w:bidi w:val="0"/>
        <w:rPr>
          <w:rFonts w:hint="eastAsia" w:ascii="仿宋_GB2312" w:hAnsi="仿宋_GB2312" w:eastAsia="仿宋_GB2312" w:cs="仿宋_GB2312"/>
        </w:rPr>
      </w:pPr>
    </w:p>
    <w:p w14:paraId="6AB542C8">
      <w:pPr>
        <w:pStyle w:val="18"/>
        <w:numPr>
          <w:ilvl w:val="0"/>
          <w:numId w:val="0"/>
        </w:numPr>
        <w:bidi w:val="0"/>
        <w:ind w:left="420" w:leftChars="200" w:firstLine="320" w:firstLineChars="100"/>
        <w:rPr>
          <w:rFonts w:hint="eastAsia"/>
        </w:rPr>
      </w:pPr>
      <w:r>
        <w:rPr>
          <w:rFonts w:hint="eastAsia"/>
        </w:rPr>
        <w:t>二、机构设置及人员情况</w:t>
      </w:r>
    </w:p>
    <w:p w14:paraId="7FE155EB">
      <w:pPr>
        <w:pStyle w:val="19"/>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景德镇市珠山区教育体育局内设处室</w:t>
      </w:r>
      <w:r>
        <w:rPr>
          <w:rFonts w:hint="eastAsia" w:cs="仿宋_GB2312"/>
          <w:lang w:val="en-US" w:eastAsia="zh-CN"/>
        </w:rPr>
        <w:t>2</w:t>
      </w:r>
      <w:r>
        <w:rPr>
          <w:rFonts w:hint="eastAsia" w:ascii="仿宋_GB2312" w:hAnsi="仿宋_GB2312" w:eastAsia="仿宋_GB2312" w:cs="仿宋_GB2312"/>
          <w:lang w:eastAsia="zh-CN"/>
        </w:rPr>
        <w:t>个，包括：</w:t>
      </w:r>
      <w:r>
        <w:rPr>
          <w:rFonts w:hint="eastAsia" w:cs="仿宋_GB2312"/>
          <w:lang w:val="en-US" w:eastAsia="zh-CN"/>
        </w:rPr>
        <w:t>综合股、教育督导室</w:t>
      </w:r>
      <w:r>
        <w:rPr>
          <w:rFonts w:hint="eastAsia" w:ascii="仿宋_GB2312" w:hAnsi="仿宋_GB2312" w:eastAsia="仿宋_GB2312" w:cs="仿宋_GB2312"/>
        </w:rPr>
        <w:t>。</w:t>
      </w:r>
    </w:p>
    <w:p w14:paraId="45E21106">
      <w:pPr>
        <w:pStyle w:val="4"/>
        <w:spacing w:before="11" w:line="371" w:lineRule="auto"/>
        <w:ind w:left="23" w:firstLine="643"/>
      </w:pPr>
      <w:r>
        <w:rPr>
          <w:spacing w:val="4"/>
          <w:highlight w:val="none"/>
        </w:rPr>
        <w:t>编制人数小计</w:t>
      </w:r>
      <w:r>
        <w:rPr>
          <w:rFonts w:hint="eastAsia"/>
          <w:spacing w:val="4"/>
          <w:highlight w:val="none"/>
          <w:lang w:val="en-US" w:eastAsia="zh-CN"/>
        </w:rPr>
        <w:t>32</w:t>
      </w:r>
      <w:r>
        <w:rPr>
          <w:spacing w:val="4"/>
          <w:highlight w:val="none"/>
        </w:rPr>
        <w:t>人,其中：行政编制人数</w:t>
      </w:r>
      <w:r>
        <w:rPr>
          <w:rFonts w:hint="eastAsia"/>
          <w:spacing w:val="-41"/>
          <w:highlight w:val="none"/>
          <w:lang w:val="en-US" w:eastAsia="zh-CN"/>
        </w:rPr>
        <w:t>6</w:t>
      </w:r>
      <w:r>
        <w:rPr>
          <w:spacing w:val="3"/>
          <w:highlight w:val="none"/>
        </w:rPr>
        <w:t>人,参照</w:t>
      </w:r>
      <w:r>
        <w:rPr>
          <w:spacing w:val="12"/>
          <w:highlight w:val="none"/>
        </w:rPr>
        <w:t>公务员管理的事业编制人数</w:t>
      </w:r>
      <w:r>
        <w:rPr>
          <w:spacing w:val="-36"/>
          <w:highlight w:val="none"/>
        </w:rPr>
        <w:t xml:space="preserve"> </w:t>
      </w:r>
      <w:r>
        <w:rPr>
          <w:rFonts w:hint="eastAsia"/>
          <w:spacing w:val="12"/>
          <w:highlight w:val="none"/>
          <w:lang w:val="en-US" w:eastAsia="zh-CN"/>
        </w:rPr>
        <w:t>0</w:t>
      </w:r>
      <w:r>
        <w:rPr>
          <w:spacing w:val="-55"/>
          <w:highlight w:val="none"/>
        </w:rPr>
        <w:t xml:space="preserve"> </w:t>
      </w:r>
      <w:r>
        <w:rPr>
          <w:spacing w:val="12"/>
          <w:highlight w:val="none"/>
        </w:rPr>
        <w:t>人,全部补助事业编制人数</w:t>
      </w:r>
      <w:r>
        <w:rPr>
          <w:rFonts w:hint="eastAsia"/>
          <w:highlight w:val="none"/>
          <w:lang w:val="en-US" w:eastAsia="zh-CN"/>
        </w:rPr>
        <w:t>26</w:t>
      </w:r>
      <w:r>
        <w:rPr>
          <w:spacing w:val="-6"/>
          <w:highlight w:val="none"/>
        </w:rPr>
        <w:t>人,</w:t>
      </w:r>
      <w:r>
        <w:rPr>
          <w:spacing w:val="-86"/>
          <w:highlight w:val="none"/>
        </w:rPr>
        <w:t xml:space="preserve"> </w:t>
      </w:r>
      <w:r>
        <w:rPr>
          <w:spacing w:val="-6"/>
          <w:highlight w:val="none"/>
        </w:rPr>
        <w:t>自收自支编制人数</w:t>
      </w:r>
      <w:r>
        <w:rPr>
          <w:spacing w:val="-62"/>
          <w:highlight w:val="none"/>
        </w:rPr>
        <w:t xml:space="preserve"> </w:t>
      </w:r>
      <w:r>
        <w:rPr>
          <w:rFonts w:hint="eastAsia"/>
          <w:spacing w:val="-6"/>
          <w:highlight w:val="none"/>
          <w:lang w:val="en-US" w:eastAsia="zh-CN"/>
        </w:rPr>
        <w:t>0</w:t>
      </w:r>
      <w:r>
        <w:rPr>
          <w:spacing w:val="-6"/>
          <w:highlight w:val="none"/>
        </w:rPr>
        <w:t>人。实有人数小计</w:t>
      </w:r>
      <w:r>
        <w:rPr>
          <w:rFonts w:hint="eastAsia"/>
          <w:spacing w:val="-6"/>
          <w:highlight w:val="none"/>
          <w:lang w:val="en-US" w:eastAsia="zh-CN"/>
        </w:rPr>
        <w:t>73</w:t>
      </w:r>
      <w:r>
        <w:rPr>
          <w:spacing w:val="-6"/>
          <w:highlight w:val="none"/>
        </w:rPr>
        <w:t>人,</w:t>
      </w:r>
      <w:r>
        <w:rPr>
          <w:spacing w:val="-6"/>
        </w:rPr>
        <w:t>其中</w:t>
      </w:r>
      <w:r>
        <w:rPr>
          <w:rFonts w:hint="eastAsia"/>
          <w:spacing w:val="-6"/>
          <w:lang w:eastAsia="zh-CN"/>
        </w:rPr>
        <w:t>：</w:t>
      </w:r>
      <w:r>
        <w:rPr>
          <w:spacing w:val="5"/>
        </w:rPr>
        <w:t>在职人数小计</w:t>
      </w:r>
      <w:r>
        <w:rPr>
          <w:spacing w:val="-41"/>
        </w:rPr>
        <w:t xml:space="preserve"> </w:t>
      </w:r>
      <w:r>
        <w:rPr>
          <w:rFonts w:hint="eastAsia"/>
          <w:spacing w:val="5"/>
          <w:lang w:val="en-US" w:eastAsia="zh-CN"/>
        </w:rPr>
        <w:t>29</w:t>
      </w:r>
      <w:r>
        <w:rPr>
          <w:spacing w:val="5"/>
        </w:rPr>
        <w:t>人,行政在职人数</w:t>
      </w:r>
      <w:r>
        <w:rPr>
          <w:rFonts w:hint="eastAsia"/>
          <w:spacing w:val="-45"/>
          <w:lang w:val="en-US" w:eastAsia="zh-CN"/>
        </w:rPr>
        <w:t>6</w:t>
      </w:r>
      <w:r>
        <w:rPr>
          <w:spacing w:val="4"/>
        </w:rPr>
        <w:t>人,参照公务员管理</w:t>
      </w:r>
      <w:r>
        <w:rPr>
          <w:spacing w:val="11"/>
        </w:rPr>
        <w:t>的事业单位在职人数</w:t>
      </w:r>
      <w:r>
        <w:rPr>
          <w:spacing w:val="-41"/>
        </w:rPr>
        <w:t xml:space="preserve"> </w:t>
      </w:r>
      <w:r>
        <w:rPr>
          <w:rFonts w:hint="eastAsia"/>
          <w:spacing w:val="11"/>
          <w:lang w:val="en-US" w:eastAsia="zh-CN"/>
        </w:rPr>
        <w:t>0</w:t>
      </w:r>
      <w:r>
        <w:rPr>
          <w:spacing w:val="11"/>
        </w:rPr>
        <w:t>人,全部补助事业在职人数</w:t>
      </w:r>
      <w:r>
        <w:rPr>
          <w:rFonts w:hint="eastAsia"/>
          <w:spacing w:val="-41"/>
          <w:lang w:val="en-US" w:eastAsia="zh-CN"/>
        </w:rPr>
        <w:t>23</w:t>
      </w:r>
      <w:r>
        <w:rPr>
          <w:spacing w:val="10"/>
        </w:rPr>
        <w:t>人。</w:t>
      </w:r>
      <w:r>
        <w:rPr>
          <w:spacing w:val="7"/>
        </w:rPr>
        <w:t>离休人数小计</w:t>
      </w:r>
      <w:r>
        <w:rPr>
          <w:rFonts w:hint="eastAsia"/>
          <w:spacing w:val="-30"/>
          <w:lang w:val="en-US" w:eastAsia="zh-CN"/>
        </w:rPr>
        <w:t>0</w:t>
      </w:r>
      <w:r>
        <w:rPr>
          <w:spacing w:val="7"/>
        </w:rPr>
        <w:t>人,退休人数小计</w:t>
      </w:r>
      <w:r>
        <w:rPr>
          <w:rFonts w:hint="eastAsia"/>
          <w:spacing w:val="7"/>
          <w:lang w:val="en-US" w:eastAsia="zh-CN"/>
        </w:rPr>
        <w:t>44</w:t>
      </w:r>
      <w:r>
        <w:rPr>
          <w:spacing w:val="7"/>
        </w:rPr>
        <w:t>人,退职人员</w:t>
      </w:r>
      <w:r>
        <w:rPr>
          <w:spacing w:val="-44"/>
        </w:rPr>
        <w:t xml:space="preserve"> </w:t>
      </w:r>
      <w:r>
        <w:rPr>
          <w:rFonts w:hint="eastAsia"/>
          <w:spacing w:val="7"/>
          <w:lang w:val="en-US" w:eastAsia="zh-CN"/>
        </w:rPr>
        <w:t>0</w:t>
      </w:r>
      <w:r>
        <w:rPr>
          <w:spacing w:val="-55"/>
        </w:rPr>
        <w:t xml:space="preserve"> </w:t>
      </w:r>
      <w:r>
        <w:rPr>
          <w:spacing w:val="7"/>
        </w:rPr>
        <w:t>人,遗</w:t>
      </w:r>
      <w:r>
        <w:rPr>
          <w:spacing w:val="-2"/>
        </w:rPr>
        <w:t>属人数</w:t>
      </w:r>
      <w:r>
        <w:rPr>
          <w:rFonts w:hint="eastAsia"/>
          <w:spacing w:val="-47"/>
          <w:lang w:val="en-US" w:eastAsia="zh-CN"/>
        </w:rPr>
        <w:t>0</w:t>
      </w:r>
      <w:r>
        <w:rPr>
          <w:spacing w:val="-2"/>
        </w:rPr>
        <w:t>人。</w:t>
      </w:r>
    </w:p>
    <w:p w14:paraId="1BC72D05">
      <w:pPr>
        <w:pStyle w:val="19"/>
        <w:bidi w:val="0"/>
        <w:rPr>
          <w:rFonts w:hint="eastAsia" w:ascii="仿宋_GB2312" w:hAnsi="仿宋_GB2312" w:eastAsia="仿宋_GB2312" w:cs="仿宋_GB2312"/>
        </w:rPr>
      </w:pPr>
    </w:p>
    <w:p w14:paraId="2FD1BADB">
      <w:pPr>
        <w:widowControl/>
        <w:spacing w:line="580" w:lineRule="exact"/>
        <w:jc w:val="center"/>
        <w:rPr>
          <w:rFonts w:ascii="仿宋_GB2312" w:eastAsia="仿宋_GB2312"/>
          <w:b/>
          <w:szCs w:val="30"/>
        </w:rPr>
      </w:pPr>
    </w:p>
    <w:p w14:paraId="4B5AC877">
      <w:pPr>
        <w:pStyle w:val="18"/>
        <w:numPr>
          <w:ilvl w:val="0"/>
          <w:numId w:val="0"/>
        </w:numPr>
        <w:bidi w:val="0"/>
        <w:ind w:left="420" w:leftChars="200"/>
        <w:jc w:val="center"/>
        <w:rPr>
          <w:rFonts w:hint="eastAsia"/>
          <w:lang w:eastAsia="zh-CN"/>
        </w:rPr>
      </w:pPr>
      <w:r>
        <w:rPr>
          <w:rFonts w:hint="eastAsia"/>
          <w:lang w:eastAsia="zh-CN"/>
        </w:rPr>
        <w:t>第二部分  景德镇市珠山区教育体育局2026年</w:t>
      </w:r>
      <w:r>
        <w:rPr>
          <w:rFonts w:hint="eastAsia"/>
          <w:lang w:val="en-US" w:eastAsia="zh-CN"/>
        </w:rPr>
        <w:t>单位</w:t>
      </w:r>
      <w:r>
        <w:rPr>
          <w:rFonts w:hint="eastAsia"/>
          <w:lang w:eastAsia="zh-CN"/>
        </w:rPr>
        <w:t>预算表</w:t>
      </w:r>
    </w:p>
    <w:p w14:paraId="6831FCEA">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6234FA21">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338AAD89">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01177DCB">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07983F28">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201001景德镇市珠山区教育体育局</w:t>
            </w:r>
          </w:p>
        </w:tc>
        <w:tc>
          <w:tcPr>
            <w:tcW w:w="1655" w:type="pct"/>
            <w:noWrap/>
            <w:vAlign w:val="bottom"/>
          </w:tcPr>
          <w:p w14:paraId="66D1487E">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4D825EA5">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3CFC391B">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2EC842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7BD4D3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2A2DB66B">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5A6A84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4FD4A7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15A789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133FE9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047155D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37B5F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6E92FF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1,304.88</w:t>
            </w:r>
          </w:p>
        </w:tc>
        <w:tc>
          <w:tcPr>
            <w:tcW w:w="1655" w:type="pct"/>
            <w:tcBorders>
              <w:top w:val="nil"/>
              <w:left w:val="nil"/>
              <w:bottom w:val="single" w:color="000000" w:sz="4" w:space="0"/>
              <w:right w:val="single" w:color="000000" w:sz="4" w:space="0"/>
            </w:tcBorders>
            <w:noWrap/>
            <w:vAlign w:val="center"/>
          </w:tcPr>
          <w:p w14:paraId="497ADE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3209BA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1,498.48</w:t>
            </w:r>
          </w:p>
        </w:tc>
      </w:tr>
      <w:tr w14:paraId="310A223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E2ABC2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06936F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1,304.88</w:t>
            </w:r>
          </w:p>
        </w:tc>
        <w:tc>
          <w:tcPr>
            <w:tcW w:w="1655" w:type="pct"/>
            <w:tcBorders>
              <w:top w:val="nil"/>
              <w:left w:val="nil"/>
              <w:bottom w:val="single" w:color="000000" w:sz="4" w:space="0"/>
              <w:right w:val="single" w:color="000000" w:sz="4" w:space="0"/>
            </w:tcBorders>
            <w:noWrap/>
            <w:vAlign w:val="center"/>
          </w:tcPr>
          <w:p w14:paraId="49ED25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7DA14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F53E14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F404F1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589AEB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5F442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5A914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2F650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06A139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70BC51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202BB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DEEA8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7241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4F5719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416801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0750D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28809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FD5BB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E78238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7826A7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1877A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7037D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AF6B3E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150B0A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5AB877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4D53B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5883B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95E7D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89B413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2058F5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4F53A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BCC8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E99385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975ECC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216AAA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802DF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EAC57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FAE045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65611C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577300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56.00</w:t>
            </w:r>
          </w:p>
        </w:tc>
        <w:tc>
          <w:tcPr>
            <w:tcW w:w="1655" w:type="pct"/>
            <w:tcBorders>
              <w:top w:val="nil"/>
              <w:left w:val="nil"/>
              <w:bottom w:val="single" w:color="000000" w:sz="4" w:space="0"/>
              <w:right w:val="single" w:color="000000" w:sz="4" w:space="0"/>
            </w:tcBorders>
            <w:noWrap/>
            <w:vAlign w:val="center"/>
          </w:tcPr>
          <w:p w14:paraId="3299E2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435D7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CD490F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11FA8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2C891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94B3D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F3FD9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5BC20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945F91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B1321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57E4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1199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BBFF15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90E764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433E8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2857C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A1791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152A0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B1913F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10A19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A911B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0963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EB562E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29EF01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AD07B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199C2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0FCB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19DDA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AF4BA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E910C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854C0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ED0D9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B775B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99C37C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582FA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0EDD9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6F5D3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47FC4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270742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B24BC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C29F8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231A5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A69CA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8BCE44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D8758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9E046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0A6C1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FE949E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0F109F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97BC4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81FD2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2B14B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2E835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7F58FD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7762B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805BA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F6093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BD469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9529D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0760C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E5139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BA9DB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6CC478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C65D86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7247E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C1BF6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8C418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6FF62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2169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00BA1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FD650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644D9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01938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58E22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FF36A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1D8D5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39016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6D1F1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BDE710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C8508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1D28C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7E33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74BC6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A1F47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E19A9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B94E5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F402B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17BE0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00EF6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F22D4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D8C34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A6ACF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03A78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FDDE5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55758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491C4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1DBF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447DA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13525BC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0B1825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1,360.88</w:t>
            </w:r>
          </w:p>
        </w:tc>
        <w:tc>
          <w:tcPr>
            <w:tcW w:w="1655" w:type="pct"/>
            <w:tcBorders>
              <w:top w:val="nil"/>
              <w:left w:val="nil"/>
              <w:bottom w:val="single" w:color="auto" w:sz="4" w:space="0"/>
              <w:right w:val="single" w:color="000000" w:sz="4" w:space="0"/>
            </w:tcBorders>
            <w:noWrap/>
            <w:vAlign w:val="center"/>
          </w:tcPr>
          <w:p w14:paraId="1DD8EBA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4C2035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1,498.48</w:t>
            </w:r>
          </w:p>
        </w:tc>
      </w:tr>
      <w:tr w14:paraId="671ED5A3">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04A411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6A61D0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6715D8D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18B3BF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13495D7E">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460612A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50246D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137.60</w:t>
            </w:r>
          </w:p>
        </w:tc>
        <w:tc>
          <w:tcPr>
            <w:tcW w:w="1655" w:type="pct"/>
            <w:tcBorders>
              <w:top w:val="single" w:color="auto" w:sz="4" w:space="0"/>
              <w:left w:val="nil"/>
              <w:bottom w:val="single" w:color="auto" w:sz="4" w:space="0"/>
              <w:right w:val="single" w:color="000000" w:sz="4" w:space="0"/>
            </w:tcBorders>
            <w:noWrap/>
            <w:vAlign w:val="bottom"/>
          </w:tcPr>
          <w:p w14:paraId="0DFCBDC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76A2F3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0C44733">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2372BDA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5B1BFD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1,498.48</w:t>
            </w:r>
          </w:p>
        </w:tc>
        <w:tc>
          <w:tcPr>
            <w:tcW w:w="1655" w:type="pct"/>
            <w:tcBorders>
              <w:top w:val="single" w:color="auto" w:sz="4" w:space="0"/>
              <w:left w:val="single" w:color="auto" w:sz="4" w:space="0"/>
              <w:bottom w:val="single" w:color="auto" w:sz="4" w:space="0"/>
              <w:right w:val="single" w:color="auto" w:sz="4" w:space="0"/>
            </w:tcBorders>
            <w:noWrap/>
            <w:vAlign w:val="center"/>
          </w:tcPr>
          <w:p w14:paraId="703149F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31EF61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1,498.48</w:t>
            </w:r>
          </w:p>
        </w:tc>
      </w:tr>
    </w:tbl>
    <w:p w14:paraId="654C9662">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5449427F">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115BBF30">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01EC6019">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29BA8108">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填报单位:201001景德镇市珠山区教育体育局</w:t>
            </w:r>
          </w:p>
        </w:tc>
        <w:tc>
          <w:tcPr>
            <w:tcW w:w="366" w:type="pct"/>
            <w:tcBorders>
              <w:top w:val="nil"/>
              <w:left w:val="nil"/>
              <w:bottom w:val="single" w:color="auto" w:sz="4" w:space="0"/>
              <w:right w:val="nil"/>
            </w:tcBorders>
            <w:shd w:val="clear" w:color="auto" w:fill="auto"/>
            <w:noWrap/>
            <w:vAlign w:val="bottom"/>
          </w:tcPr>
          <w:p w14:paraId="22BBA444">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53A99F74">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411B47BD">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628EFD3">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41EA251C">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5BD6676B">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15F4DBD1">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619D4807">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3C861F50">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39C37C00">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6F74729B">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CEB21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8A8E8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7DE5F3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0A3EE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AC181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91DE9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F0380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9FCEE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DAB63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25540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515E0D95">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377AAA70">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7AB9E307">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3D5F561B">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3914685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6D999F5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4C3995E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56DDBB5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2F789AB5">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135F3235">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60C4F1A6">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2EB66D90">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1701E621">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1DCBC802">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5E0D21CB">
            <w:pPr>
              <w:widowControl/>
              <w:jc w:val="left"/>
              <w:rPr>
                <w:rFonts w:ascii="宋体" w:hAnsi="宋体" w:eastAsia="宋体" w:cs="Arial"/>
                <w:color w:val="000000"/>
                <w:kern w:val="0"/>
                <w:sz w:val="13"/>
                <w:szCs w:val="13"/>
              </w:rPr>
            </w:pPr>
          </w:p>
        </w:tc>
      </w:tr>
      <w:tr w14:paraId="7691D3D6">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3B32A2">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B419A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072EB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5012A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208CD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42118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887E8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EA114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96D58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05116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C57DC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708DC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86ED9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02159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5451E6C1">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2B0CFA">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景德镇市珠山区教育体育局</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B0B5E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1,498.48</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27C65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137.60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39E2B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1,304.88</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A8DEA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1,304.88</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7472E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49744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F61FB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D21DC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F8D16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14736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95878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49BED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56.00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24B936F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1BA39F40">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5CC853CC">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7A2470F0">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55341BE0">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4BBD54F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201001景德镇市珠山区教育体育局</w:t>
            </w:r>
          </w:p>
        </w:tc>
        <w:tc>
          <w:tcPr>
            <w:tcW w:w="914" w:type="pct"/>
            <w:tcBorders>
              <w:top w:val="nil"/>
              <w:left w:val="nil"/>
              <w:bottom w:val="nil"/>
              <w:right w:val="nil"/>
            </w:tcBorders>
            <w:shd w:val="clear" w:color="auto" w:fill="auto"/>
            <w:noWrap/>
            <w:vAlign w:val="bottom"/>
          </w:tcPr>
          <w:p w14:paraId="248E369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1575940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6E866B2D">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E1D0398">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2F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4231F5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6E4D14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C9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262BD0D">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6E06F9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2DA20D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67852B6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3B10CC4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0DF91746">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47975D2B">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78DFAE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628633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15AB07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5D71422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6927D1D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30F1A8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862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ABC01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DD52F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1,498.48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EAE01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720.88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C07A5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777.60</w:t>
            </w:r>
          </w:p>
        </w:tc>
      </w:tr>
      <w:tr w14:paraId="004C7C1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FD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BCF89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9BA23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1,498.48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72B1F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720.88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34C96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777.60</w:t>
            </w:r>
          </w:p>
        </w:tc>
      </w:tr>
      <w:tr w14:paraId="2C07437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FA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6452D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12727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720.88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B6B31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720.88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173D9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94B849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32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069AC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E68F9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720.88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07E07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720.88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9A74D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FCB058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31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C66D1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84C62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777.60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B9A1B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86C78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777.60</w:t>
            </w:r>
          </w:p>
        </w:tc>
      </w:tr>
      <w:tr w14:paraId="16D38ED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B2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F2DF3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8E1C4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214.60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C4A4F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36454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214.60</w:t>
            </w:r>
          </w:p>
        </w:tc>
      </w:tr>
      <w:tr w14:paraId="5F65F80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31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2263D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ADC2B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563.00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7631B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C938E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563.00</w:t>
            </w:r>
          </w:p>
        </w:tc>
      </w:tr>
    </w:tbl>
    <w:p w14:paraId="43F2ECF4">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62627C69">
        <w:tblPrEx>
          <w:tblCellMar>
            <w:top w:w="0" w:type="dxa"/>
            <w:left w:w="108" w:type="dxa"/>
            <w:bottom w:w="0" w:type="dxa"/>
            <w:right w:w="108" w:type="dxa"/>
          </w:tblCellMar>
        </w:tblPrEx>
        <w:trPr>
          <w:trHeight w:val="585" w:hRule="atLeast"/>
          <w:tblHeader/>
        </w:trPr>
        <w:tc>
          <w:tcPr>
            <w:tcW w:w="5000" w:type="pct"/>
            <w:gridSpan w:val="7"/>
            <w:noWrap/>
            <w:vAlign w:val="center"/>
          </w:tcPr>
          <w:p w14:paraId="627BEFEE">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7B1E6E78">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6FE4264F">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填报单位:201001景德镇市珠山区教育体育局</w:t>
            </w:r>
          </w:p>
        </w:tc>
        <w:tc>
          <w:tcPr>
            <w:tcW w:w="577" w:type="pct"/>
            <w:noWrap/>
            <w:vAlign w:val="bottom"/>
          </w:tcPr>
          <w:p w14:paraId="45C9AAA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4233CCB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0F576C3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5AD8E795">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23FEEC1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13AB99E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7F05FE3E">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0750418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6D3D9A5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5ED8D88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560CBCA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0AC8EAB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77A9B04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3A0B8D8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74F083F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816D0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3DA50DD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1,304.88</w:t>
            </w:r>
          </w:p>
        </w:tc>
        <w:tc>
          <w:tcPr>
            <w:tcW w:w="948" w:type="pct"/>
            <w:tcBorders>
              <w:top w:val="nil"/>
              <w:left w:val="nil"/>
              <w:bottom w:val="single" w:color="000000" w:sz="4" w:space="0"/>
              <w:right w:val="single" w:color="000000" w:sz="4" w:space="0"/>
            </w:tcBorders>
            <w:noWrap/>
            <w:vAlign w:val="center"/>
          </w:tcPr>
          <w:p w14:paraId="2F2F3E5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506A8D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1,442.48</w:t>
            </w:r>
          </w:p>
        </w:tc>
        <w:tc>
          <w:tcPr>
            <w:tcW w:w="612" w:type="pct"/>
            <w:tcBorders>
              <w:top w:val="nil"/>
              <w:left w:val="nil"/>
              <w:bottom w:val="single" w:color="000000" w:sz="4" w:space="0"/>
              <w:right w:val="single" w:color="000000" w:sz="4" w:space="0"/>
            </w:tcBorders>
            <w:noWrap/>
            <w:vAlign w:val="center"/>
          </w:tcPr>
          <w:p w14:paraId="45AD4B2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1,442.48</w:t>
            </w:r>
          </w:p>
        </w:tc>
        <w:tc>
          <w:tcPr>
            <w:tcW w:w="602" w:type="pct"/>
            <w:tcBorders>
              <w:top w:val="nil"/>
              <w:left w:val="nil"/>
              <w:bottom w:val="single" w:color="000000" w:sz="4" w:space="0"/>
              <w:right w:val="single" w:color="000000" w:sz="4" w:space="0"/>
            </w:tcBorders>
            <w:noWrap/>
            <w:vAlign w:val="center"/>
          </w:tcPr>
          <w:p w14:paraId="2EDBF91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2EAF160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206CCB2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5B858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61B351F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1,304.88</w:t>
            </w:r>
          </w:p>
        </w:tc>
        <w:tc>
          <w:tcPr>
            <w:tcW w:w="948" w:type="pct"/>
            <w:tcBorders>
              <w:top w:val="nil"/>
              <w:left w:val="single" w:color="000000" w:sz="4" w:space="0"/>
              <w:bottom w:val="single" w:color="000000" w:sz="4" w:space="0"/>
              <w:right w:val="single" w:color="000000" w:sz="4" w:space="0"/>
            </w:tcBorders>
            <w:noWrap/>
            <w:vAlign w:val="center"/>
          </w:tcPr>
          <w:p w14:paraId="7CCE29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E9137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48994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0751F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EDAA9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7126DC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E5F9A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5849340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750F7C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342B1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B767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A6C2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7D61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5403B7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5585ED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5A070EB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75531EB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2EF50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B579D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57BCB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6CE6B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03D9F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A939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3934E5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0FB2B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26425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C933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91AC4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3AB8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F1A91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E084D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DA5B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F7122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8A3AA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C100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C42B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822E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22FED8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54A6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4CBD66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4CCC0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29441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6CBE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47788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A9E2D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AF4D41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71BED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CC25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B8DAB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998C4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2C12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31DE3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AED30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1B54AF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7287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51357E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607A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B02B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32DE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D318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57932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ED18E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C1A8A6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1FEBC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F4B1C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FD583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345EE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6F4F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462B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C467FA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96BAB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6040DB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63407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FED24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80432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2122B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C56CD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5D5493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B0CC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10C8E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469E9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BB848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E31E4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7853F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D02F4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63B42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A446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B3A679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FD4A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783DE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264D5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0C11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9A75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BF346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FDDCE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B556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DAD01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B598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7A16D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6420F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96F1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0F2BA8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B2B9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C592B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18E11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92030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817B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4847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EC42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AAD47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93CCC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F03BF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ADD6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770E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50F3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89AA3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2D6F2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A82470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0608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34EE0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C9475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8A2F4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6F45E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D9777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4A611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F41122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D23E5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3592A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00AE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C3E03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E637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7C77E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D0901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D038A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5AE4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ABF67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F79DA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642D2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0390A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C09E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6DD03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B93C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B573E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03A57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EFC91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C2CE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36D1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0994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6956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90AEF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F6025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DE37D4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10217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164F0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CAFF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AD134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8E58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3F797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97AE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A24670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39F61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6B56A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B73FF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A7E7E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CE6B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826A8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A7633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43E455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1EA4C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9A01E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B1A01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886BC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B71F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116F7E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1FB77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F294E8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33561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166B3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0D73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7A01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3CD0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9C3806A">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0512FC0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20AEA1D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EA207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E483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E8838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857D0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CFE2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F1F155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62FF1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5586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E79DD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C6C20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1D01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BC37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86E1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88091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3365E3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AF851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668C1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3A629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F6999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E00D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5E4F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878339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8DFBF0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5AA47A2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EEE71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F3F87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FCA3E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B438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1F96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96735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5228C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EC08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D53B9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A9BE5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16B6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3AC1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B471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E616EF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F0766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7BC01BD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137.60　</w:t>
            </w:r>
          </w:p>
        </w:tc>
        <w:tc>
          <w:tcPr>
            <w:tcW w:w="948" w:type="pct"/>
            <w:tcBorders>
              <w:top w:val="nil"/>
              <w:left w:val="nil"/>
              <w:bottom w:val="single" w:color="auto" w:sz="4" w:space="0"/>
              <w:right w:val="single" w:color="000000" w:sz="4" w:space="0"/>
            </w:tcBorders>
            <w:noWrap/>
            <w:vAlign w:val="center"/>
          </w:tcPr>
          <w:p w14:paraId="575A2F94">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476934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75F95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9BAB0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90E8C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B41926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105E64F0">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411879D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137.60　</w:t>
            </w:r>
          </w:p>
        </w:tc>
        <w:tc>
          <w:tcPr>
            <w:tcW w:w="948" w:type="pct"/>
            <w:tcBorders>
              <w:top w:val="single" w:color="auto" w:sz="4" w:space="0"/>
              <w:left w:val="single" w:color="auto" w:sz="4" w:space="0"/>
              <w:bottom w:val="single" w:color="auto" w:sz="4" w:space="0"/>
              <w:right w:val="single" w:color="auto" w:sz="4" w:space="0"/>
            </w:tcBorders>
            <w:noWrap/>
            <w:vAlign w:val="center"/>
          </w:tcPr>
          <w:p w14:paraId="2551B49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5947D3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5AEA1E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26C998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41E36008">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0743C28">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BD4750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1A0540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2EED99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14CA14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65E5A1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301DA6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72255B70">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C6B1C21">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1C0021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3578898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1,442.48</w:t>
            </w:r>
          </w:p>
        </w:tc>
        <w:tc>
          <w:tcPr>
            <w:tcW w:w="948" w:type="pct"/>
            <w:tcBorders>
              <w:top w:val="single" w:color="auto" w:sz="4" w:space="0"/>
              <w:left w:val="single" w:color="auto" w:sz="4" w:space="0"/>
              <w:bottom w:val="single" w:color="auto" w:sz="4" w:space="0"/>
              <w:right w:val="single" w:color="auto" w:sz="4" w:space="0"/>
            </w:tcBorders>
            <w:noWrap/>
            <w:vAlign w:val="center"/>
          </w:tcPr>
          <w:p w14:paraId="7627775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5F463B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1,442.48</w:t>
            </w:r>
          </w:p>
        </w:tc>
        <w:tc>
          <w:tcPr>
            <w:tcW w:w="612" w:type="pct"/>
            <w:tcBorders>
              <w:top w:val="single" w:color="auto" w:sz="4" w:space="0"/>
              <w:left w:val="single" w:color="auto" w:sz="4" w:space="0"/>
              <w:bottom w:val="single" w:color="auto" w:sz="4" w:space="0"/>
              <w:right w:val="single" w:color="auto" w:sz="4" w:space="0"/>
            </w:tcBorders>
            <w:noWrap/>
            <w:vAlign w:val="center"/>
          </w:tcPr>
          <w:p w14:paraId="381721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1,442.48</w:t>
            </w:r>
          </w:p>
        </w:tc>
        <w:tc>
          <w:tcPr>
            <w:tcW w:w="602" w:type="pct"/>
            <w:tcBorders>
              <w:top w:val="single" w:color="auto" w:sz="4" w:space="0"/>
              <w:left w:val="single" w:color="auto" w:sz="4" w:space="0"/>
              <w:bottom w:val="single" w:color="auto" w:sz="4" w:space="0"/>
              <w:right w:val="single" w:color="auto" w:sz="4" w:space="0"/>
            </w:tcBorders>
            <w:noWrap/>
            <w:vAlign w:val="center"/>
          </w:tcPr>
          <w:p w14:paraId="7295A1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6FEFBF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56BEE317">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1433A6F6">
        <w:tblPrEx>
          <w:tblCellMar>
            <w:top w:w="0" w:type="dxa"/>
            <w:left w:w="108" w:type="dxa"/>
            <w:bottom w:w="0" w:type="dxa"/>
            <w:right w:w="108" w:type="dxa"/>
          </w:tblCellMar>
        </w:tblPrEx>
        <w:trPr>
          <w:trHeight w:val="585" w:hRule="atLeast"/>
          <w:tblHeader/>
        </w:trPr>
        <w:tc>
          <w:tcPr>
            <w:tcW w:w="5000" w:type="pct"/>
            <w:gridSpan w:val="5"/>
            <w:noWrap/>
            <w:vAlign w:val="center"/>
          </w:tcPr>
          <w:p w14:paraId="7255278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0DBFC1BE">
        <w:tblPrEx>
          <w:tblCellMar>
            <w:top w:w="0" w:type="dxa"/>
            <w:left w:w="108" w:type="dxa"/>
            <w:bottom w:w="0" w:type="dxa"/>
            <w:right w:w="108" w:type="dxa"/>
          </w:tblCellMar>
        </w:tblPrEx>
        <w:trPr>
          <w:trHeight w:val="420" w:hRule="atLeast"/>
          <w:tblHeader/>
        </w:trPr>
        <w:tc>
          <w:tcPr>
            <w:tcW w:w="2433" w:type="pct"/>
            <w:gridSpan w:val="2"/>
            <w:noWrap/>
            <w:vAlign w:val="center"/>
          </w:tcPr>
          <w:p w14:paraId="15FE4C12">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填报单位:201001景德镇市珠山区教育体育局</w:t>
            </w:r>
          </w:p>
        </w:tc>
        <w:tc>
          <w:tcPr>
            <w:tcW w:w="1056" w:type="pct"/>
            <w:noWrap/>
            <w:vAlign w:val="bottom"/>
          </w:tcPr>
          <w:p w14:paraId="4647FAF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1914C19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7725F57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B39400E">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52A35F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5B23E7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603549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5C8DB4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1AA0C3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3F0572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3D23F5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6DA301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3C5CD9A">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36EDF5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38FE20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477DA9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1CA038A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279B73D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4BFBA28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84957E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04DB0F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761469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1,304.88</w:t>
            </w:r>
          </w:p>
        </w:tc>
        <w:tc>
          <w:tcPr>
            <w:tcW w:w="684" w:type="pct"/>
            <w:tcBorders>
              <w:top w:val="single" w:color="000000" w:sz="4" w:space="0"/>
              <w:left w:val="nil"/>
              <w:bottom w:val="single" w:color="000000" w:sz="4" w:space="0"/>
              <w:right w:val="single" w:color="000000" w:sz="4" w:space="0"/>
            </w:tcBorders>
            <w:noWrap/>
            <w:vAlign w:val="center"/>
          </w:tcPr>
          <w:p w14:paraId="505856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664.88</w:t>
            </w:r>
          </w:p>
        </w:tc>
        <w:tc>
          <w:tcPr>
            <w:tcW w:w="825" w:type="pct"/>
            <w:tcBorders>
              <w:top w:val="single" w:color="000000" w:sz="4" w:space="0"/>
              <w:left w:val="nil"/>
              <w:bottom w:val="single" w:color="000000" w:sz="4" w:space="0"/>
              <w:right w:val="single" w:color="000000" w:sz="4" w:space="0"/>
            </w:tcBorders>
            <w:noWrap/>
            <w:vAlign w:val="center"/>
          </w:tcPr>
          <w:p w14:paraId="304309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640.00</w:t>
            </w:r>
          </w:p>
        </w:tc>
      </w:tr>
      <w:tr w14:paraId="00BE162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02039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298908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48DD0A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1,304.88</w:t>
            </w:r>
          </w:p>
        </w:tc>
        <w:tc>
          <w:tcPr>
            <w:tcW w:w="684" w:type="pct"/>
            <w:tcBorders>
              <w:top w:val="single" w:color="000000" w:sz="4" w:space="0"/>
              <w:left w:val="nil"/>
              <w:bottom w:val="single" w:color="000000" w:sz="4" w:space="0"/>
              <w:right w:val="single" w:color="000000" w:sz="4" w:space="0"/>
            </w:tcBorders>
            <w:noWrap/>
            <w:vAlign w:val="center"/>
          </w:tcPr>
          <w:p w14:paraId="0AEE4C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664.88</w:t>
            </w:r>
          </w:p>
        </w:tc>
        <w:tc>
          <w:tcPr>
            <w:tcW w:w="825" w:type="pct"/>
            <w:tcBorders>
              <w:top w:val="single" w:color="000000" w:sz="4" w:space="0"/>
              <w:left w:val="nil"/>
              <w:bottom w:val="single" w:color="000000" w:sz="4" w:space="0"/>
              <w:right w:val="single" w:color="000000" w:sz="4" w:space="0"/>
            </w:tcBorders>
            <w:noWrap/>
            <w:vAlign w:val="center"/>
          </w:tcPr>
          <w:p w14:paraId="31A32C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640.00</w:t>
            </w:r>
          </w:p>
        </w:tc>
      </w:tr>
      <w:tr w14:paraId="3F69E44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81138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20501</w:t>
            </w:r>
          </w:p>
        </w:tc>
        <w:tc>
          <w:tcPr>
            <w:tcW w:w="1579" w:type="pct"/>
            <w:tcBorders>
              <w:top w:val="single" w:color="000000" w:sz="4" w:space="0"/>
              <w:left w:val="nil"/>
              <w:bottom w:val="single" w:color="000000" w:sz="4" w:space="0"/>
              <w:right w:val="single" w:color="000000" w:sz="4" w:space="0"/>
            </w:tcBorders>
            <w:noWrap/>
            <w:vAlign w:val="center"/>
          </w:tcPr>
          <w:p w14:paraId="079830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教育管理事务</w:t>
            </w:r>
          </w:p>
        </w:tc>
        <w:tc>
          <w:tcPr>
            <w:tcW w:w="1056" w:type="pct"/>
            <w:tcBorders>
              <w:top w:val="single" w:color="000000" w:sz="4" w:space="0"/>
              <w:left w:val="nil"/>
              <w:bottom w:val="single" w:color="000000" w:sz="4" w:space="0"/>
              <w:right w:val="single" w:color="000000" w:sz="4" w:space="0"/>
            </w:tcBorders>
            <w:noWrap/>
            <w:vAlign w:val="center"/>
          </w:tcPr>
          <w:p w14:paraId="732C9A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664.88</w:t>
            </w:r>
          </w:p>
        </w:tc>
        <w:tc>
          <w:tcPr>
            <w:tcW w:w="684" w:type="pct"/>
            <w:tcBorders>
              <w:top w:val="single" w:color="000000" w:sz="4" w:space="0"/>
              <w:left w:val="nil"/>
              <w:bottom w:val="single" w:color="000000" w:sz="4" w:space="0"/>
              <w:right w:val="single" w:color="000000" w:sz="4" w:space="0"/>
            </w:tcBorders>
            <w:noWrap/>
            <w:vAlign w:val="center"/>
          </w:tcPr>
          <w:p w14:paraId="0BE148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664.88</w:t>
            </w:r>
          </w:p>
        </w:tc>
        <w:tc>
          <w:tcPr>
            <w:tcW w:w="825" w:type="pct"/>
            <w:tcBorders>
              <w:top w:val="single" w:color="000000" w:sz="4" w:space="0"/>
              <w:left w:val="nil"/>
              <w:bottom w:val="single" w:color="000000" w:sz="4" w:space="0"/>
              <w:right w:val="single" w:color="000000" w:sz="4" w:space="0"/>
            </w:tcBorders>
            <w:noWrap/>
            <w:vAlign w:val="center"/>
          </w:tcPr>
          <w:p w14:paraId="6DB9E6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68FFA0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0F84B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2050101</w:t>
            </w:r>
          </w:p>
        </w:tc>
        <w:tc>
          <w:tcPr>
            <w:tcW w:w="1579" w:type="pct"/>
            <w:tcBorders>
              <w:top w:val="single" w:color="000000" w:sz="4" w:space="0"/>
              <w:left w:val="nil"/>
              <w:bottom w:val="single" w:color="000000" w:sz="4" w:space="0"/>
              <w:right w:val="single" w:color="000000" w:sz="4" w:space="0"/>
            </w:tcBorders>
            <w:noWrap/>
            <w:vAlign w:val="center"/>
          </w:tcPr>
          <w:p w14:paraId="1D4A7D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20F7E5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664.88</w:t>
            </w:r>
          </w:p>
        </w:tc>
        <w:tc>
          <w:tcPr>
            <w:tcW w:w="684" w:type="pct"/>
            <w:tcBorders>
              <w:top w:val="single" w:color="000000" w:sz="4" w:space="0"/>
              <w:left w:val="nil"/>
              <w:bottom w:val="single" w:color="000000" w:sz="4" w:space="0"/>
              <w:right w:val="single" w:color="000000" w:sz="4" w:space="0"/>
            </w:tcBorders>
            <w:noWrap/>
            <w:vAlign w:val="center"/>
          </w:tcPr>
          <w:p w14:paraId="15151B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664.88</w:t>
            </w:r>
          </w:p>
        </w:tc>
        <w:tc>
          <w:tcPr>
            <w:tcW w:w="825" w:type="pct"/>
            <w:tcBorders>
              <w:top w:val="single" w:color="000000" w:sz="4" w:space="0"/>
              <w:left w:val="nil"/>
              <w:bottom w:val="single" w:color="000000" w:sz="4" w:space="0"/>
              <w:right w:val="single" w:color="000000" w:sz="4" w:space="0"/>
            </w:tcBorders>
            <w:noWrap/>
            <w:vAlign w:val="center"/>
          </w:tcPr>
          <w:p w14:paraId="69222A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4F85A6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69A11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471066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667DDC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640.00</w:t>
            </w:r>
          </w:p>
        </w:tc>
        <w:tc>
          <w:tcPr>
            <w:tcW w:w="684" w:type="pct"/>
            <w:tcBorders>
              <w:top w:val="single" w:color="000000" w:sz="4" w:space="0"/>
              <w:left w:val="nil"/>
              <w:bottom w:val="single" w:color="000000" w:sz="4" w:space="0"/>
              <w:right w:val="single" w:color="000000" w:sz="4" w:space="0"/>
            </w:tcBorders>
            <w:noWrap/>
            <w:vAlign w:val="center"/>
          </w:tcPr>
          <w:p w14:paraId="2DBDED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4FDE79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640.00</w:t>
            </w:r>
          </w:p>
        </w:tc>
      </w:tr>
      <w:tr w14:paraId="686D0D8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D50E5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579" w:type="pct"/>
            <w:tcBorders>
              <w:top w:val="single" w:color="000000" w:sz="4" w:space="0"/>
              <w:left w:val="nil"/>
              <w:bottom w:val="single" w:color="000000" w:sz="4" w:space="0"/>
              <w:right w:val="single" w:color="000000" w:sz="4" w:space="0"/>
            </w:tcBorders>
            <w:noWrap/>
            <w:vAlign w:val="center"/>
          </w:tcPr>
          <w:p w14:paraId="10E0D3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1056" w:type="pct"/>
            <w:tcBorders>
              <w:top w:val="single" w:color="000000" w:sz="4" w:space="0"/>
              <w:left w:val="nil"/>
              <w:bottom w:val="single" w:color="000000" w:sz="4" w:space="0"/>
              <w:right w:val="single" w:color="000000" w:sz="4" w:space="0"/>
            </w:tcBorders>
            <w:noWrap/>
            <w:vAlign w:val="center"/>
          </w:tcPr>
          <w:p w14:paraId="3CBA74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77.00</w:t>
            </w:r>
          </w:p>
        </w:tc>
        <w:tc>
          <w:tcPr>
            <w:tcW w:w="684" w:type="pct"/>
            <w:tcBorders>
              <w:top w:val="single" w:color="000000" w:sz="4" w:space="0"/>
              <w:left w:val="nil"/>
              <w:bottom w:val="single" w:color="000000" w:sz="4" w:space="0"/>
              <w:right w:val="single" w:color="000000" w:sz="4" w:space="0"/>
            </w:tcBorders>
            <w:noWrap/>
            <w:vAlign w:val="center"/>
          </w:tcPr>
          <w:p w14:paraId="7BD61A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5EC985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77.00</w:t>
            </w:r>
          </w:p>
        </w:tc>
      </w:tr>
      <w:tr w14:paraId="632E99D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E3BEE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579" w:type="pct"/>
            <w:tcBorders>
              <w:top w:val="single" w:color="000000" w:sz="4" w:space="0"/>
              <w:left w:val="nil"/>
              <w:bottom w:val="single" w:color="000000" w:sz="4" w:space="0"/>
              <w:right w:val="single" w:color="000000" w:sz="4" w:space="0"/>
            </w:tcBorders>
            <w:noWrap/>
            <w:vAlign w:val="center"/>
          </w:tcPr>
          <w:p w14:paraId="7DFCA8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1056" w:type="pct"/>
            <w:tcBorders>
              <w:top w:val="single" w:color="000000" w:sz="4" w:space="0"/>
              <w:left w:val="nil"/>
              <w:bottom w:val="single" w:color="000000" w:sz="4" w:space="0"/>
              <w:right w:val="single" w:color="000000" w:sz="4" w:space="0"/>
            </w:tcBorders>
            <w:noWrap/>
            <w:vAlign w:val="center"/>
          </w:tcPr>
          <w:p w14:paraId="1E596E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563.00</w:t>
            </w:r>
          </w:p>
        </w:tc>
        <w:tc>
          <w:tcPr>
            <w:tcW w:w="684" w:type="pct"/>
            <w:tcBorders>
              <w:top w:val="single" w:color="000000" w:sz="4" w:space="0"/>
              <w:left w:val="nil"/>
              <w:bottom w:val="single" w:color="000000" w:sz="4" w:space="0"/>
              <w:right w:val="single" w:color="000000" w:sz="4" w:space="0"/>
            </w:tcBorders>
            <w:noWrap/>
            <w:vAlign w:val="center"/>
          </w:tcPr>
          <w:p w14:paraId="696B33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6FABB1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563.00</w:t>
            </w:r>
          </w:p>
        </w:tc>
      </w:tr>
    </w:tbl>
    <w:p w14:paraId="6F725217">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0EF1EAFE">
        <w:tblPrEx>
          <w:tblCellMar>
            <w:top w:w="0" w:type="dxa"/>
            <w:left w:w="108" w:type="dxa"/>
            <w:bottom w:w="0" w:type="dxa"/>
            <w:right w:w="108" w:type="dxa"/>
          </w:tblCellMar>
        </w:tblPrEx>
        <w:trPr>
          <w:trHeight w:val="585" w:hRule="atLeast"/>
        </w:trPr>
        <w:tc>
          <w:tcPr>
            <w:tcW w:w="5000" w:type="pct"/>
            <w:gridSpan w:val="5"/>
            <w:noWrap/>
            <w:vAlign w:val="center"/>
          </w:tcPr>
          <w:p w14:paraId="099DD767">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37A374CB">
        <w:tblPrEx>
          <w:tblCellMar>
            <w:top w:w="0" w:type="dxa"/>
            <w:left w:w="108" w:type="dxa"/>
            <w:bottom w:w="0" w:type="dxa"/>
            <w:right w:w="108" w:type="dxa"/>
          </w:tblCellMar>
        </w:tblPrEx>
        <w:trPr>
          <w:trHeight w:val="420" w:hRule="atLeast"/>
        </w:trPr>
        <w:tc>
          <w:tcPr>
            <w:tcW w:w="2398" w:type="pct"/>
            <w:gridSpan w:val="2"/>
            <w:noWrap/>
            <w:vAlign w:val="center"/>
          </w:tcPr>
          <w:p w14:paraId="65D82FA3">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填报单位:201001景德镇市珠山区教育体育局</w:t>
            </w:r>
          </w:p>
        </w:tc>
        <w:tc>
          <w:tcPr>
            <w:tcW w:w="891" w:type="pct"/>
            <w:noWrap/>
            <w:vAlign w:val="bottom"/>
          </w:tcPr>
          <w:p w14:paraId="4D7EAF1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029411C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0474651C">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FDE386F">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53BFE2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2368FB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4AA09E56">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122224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0184A8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0314AF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7C0CA4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581C6A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13B1451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DE9D6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1978E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BF300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EFA15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75ACB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01FAEEA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234F72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F48AE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C7A5A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664.88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4C5C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625.82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A9A3B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39.06</w:t>
            </w:r>
          </w:p>
        </w:tc>
      </w:tr>
      <w:tr w14:paraId="43475CD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DD7F2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565E4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5AC6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552.55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8E782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552.55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9EEDC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E17CB1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04BE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06528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F27ED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188.68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C0CD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188.68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38C42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40DBA3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6704A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68C4A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447D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17.11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D12096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17.11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CCF8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9E63F6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9530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0C1C9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19EB1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19408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B3AE1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DCBB9E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8483A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21266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2A45E1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119.32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D397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119.32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C2D3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297571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5AD7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B6045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247DB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52.43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6E8D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52.43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8E0E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DA4CF1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E3E1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3BE5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722F9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22.28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F4924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22.28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BE864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0EE69F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E955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F1663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E4C652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6773A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7F45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3A0452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AC5B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FA5B6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9FFE8D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39.32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CB998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39.32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1FCFE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FF743A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CC009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2945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0744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110.20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1838E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110.20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57F5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938381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306E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E043A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9F0A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39.06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0684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3959A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39.06</w:t>
            </w:r>
          </w:p>
        </w:tc>
      </w:tr>
      <w:tr w14:paraId="184DB1A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0ED9E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E8EF2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71AD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28.68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8A8B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34E1C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28.68</w:t>
            </w:r>
          </w:p>
        </w:tc>
      </w:tr>
      <w:tr w14:paraId="2B9B19B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8DBE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6EB60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45259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186E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D552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6.12</w:t>
            </w:r>
          </w:p>
        </w:tc>
      </w:tr>
      <w:tr w14:paraId="48225D4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C50AF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2477F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5321B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8D19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34443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4.26</w:t>
            </w:r>
          </w:p>
        </w:tc>
      </w:tr>
      <w:tr w14:paraId="3DEEAC8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511B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88515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E8DA6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73.27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3FAA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73.27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84302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01AECF0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35F57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E7815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F9B0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67.99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6A1D6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67.99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7390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F1792E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3AAC2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9811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FC02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EEAED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5ABB3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6D15FA5D">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4D3A37C7">
        <w:tblPrEx>
          <w:tblCellMar>
            <w:top w:w="0" w:type="dxa"/>
            <w:left w:w="108" w:type="dxa"/>
            <w:bottom w:w="0" w:type="dxa"/>
            <w:right w:w="108" w:type="dxa"/>
          </w:tblCellMar>
        </w:tblPrEx>
        <w:trPr>
          <w:trHeight w:val="450" w:hRule="atLeast"/>
          <w:tblHeader/>
        </w:trPr>
        <w:tc>
          <w:tcPr>
            <w:tcW w:w="636" w:type="pct"/>
            <w:noWrap/>
            <w:vAlign w:val="bottom"/>
          </w:tcPr>
          <w:p w14:paraId="23CA71E1">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23CAD131">
            <w:pPr>
              <w:widowControl/>
              <w:jc w:val="left"/>
              <w:rPr>
                <w:rFonts w:ascii="Times New Roman" w:hAnsi="Times New Roman" w:eastAsia="宋体"/>
                <w:kern w:val="0"/>
                <w:sz w:val="20"/>
                <w:szCs w:val="20"/>
              </w:rPr>
            </w:pPr>
          </w:p>
        </w:tc>
        <w:tc>
          <w:tcPr>
            <w:tcW w:w="684" w:type="pct"/>
            <w:noWrap/>
            <w:vAlign w:val="bottom"/>
          </w:tcPr>
          <w:p w14:paraId="1140B660">
            <w:pPr>
              <w:widowControl/>
              <w:jc w:val="left"/>
              <w:rPr>
                <w:rFonts w:ascii="Times New Roman" w:hAnsi="Times New Roman" w:eastAsia="宋体"/>
                <w:kern w:val="0"/>
                <w:sz w:val="20"/>
                <w:szCs w:val="20"/>
              </w:rPr>
            </w:pPr>
          </w:p>
        </w:tc>
        <w:tc>
          <w:tcPr>
            <w:tcW w:w="538" w:type="pct"/>
            <w:noWrap/>
            <w:vAlign w:val="bottom"/>
          </w:tcPr>
          <w:p w14:paraId="24F55C1C">
            <w:pPr>
              <w:widowControl/>
              <w:jc w:val="left"/>
              <w:rPr>
                <w:rFonts w:ascii="Times New Roman" w:hAnsi="Times New Roman" w:eastAsia="宋体"/>
                <w:kern w:val="0"/>
                <w:sz w:val="20"/>
                <w:szCs w:val="20"/>
              </w:rPr>
            </w:pPr>
          </w:p>
        </w:tc>
        <w:tc>
          <w:tcPr>
            <w:tcW w:w="2836" w:type="pct"/>
            <w:gridSpan w:val="5"/>
            <w:noWrap/>
            <w:vAlign w:val="center"/>
          </w:tcPr>
          <w:p w14:paraId="313CF121">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013A2B10">
        <w:tblPrEx>
          <w:tblCellMar>
            <w:top w:w="0" w:type="dxa"/>
            <w:left w:w="108" w:type="dxa"/>
            <w:bottom w:w="0" w:type="dxa"/>
            <w:right w:w="108" w:type="dxa"/>
          </w:tblCellMar>
        </w:tblPrEx>
        <w:trPr>
          <w:trHeight w:val="485" w:hRule="atLeast"/>
          <w:tblHeader/>
        </w:trPr>
        <w:tc>
          <w:tcPr>
            <w:tcW w:w="5000" w:type="pct"/>
            <w:gridSpan w:val="9"/>
            <w:noWrap/>
            <w:vAlign w:val="center"/>
          </w:tcPr>
          <w:p w14:paraId="7D6E3AC8">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15569F18">
        <w:tblPrEx>
          <w:tblCellMar>
            <w:top w:w="0" w:type="dxa"/>
            <w:left w:w="108" w:type="dxa"/>
            <w:bottom w:w="0" w:type="dxa"/>
            <w:right w:w="108" w:type="dxa"/>
          </w:tblCellMar>
        </w:tblPrEx>
        <w:trPr>
          <w:trHeight w:val="340" w:hRule="atLeast"/>
          <w:tblHeader/>
        </w:trPr>
        <w:tc>
          <w:tcPr>
            <w:tcW w:w="2163" w:type="pct"/>
            <w:gridSpan w:val="4"/>
            <w:noWrap/>
            <w:vAlign w:val="center"/>
          </w:tcPr>
          <w:p w14:paraId="13F30A0E">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填报单位:201001景德镇市珠山区教育体育局</w:t>
            </w:r>
          </w:p>
        </w:tc>
        <w:tc>
          <w:tcPr>
            <w:tcW w:w="742" w:type="pct"/>
            <w:noWrap/>
            <w:vAlign w:val="bottom"/>
          </w:tcPr>
          <w:p w14:paraId="455F6A75">
            <w:pPr>
              <w:widowControl/>
              <w:jc w:val="left"/>
              <w:rPr>
                <w:rFonts w:ascii="Times New Roman" w:hAnsi="Times New Roman" w:eastAsia="宋体"/>
                <w:kern w:val="0"/>
                <w:sz w:val="20"/>
                <w:szCs w:val="20"/>
              </w:rPr>
            </w:pPr>
          </w:p>
        </w:tc>
        <w:tc>
          <w:tcPr>
            <w:tcW w:w="474" w:type="pct"/>
            <w:noWrap/>
            <w:vAlign w:val="bottom"/>
          </w:tcPr>
          <w:p w14:paraId="527DE8DA">
            <w:pPr>
              <w:widowControl/>
              <w:jc w:val="left"/>
              <w:rPr>
                <w:rFonts w:ascii="Times New Roman" w:hAnsi="Times New Roman" w:eastAsia="宋体"/>
                <w:kern w:val="0"/>
                <w:sz w:val="20"/>
                <w:szCs w:val="20"/>
              </w:rPr>
            </w:pPr>
          </w:p>
        </w:tc>
        <w:tc>
          <w:tcPr>
            <w:tcW w:w="596" w:type="pct"/>
            <w:noWrap/>
            <w:vAlign w:val="bottom"/>
          </w:tcPr>
          <w:p w14:paraId="4FCEEA52">
            <w:pPr>
              <w:widowControl/>
              <w:jc w:val="left"/>
              <w:rPr>
                <w:rFonts w:ascii="Times New Roman" w:hAnsi="Times New Roman" w:eastAsia="宋体"/>
                <w:kern w:val="0"/>
                <w:sz w:val="20"/>
                <w:szCs w:val="20"/>
              </w:rPr>
            </w:pPr>
          </w:p>
        </w:tc>
        <w:tc>
          <w:tcPr>
            <w:tcW w:w="1023" w:type="pct"/>
            <w:gridSpan w:val="2"/>
            <w:noWrap/>
            <w:vAlign w:val="bottom"/>
          </w:tcPr>
          <w:p w14:paraId="1BE0BDDE">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528C7BC0">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5C7D0C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64BE63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1ADF27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65249B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1BB3179E">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16F0D92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0B2095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392554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25639E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5857B44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7561D8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4F3FBC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03F709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615DEF99">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305D742B">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53C274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5283BD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01CC54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7BFB16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04BB0D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7FB15D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20D65F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69C75460">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333D6C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6.12</w:t>
            </w:r>
          </w:p>
        </w:tc>
        <w:tc>
          <w:tcPr>
            <w:tcW w:w="684" w:type="pct"/>
            <w:tcBorders>
              <w:top w:val="single" w:color="000000" w:sz="4" w:space="0"/>
              <w:left w:val="nil"/>
              <w:bottom w:val="single" w:color="000000" w:sz="4" w:space="0"/>
              <w:right w:val="single" w:color="000000" w:sz="4" w:space="0"/>
            </w:tcBorders>
            <w:vAlign w:val="center"/>
          </w:tcPr>
          <w:p w14:paraId="515140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232100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3E708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2355AE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6.12</w:t>
            </w:r>
          </w:p>
        </w:tc>
        <w:tc>
          <w:tcPr>
            <w:tcW w:w="596" w:type="pct"/>
            <w:tcBorders>
              <w:top w:val="single" w:color="000000" w:sz="4" w:space="0"/>
              <w:left w:val="single" w:color="000000" w:sz="4" w:space="0"/>
              <w:bottom w:val="single" w:color="000000" w:sz="4" w:space="0"/>
              <w:right w:val="nil"/>
            </w:tcBorders>
            <w:vAlign w:val="center"/>
          </w:tcPr>
          <w:p w14:paraId="5C9847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15F015C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01F891C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60A3486F">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B8BE202">
        <w:tblPrEx>
          <w:tblCellMar>
            <w:top w:w="0" w:type="dxa"/>
            <w:left w:w="108" w:type="dxa"/>
            <w:bottom w:w="0" w:type="dxa"/>
            <w:right w:w="108" w:type="dxa"/>
          </w:tblCellMar>
        </w:tblPrEx>
        <w:trPr>
          <w:trHeight w:val="507" w:hRule="atLeast"/>
          <w:tblHeader/>
        </w:trPr>
        <w:tc>
          <w:tcPr>
            <w:tcW w:w="976" w:type="pct"/>
            <w:noWrap/>
            <w:vAlign w:val="bottom"/>
          </w:tcPr>
          <w:p w14:paraId="729F2750">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3E327C98">
            <w:pPr>
              <w:widowControl/>
              <w:jc w:val="left"/>
              <w:rPr>
                <w:rFonts w:ascii="Times New Roman" w:hAnsi="Times New Roman" w:eastAsia="宋体"/>
                <w:kern w:val="0"/>
                <w:sz w:val="20"/>
                <w:szCs w:val="20"/>
              </w:rPr>
            </w:pPr>
          </w:p>
        </w:tc>
        <w:tc>
          <w:tcPr>
            <w:tcW w:w="2801" w:type="pct"/>
            <w:gridSpan w:val="3"/>
            <w:noWrap/>
            <w:vAlign w:val="center"/>
          </w:tcPr>
          <w:p w14:paraId="4835195D">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78F1B916">
        <w:tblPrEx>
          <w:tblCellMar>
            <w:top w:w="0" w:type="dxa"/>
            <w:left w:w="108" w:type="dxa"/>
            <w:bottom w:w="0" w:type="dxa"/>
            <w:right w:w="108" w:type="dxa"/>
          </w:tblCellMar>
        </w:tblPrEx>
        <w:trPr>
          <w:trHeight w:val="564" w:hRule="atLeast"/>
          <w:tblHeader/>
        </w:trPr>
        <w:tc>
          <w:tcPr>
            <w:tcW w:w="5000" w:type="pct"/>
            <w:gridSpan w:val="5"/>
            <w:noWrap/>
            <w:vAlign w:val="center"/>
          </w:tcPr>
          <w:p w14:paraId="2E9754A8">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1A000ED0">
        <w:tblPrEx>
          <w:tblCellMar>
            <w:top w:w="0" w:type="dxa"/>
            <w:left w:w="108" w:type="dxa"/>
            <w:bottom w:w="0" w:type="dxa"/>
            <w:right w:w="108" w:type="dxa"/>
          </w:tblCellMar>
        </w:tblPrEx>
        <w:trPr>
          <w:trHeight w:val="405" w:hRule="atLeast"/>
          <w:tblHeader/>
        </w:trPr>
        <w:tc>
          <w:tcPr>
            <w:tcW w:w="2198" w:type="pct"/>
            <w:gridSpan w:val="2"/>
            <w:noWrap/>
            <w:vAlign w:val="center"/>
          </w:tcPr>
          <w:p w14:paraId="777195C0">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填报单位:201001景德镇市珠山区教育体育局</w:t>
            </w:r>
          </w:p>
        </w:tc>
        <w:tc>
          <w:tcPr>
            <w:tcW w:w="1099" w:type="pct"/>
            <w:noWrap/>
            <w:vAlign w:val="bottom"/>
          </w:tcPr>
          <w:p w14:paraId="4DE081D4">
            <w:pPr>
              <w:rPr>
                <w:rFonts w:hint="eastAsia" w:ascii="宋体" w:hAnsi="宋体" w:eastAsia="宋体" w:cs="Arial"/>
                <w:color w:val="000000"/>
                <w:kern w:val="0"/>
                <w:sz w:val="24"/>
                <w:szCs w:val="24"/>
              </w:rPr>
            </w:pPr>
          </w:p>
        </w:tc>
        <w:tc>
          <w:tcPr>
            <w:tcW w:w="766" w:type="pct"/>
            <w:noWrap/>
            <w:vAlign w:val="bottom"/>
          </w:tcPr>
          <w:p w14:paraId="0C0073CD">
            <w:pPr>
              <w:widowControl/>
              <w:jc w:val="left"/>
              <w:rPr>
                <w:rFonts w:ascii="Times New Roman" w:hAnsi="Times New Roman" w:eastAsia="宋体"/>
                <w:kern w:val="0"/>
                <w:sz w:val="20"/>
                <w:szCs w:val="20"/>
              </w:rPr>
            </w:pPr>
          </w:p>
        </w:tc>
        <w:tc>
          <w:tcPr>
            <w:tcW w:w="935" w:type="pct"/>
            <w:noWrap/>
            <w:vAlign w:val="center"/>
          </w:tcPr>
          <w:p w14:paraId="4B547B3A">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3FCB1DD">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6C4B85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104BE9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B73A8E8">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D4ECA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511B40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7B388B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4F5E4C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0A43AB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7A6740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A5097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62EBD8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4480E1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60B99A4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0BD17AC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D0F616A">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7258CB0A">
        <w:tblPrEx>
          <w:tblCellMar>
            <w:top w:w="0" w:type="dxa"/>
            <w:left w:w="108" w:type="dxa"/>
            <w:bottom w:w="0" w:type="dxa"/>
            <w:right w:w="108" w:type="dxa"/>
          </w:tblCellMar>
        </w:tblPrEx>
        <w:trPr>
          <w:trHeight w:val="619" w:hRule="atLeast"/>
          <w:tblHeader/>
        </w:trPr>
        <w:tc>
          <w:tcPr>
            <w:tcW w:w="960" w:type="pct"/>
            <w:noWrap/>
            <w:vAlign w:val="bottom"/>
          </w:tcPr>
          <w:p w14:paraId="3B2A428D">
            <w:pPr>
              <w:rPr>
                <w:rStyle w:val="13"/>
                <w:rFonts w:hint="eastAsia" w:ascii="仿宋" w:hAnsi="仿宋" w:eastAsia="仿宋"/>
                <w:bCs/>
                <w:sz w:val="32"/>
                <w:szCs w:val="32"/>
              </w:rPr>
            </w:pPr>
          </w:p>
        </w:tc>
        <w:tc>
          <w:tcPr>
            <w:tcW w:w="1233" w:type="pct"/>
            <w:noWrap/>
            <w:vAlign w:val="bottom"/>
          </w:tcPr>
          <w:p w14:paraId="63A7275D">
            <w:pPr>
              <w:widowControl/>
              <w:jc w:val="left"/>
              <w:rPr>
                <w:rFonts w:ascii="Times New Roman" w:hAnsi="Times New Roman" w:eastAsia="宋体"/>
                <w:kern w:val="0"/>
                <w:sz w:val="20"/>
                <w:szCs w:val="20"/>
              </w:rPr>
            </w:pPr>
          </w:p>
        </w:tc>
        <w:tc>
          <w:tcPr>
            <w:tcW w:w="2805" w:type="pct"/>
            <w:gridSpan w:val="3"/>
            <w:noWrap/>
            <w:vAlign w:val="center"/>
          </w:tcPr>
          <w:p w14:paraId="4E15D29D">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31AC574D">
        <w:tblPrEx>
          <w:tblCellMar>
            <w:top w:w="0" w:type="dxa"/>
            <w:left w:w="108" w:type="dxa"/>
            <w:bottom w:w="0" w:type="dxa"/>
            <w:right w:w="108" w:type="dxa"/>
          </w:tblCellMar>
        </w:tblPrEx>
        <w:trPr>
          <w:trHeight w:val="613" w:hRule="atLeast"/>
          <w:tblHeader/>
        </w:trPr>
        <w:tc>
          <w:tcPr>
            <w:tcW w:w="5000" w:type="pct"/>
            <w:gridSpan w:val="5"/>
            <w:noWrap/>
            <w:vAlign w:val="center"/>
          </w:tcPr>
          <w:p w14:paraId="5C892BA9">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1C923995">
        <w:tblPrEx>
          <w:tblCellMar>
            <w:top w:w="0" w:type="dxa"/>
            <w:left w:w="108" w:type="dxa"/>
            <w:bottom w:w="0" w:type="dxa"/>
            <w:right w:w="108" w:type="dxa"/>
          </w:tblCellMar>
        </w:tblPrEx>
        <w:trPr>
          <w:trHeight w:val="413" w:hRule="atLeast"/>
          <w:tblHeader/>
        </w:trPr>
        <w:tc>
          <w:tcPr>
            <w:tcW w:w="3282" w:type="pct"/>
            <w:gridSpan w:val="3"/>
            <w:noWrap/>
            <w:vAlign w:val="center"/>
          </w:tcPr>
          <w:p w14:paraId="17E0644F">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填报单位:201001景德镇市珠山区教育体育局</w:t>
            </w:r>
          </w:p>
        </w:tc>
        <w:tc>
          <w:tcPr>
            <w:tcW w:w="762" w:type="pct"/>
            <w:noWrap/>
            <w:vAlign w:val="bottom"/>
          </w:tcPr>
          <w:p w14:paraId="5575F9F8">
            <w:pPr>
              <w:widowControl/>
              <w:jc w:val="left"/>
              <w:rPr>
                <w:rFonts w:ascii="Times New Roman" w:hAnsi="Times New Roman" w:eastAsia="宋体"/>
                <w:kern w:val="0"/>
                <w:sz w:val="20"/>
                <w:szCs w:val="20"/>
              </w:rPr>
            </w:pPr>
          </w:p>
        </w:tc>
        <w:tc>
          <w:tcPr>
            <w:tcW w:w="954" w:type="pct"/>
            <w:noWrap/>
            <w:vAlign w:val="center"/>
          </w:tcPr>
          <w:p w14:paraId="3FC4D101">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2DD1C97">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4C1865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42A3BF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5019B6F">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100896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29CFEE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45982A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5554F4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3A26ED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48C33CB">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575A8B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222FEE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2189BA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06AC1B9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581FED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1735EB8">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p w14:paraId="188F0D63">
      <w:pPr>
        <w:rPr>
          <w:rFonts w:hint="eastAsia"/>
          <w:lang w:eastAsia="zh-CN"/>
        </w:rPr>
        <w:sectPr>
          <w:pgSz w:w="11906" w:h="16838"/>
          <w:pgMar w:top="720" w:right="720" w:bottom="720" w:left="720" w:header="851" w:footer="992" w:gutter="0"/>
          <w:cols w:space="425" w:num="1"/>
          <w:docGrid w:type="lines" w:linePitch="312" w:charSpace="0"/>
        </w:sectPr>
      </w:pPr>
    </w:p>
    <w:tbl>
      <w:tblPr>
        <w:tblStyle w:val="7"/>
        <w:tblW w:w="9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4"/>
        <w:gridCol w:w="1530"/>
        <w:gridCol w:w="3105"/>
        <w:gridCol w:w="878"/>
        <w:gridCol w:w="1401"/>
        <w:gridCol w:w="1282"/>
      </w:tblGrid>
      <w:tr w14:paraId="1086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480" w:type="dxa"/>
            <w:gridSpan w:val="6"/>
            <w:tcBorders>
              <w:top w:val="nil"/>
              <w:left w:val="nil"/>
              <w:bottom w:val="nil"/>
              <w:right w:val="nil"/>
            </w:tcBorders>
            <w:shd w:val="clear" w:color="auto" w:fill="auto"/>
            <w:noWrap/>
            <w:vAlign w:val="center"/>
          </w:tcPr>
          <w:p w14:paraId="62BBA4A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教育综合事务管理_学校保安经费绩效目标表</w:t>
            </w:r>
          </w:p>
        </w:tc>
      </w:tr>
      <w:tr w14:paraId="3369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7"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708F">
            <w:pPr>
              <w:keepNext w:val="0"/>
              <w:keepLines w:val="0"/>
              <w:widowControl/>
              <w:suppressLineNumbers w:val="0"/>
              <w:jc w:val="left"/>
              <w:textAlignment w:val="center"/>
              <w:rPr>
                <w:rFonts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绩效目标</w:t>
            </w:r>
          </w:p>
        </w:tc>
        <w:tc>
          <w:tcPr>
            <w:tcW w:w="8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175A9A">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Theme="minorEastAsia" w:hAnsiTheme="minorEastAsia" w:eastAsiaTheme="minorEastAsia" w:cstheme="minorEastAsia"/>
                <w:b w:val="0"/>
                <w:i w:val="0"/>
                <w:iCs w:val="0"/>
                <w:color w:val="000000"/>
                <w:kern w:val="0"/>
                <w:sz w:val="18"/>
                <w:szCs w:val="18"/>
                <w:u w:val="none"/>
                <w:lang w:val="en-US" w:eastAsia="zh-CN" w:bidi="ar"/>
              </w:rPr>
              <w:t>本项目资金298万元，为保障全区26所学校校园师生安全，配备85名保安，加强校园内部及周边安全，构建完善校园安全防范体系，确保校园安全工作三个百分之百，按在校学生数配足配齐安保人员，防止发生校园重大案事件，维护校园安全稳定。校保安经费是指专门用于学校安全保卫工作经费，主要是用于支付保安人员的工资。该项经费是维护校园秩序，保障师生安全的费用。</w:t>
            </w:r>
          </w:p>
        </w:tc>
      </w:tr>
      <w:tr w14:paraId="2189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8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3440">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分解指标</w:t>
            </w:r>
          </w:p>
        </w:tc>
      </w:tr>
      <w:tr w14:paraId="79C1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7D66">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一级指标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D356">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二级指标</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D424">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指标名称</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FEE7">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计算符号</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96EE">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指标值</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F340">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计量单位</w:t>
            </w:r>
          </w:p>
        </w:tc>
      </w:tr>
      <w:tr w14:paraId="7E35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DB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EF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8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实施金额</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A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9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F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r>
      <w:tr w14:paraId="7AF3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97A8D">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32C07">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3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保安工资</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C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B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B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元/月/人</w:t>
            </w:r>
          </w:p>
        </w:tc>
      </w:tr>
      <w:tr w14:paraId="16BF4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E5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FB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2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保安日巡查次数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9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F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8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r>
      <w:tr w14:paraId="4EE2C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1D240">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FE9B5">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2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保安应急演练次数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4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F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2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r>
      <w:tr w14:paraId="6B045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E6EBE">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67D6F">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5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配备保安人数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7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5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B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r>
      <w:tr w14:paraId="6003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0B6F4">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8806D">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B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保障在校学生数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C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4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0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r>
      <w:tr w14:paraId="764F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B3054">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2D3EB">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F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保障在校教职工数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5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1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5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r>
      <w:tr w14:paraId="629B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473E2">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45F19">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D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配备保安学校所数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D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7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F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w:t>
            </w:r>
          </w:p>
        </w:tc>
      </w:tr>
      <w:tr w14:paraId="0E799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A4421">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58F59">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9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保安培训次数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B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0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D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r>
      <w:tr w14:paraId="5558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C9632">
            <w:pPr>
              <w:jc w:val="center"/>
              <w:rPr>
                <w:rFonts w:hint="eastAsia" w:ascii="宋体" w:hAnsi="宋体" w:eastAsia="宋体" w:cs="宋体"/>
                <w:i w:val="0"/>
                <w:iCs w:val="0"/>
                <w:color w:val="000000"/>
                <w:sz w:val="20"/>
                <w:szCs w:val="20"/>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61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D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安保人员持证上岗率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D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A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5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47D5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B7EB3">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BFF98">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6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安保服务的合规率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B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8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B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BDF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76D11">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6ABBD">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D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保安应急演练的达标率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A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3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B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94F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1A170">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589B7">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D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安保人员年龄合格率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2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B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0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E31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12112">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1468D">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1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安保人员到岗率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8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1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9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BAED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4477F">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35CA4">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2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安保人员岗前培训合格率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4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6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A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158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DF8FF">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6CB6A">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4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资金使用合规率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5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1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8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00F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E1220">
            <w:pPr>
              <w:jc w:val="center"/>
              <w:rPr>
                <w:rFonts w:hint="eastAsia" w:ascii="宋体" w:hAnsi="宋体" w:eastAsia="宋体" w:cs="宋体"/>
                <w:i w:val="0"/>
                <w:iCs w:val="0"/>
                <w:color w:val="000000"/>
                <w:sz w:val="20"/>
                <w:szCs w:val="20"/>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67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5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保安巡查的及时率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9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4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1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36B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26A1E">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A4B3E">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C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保安应急演练开展的及时率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F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A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1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5F42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9A316">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26BC5">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4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隐患上报的及时率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6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D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7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2EF7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A1991">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4BE76">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7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突发状况处理的及时率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7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2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7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BFFB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5BAE0">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C7141">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D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安保人员培训及时率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E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A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4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405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B4D8B">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D9B1B">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3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安保人员到岗及时率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3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1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F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309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EBF09">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80697">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A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资金拨付及时率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8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0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0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2A4E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55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9A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B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安全事故发生率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6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4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3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9E5B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22467">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8DCDE">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0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校园欺凌与暴力早期发现干预率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B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6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A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8D6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8C018">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3FE00">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1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维护校园秩序，保障师生安全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2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A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有效保障</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658D">
            <w:pPr>
              <w:jc w:val="center"/>
              <w:rPr>
                <w:rFonts w:hint="eastAsia" w:ascii="宋体" w:hAnsi="宋体" w:eastAsia="宋体" w:cs="宋体"/>
                <w:i w:val="0"/>
                <w:iCs w:val="0"/>
                <w:color w:val="000000"/>
                <w:sz w:val="20"/>
                <w:szCs w:val="20"/>
                <w:u w:val="none"/>
              </w:rPr>
            </w:pPr>
          </w:p>
        </w:tc>
      </w:tr>
      <w:tr w14:paraId="0905B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0E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06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3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家长满意度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A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E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0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C1A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808A5">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5AA24">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B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师生满意度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B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8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A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14:paraId="39E5B316">
      <w:pPr>
        <w:pStyle w:val="18"/>
        <w:numPr>
          <w:ilvl w:val="0"/>
          <w:numId w:val="0"/>
        </w:numPr>
        <w:bidi w:val="0"/>
        <w:ind w:left="420" w:leftChars="200"/>
        <w:jc w:val="center"/>
        <w:rPr>
          <w:rFonts w:hint="eastAsia"/>
          <w:lang w:val="en-US" w:eastAsia="zh-CN"/>
        </w:rPr>
      </w:pPr>
    </w:p>
    <w:p w14:paraId="6F18E948">
      <w:pPr>
        <w:pStyle w:val="18"/>
        <w:numPr>
          <w:ilvl w:val="0"/>
          <w:numId w:val="0"/>
        </w:numPr>
        <w:bidi w:val="0"/>
        <w:ind w:left="420" w:leftChars="200"/>
        <w:jc w:val="center"/>
        <w:rPr>
          <w:rFonts w:hint="eastAsia"/>
          <w:lang w:eastAsia="zh-CN"/>
        </w:rPr>
      </w:pPr>
      <w:r>
        <w:rPr>
          <w:rFonts w:hint="eastAsia"/>
          <w:lang w:val="en-US" w:eastAsia="zh-CN"/>
        </w:rPr>
        <w:t>第三部分  景德镇市珠山区教育体育局2026年单位预算情况说明</w:t>
      </w:r>
    </w:p>
    <w:p w14:paraId="4457751F">
      <w:pPr>
        <w:widowControl/>
        <w:spacing w:line="580" w:lineRule="exact"/>
        <w:jc w:val="center"/>
        <w:rPr>
          <w:rFonts w:ascii="仿宋_GB2312" w:eastAsia="仿宋_GB2312"/>
          <w:b/>
          <w:sz w:val="32"/>
          <w:szCs w:val="30"/>
        </w:rPr>
      </w:pPr>
    </w:p>
    <w:p w14:paraId="4E51524D">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4EABB092">
      <w:pPr>
        <w:pStyle w:val="20"/>
        <w:numPr>
          <w:ilvl w:val="0"/>
          <w:numId w:val="0"/>
        </w:numPr>
        <w:bidi w:val="0"/>
        <w:ind w:left="420" w:leftChars="200"/>
        <w:rPr>
          <w:rFonts w:hint="eastAsia"/>
        </w:rPr>
      </w:pPr>
      <w:r>
        <w:rPr>
          <w:rFonts w:hint="eastAsia"/>
        </w:rPr>
        <w:t xml:space="preserve"> (一)收入预算情况</w:t>
      </w:r>
    </w:p>
    <w:p w14:paraId="1FB44EC4">
      <w:pPr>
        <w:pStyle w:val="19"/>
        <w:bidi w:val="0"/>
        <w:rPr>
          <w:rFonts w:hint="eastAsia"/>
        </w:rPr>
      </w:pPr>
      <w:r>
        <w:rPr>
          <w:rFonts w:hint="eastAsia"/>
          <w:lang w:eastAsia="zh-CN"/>
        </w:rPr>
        <w:t>2026</w:t>
      </w:r>
      <w:r>
        <w:rPr>
          <w:rFonts w:hint="eastAsia"/>
        </w:rPr>
        <w:t>年</w:t>
      </w:r>
      <w:r>
        <w:rPr>
          <w:rFonts w:hint="eastAsia"/>
          <w:lang w:eastAsia="zh-CN"/>
        </w:rPr>
        <w:t>景德镇市珠山区教育体育局</w:t>
      </w:r>
      <w:r>
        <w:rPr>
          <w:rFonts w:hint="eastAsia"/>
        </w:rPr>
        <w:t>收入预算总额为1498.48万元</w:t>
      </w:r>
      <w:r>
        <w:rPr>
          <w:rFonts w:hint="eastAsia"/>
          <w:lang w:eastAsia="zh-CN"/>
        </w:rPr>
        <w:t>，</w:t>
      </w:r>
      <w:r>
        <w:rPr>
          <w:rFonts w:hint="eastAsia"/>
        </w:rPr>
        <w:t>较上年预算安排减少</w:t>
      </w:r>
      <w:r>
        <w:rPr>
          <w:rFonts w:hint="eastAsia"/>
          <w:lang w:val="en-US" w:eastAsia="zh-CN"/>
        </w:rPr>
        <w:t>789.34</w:t>
      </w:r>
      <w:r>
        <w:rPr>
          <w:rFonts w:hint="eastAsia"/>
        </w:rPr>
        <w:t>万元</w:t>
      </w:r>
      <w:r>
        <w:rPr>
          <w:rFonts w:hint="eastAsia"/>
          <w:lang w:eastAsia="zh-CN"/>
        </w:rPr>
        <w:t>；本年收入合计1360.88万元，较上年预算安排减少</w:t>
      </w:r>
      <w:r>
        <w:rPr>
          <w:rFonts w:hint="eastAsia"/>
          <w:lang w:val="en-US" w:eastAsia="zh-CN"/>
        </w:rPr>
        <w:t>863.15</w:t>
      </w:r>
      <w:r>
        <w:rPr>
          <w:rFonts w:hint="eastAsia"/>
          <w:lang w:eastAsia="zh-CN"/>
        </w:rPr>
        <w:t>万元；包括：财政拨款收入1304.88万元，较上年预算安排减少</w:t>
      </w:r>
      <w:r>
        <w:rPr>
          <w:rFonts w:hint="eastAsia"/>
          <w:lang w:val="en-US" w:eastAsia="zh-CN"/>
        </w:rPr>
        <w:t>639.15</w:t>
      </w:r>
      <w:r>
        <w:rPr>
          <w:rFonts w:hint="eastAsia"/>
          <w:lang w:eastAsia="zh-CN"/>
        </w:rPr>
        <w:t>万元；其他收入56.00万元，较上年预算安排减少</w:t>
      </w:r>
      <w:r>
        <w:rPr>
          <w:rFonts w:hint="eastAsia"/>
          <w:lang w:val="en-US" w:eastAsia="zh-CN"/>
        </w:rPr>
        <w:t>224</w:t>
      </w:r>
      <w:r>
        <w:rPr>
          <w:rFonts w:hint="eastAsia"/>
          <w:lang w:eastAsia="zh-CN"/>
        </w:rPr>
        <w:t>万元。上年结转137.60万元，较上年预算安排增加</w:t>
      </w:r>
      <w:r>
        <w:rPr>
          <w:rFonts w:hint="eastAsia"/>
          <w:lang w:val="en-US" w:eastAsia="zh-CN"/>
        </w:rPr>
        <w:t>73.81</w:t>
      </w:r>
      <w:r>
        <w:rPr>
          <w:rFonts w:hint="eastAsia"/>
          <w:lang w:eastAsia="zh-CN"/>
        </w:rPr>
        <w:t>万元。</w:t>
      </w:r>
    </w:p>
    <w:p w14:paraId="26BC1F09">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42CF018B">
      <w:pPr>
        <w:pStyle w:val="19"/>
        <w:bidi w:val="0"/>
        <w:rPr>
          <w:rFonts w:hint="eastAsia"/>
        </w:rPr>
      </w:pPr>
      <w:r>
        <w:rPr>
          <w:rFonts w:hint="eastAsia"/>
          <w:lang w:eastAsia="zh-CN"/>
        </w:rPr>
        <w:t>2026</w:t>
      </w:r>
      <w:r>
        <w:rPr>
          <w:rFonts w:hint="eastAsia"/>
        </w:rPr>
        <w:t>年</w:t>
      </w:r>
      <w:r>
        <w:rPr>
          <w:rFonts w:hint="eastAsia"/>
          <w:lang w:eastAsia="zh-CN"/>
        </w:rPr>
        <w:t>景德镇市珠山区教育体育局</w:t>
      </w:r>
      <w:r>
        <w:rPr>
          <w:rFonts w:hint="eastAsia"/>
        </w:rPr>
        <w:t>支出预算总额为1498.48万元</w:t>
      </w:r>
      <w:r>
        <w:rPr>
          <w:rFonts w:hint="eastAsia"/>
          <w:lang w:eastAsia="zh-CN"/>
        </w:rPr>
        <w:t>，</w:t>
      </w:r>
      <w:r>
        <w:rPr>
          <w:rFonts w:hint="eastAsia"/>
        </w:rPr>
        <w:t>较上年预算安排减少</w:t>
      </w:r>
      <w:r>
        <w:rPr>
          <w:rFonts w:hint="eastAsia"/>
          <w:lang w:val="en-US" w:eastAsia="zh-CN"/>
        </w:rPr>
        <w:t>789.34</w:t>
      </w:r>
      <w:r>
        <w:rPr>
          <w:rFonts w:hint="eastAsia"/>
        </w:rPr>
        <w:t xml:space="preserve">万元。 </w:t>
      </w:r>
    </w:p>
    <w:p w14:paraId="001EC049">
      <w:pPr>
        <w:pStyle w:val="19"/>
        <w:bidi w:val="0"/>
        <w:rPr>
          <w:rFonts w:hint="eastAsia"/>
        </w:rPr>
      </w:pPr>
      <w:r>
        <w:rPr>
          <w:rFonts w:hint="eastAsia"/>
        </w:rPr>
        <w:t>按支出项目类别划分：基本支出720.88万元</w:t>
      </w:r>
      <w:r>
        <w:rPr>
          <w:rFonts w:hint="eastAsia"/>
          <w:lang w:eastAsia="zh-CN"/>
        </w:rPr>
        <w:t>，</w:t>
      </w:r>
      <w:r>
        <w:rPr>
          <w:rFonts w:hint="eastAsia"/>
        </w:rPr>
        <w:t>较上年预算安排减少</w:t>
      </w:r>
      <w:r>
        <w:rPr>
          <w:rFonts w:hint="eastAsia"/>
          <w:lang w:val="en-US" w:eastAsia="zh-CN"/>
        </w:rPr>
        <w:t>736.5</w:t>
      </w:r>
      <w:r>
        <w:rPr>
          <w:rFonts w:hint="eastAsia"/>
        </w:rPr>
        <w:t>万元</w:t>
      </w:r>
      <w:r>
        <w:rPr>
          <w:rFonts w:hint="eastAsia"/>
          <w:lang w:eastAsia="zh-CN"/>
        </w:rPr>
        <w:t>；</w:t>
      </w:r>
      <w:r>
        <w:rPr>
          <w:rFonts w:hint="eastAsia"/>
        </w:rPr>
        <w:t>项目支出777.60万元</w:t>
      </w:r>
      <w:r>
        <w:rPr>
          <w:rFonts w:hint="eastAsia"/>
          <w:lang w:eastAsia="zh-CN"/>
        </w:rPr>
        <w:t>，</w:t>
      </w:r>
      <w:r>
        <w:rPr>
          <w:rFonts w:hint="eastAsia"/>
        </w:rPr>
        <w:t>较上年预算安排减少</w:t>
      </w:r>
      <w:r>
        <w:rPr>
          <w:rFonts w:hint="eastAsia"/>
          <w:lang w:val="en-US" w:eastAsia="zh-CN"/>
        </w:rPr>
        <w:t>52.84</w:t>
      </w:r>
      <w:r>
        <w:rPr>
          <w:rFonts w:hint="eastAsia"/>
        </w:rPr>
        <w:t>万元。</w:t>
      </w:r>
    </w:p>
    <w:p w14:paraId="65BA869D">
      <w:pPr>
        <w:pStyle w:val="19"/>
        <w:bidi w:val="0"/>
        <w:rPr>
          <w:rFonts w:hint="eastAsia"/>
        </w:rPr>
      </w:pPr>
      <w:r>
        <w:rPr>
          <w:rFonts w:hint="eastAsia"/>
        </w:rPr>
        <w:t>按支出功能科目划分：教育支出1498.48万元，较上年预算安排减少</w:t>
      </w:r>
      <w:r>
        <w:rPr>
          <w:rFonts w:hint="eastAsia"/>
          <w:lang w:val="en-US" w:eastAsia="zh-CN"/>
        </w:rPr>
        <w:t>789.34</w:t>
      </w:r>
      <w:r>
        <w:rPr>
          <w:rFonts w:hint="eastAsia"/>
        </w:rPr>
        <w:t>万元。</w:t>
      </w:r>
    </w:p>
    <w:p w14:paraId="34F6D83D">
      <w:pPr>
        <w:pStyle w:val="19"/>
        <w:bidi w:val="0"/>
        <w:rPr>
          <w:rFonts w:hint="eastAsia"/>
        </w:rPr>
      </w:pPr>
      <w:r>
        <w:rPr>
          <w:rFonts w:hint="eastAsia"/>
        </w:rPr>
        <w:t>按支出经济分类划分：工资福利支出552.55万元，较上年预算安排减少</w:t>
      </w:r>
      <w:r>
        <w:rPr>
          <w:rFonts w:hint="eastAsia"/>
          <w:lang w:val="en-US" w:eastAsia="zh-CN"/>
        </w:rPr>
        <w:t>516.26</w:t>
      </w:r>
      <w:r>
        <w:rPr>
          <w:rFonts w:hint="eastAsia"/>
        </w:rPr>
        <w:t>万元；商品和服务支出846.66万元，较上年预算安排</w:t>
      </w:r>
      <w:r>
        <w:rPr>
          <w:rFonts w:hint="eastAsia"/>
          <w:lang w:val="en-US" w:eastAsia="zh-CN"/>
        </w:rPr>
        <w:t>减少295.1</w:t>
      </w:r>
      <w:r>
        <w:rPr>
          <w:rFonts w:hint="eastAsia"/>
        </w:rPr>
        <w:t>万元；对个人和家庭的补助73.27万元，较上年预算安排减少</w:t>
      </w:r>
      <w:r>
        <w:rPr>
          <w:rFonts w:hint="eastAsia"/>
          <w:lang w:val="en-US" w:eastAsia="zh-CN"/>
        </w:rPr>
        <w:t>3.98</w:t>
      </w:r>
      <w:r>
        <w:rPr>
          <w:rFonts w:hint="eastAsia"/>
        </w:rPr>
        <w:t>万元；资本性支出26.00万元，较上年预算安排增加</w:t>
      </w:r>
      <w:r>
        <w:rPr>
          <w:rFonts w:hint="eastAsia"/>
          <w:lang w:val="en-US" w:eastAsia="zh-CN"/>
        </w:rPr>
        <w:t>26</w:t>
      </w:r>
      <w:r>
        <w:rPr>
          <w:rFonts w:hint="eastAsia"/>
        </w:rPr>
        <w:t>万元。</w:t>
      </w:r>
    </w:p>
    <w:p w14:paraId="7DC54D6A">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3359244E">
      <w:pPr>
        <w:pStyle w:val="19"/>
        <w:bidi w:val="0"/>
        <w:rPr>
          <w:rFonts w:hint="eastAsia"/>
        </w:rPr>
      </w:pPr>
      <w:r>
        <w:rPr>
          <w:rFonts w:hint="eastAsia"/>
          <w:lang w:eastAsia="zh-CN"/>
        </w:rPr>
        <w:t>2026</w:t>
      </w:r>
      <w:r>
        <w:rPr>
          <w:rFonts w:hint="eastAsia"/>
        </w:rPr>
        <w:t>年</w:t>
      </w:r>
      <w:r>
        <w:rPr>
          <w:rFonts w:hint="eastAsia"/>
          <w:lang w:eastAsia="zh-CN"/>
        </w:rPr>
        <w:t>景德镇市珠山区教育体育局</w:t>
      </w:r>
      <w:r>
        <w:rPr>
          <w:rFonts w:hint="eastAsia"/>
        </w:rPr>
        <w:t>财政拨款支出预算总额1442.48万元,较上年预算安排减少</w:t>
      </w:r>
      <w:r>
        <w:rPr>
          <w:rFonts w:hint="eastAsia"/>
          <w:lang w:val="en-US" w:eastAsia="zh-CN"/>
        </w:rPr>
        <w:t>501.55</w:t>
      </w:r>
      <w:r>
        <w:rPr>
          <w:rFonts w:hint="eastAsia"/>
        </w:rPr>
        <w:t>万元。</w:t>
      </w:r>
    </w:p>
    <w:p w14:paraId="4CA68343">
      <w:pPr>
        <w:pStyle w:val="19"/>
        <w:bidi w:val="0"/>
        <w:rPr>
          <w:rFonts w:hint="eastAsia"/>
        </w:rPr>
      </w:pPr>
      <w:r>
        <w:rPr>
          <w:rFonts w:hint="eastAsia"/>
        </w:rPr>
        <w:t>按支出功能科目划分：教育支出1442.48万元。</w:t>
      </w:r>
    </w:p>
    <w:p w14:paraId="2BE93811">
      <w:pPr>
        <w:pStyle w:val="19"/>
        <w:bidi w:val="0"/>
        <w:rPr>
          <w:rFonts w:hint="eastAsia"/>
        </w:rPr>
      </w:pPr>
      <w:r>
        <w:rPr>
          <w:rFonts w:hint="eastAsia"/>
        </w:rPr>
        <w:t>按支出项目类别划分：基本支出664.88万元,项目支出777.60万元。</w:t>
      </w:r>
    </w:p>
    <w:p w14:paraId="3CC351CD">
      <w:pPr>
        <w:pStyle w:val="19"/>
        <w:bidi w:val="0"/>
        <w:rPr>
          <w:rFonts w:hint="eastAsia"/>
        </w:rPr>
      </w:pPr>
      <w:r>
        <w:rPr>
          <w:rFonts w:hint="eastAsia"/>
        </w:rPr>
        <w:t>按支</w:t>
      </w:r>
      <w:r>
        <w:rPr>
          <w:rFonts w:hint="eastAsia"/>
          <w:lang w:val="en-US" w:eastAsia="zh-CN"/>
        </w:rPr>
        <w:t>出经济分类</w:t>
      </w:r>
      <w:r>
        <w:rPr>
          <w:rFonts w:hint="eastAsia"/>
        </w:rPr>
        <w:t>划分：工资福利支出552.55万元，商品和服务支出816.66万元，对个人和家庭的补助73.27万元。</w:t>
      </w:r>
    </w:p>
    <w:p w14:paraId="02610996">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32FC800C">
      <w:pPr>
        <w:pStyle w:val="19"/>
        <w:bidi w:val="0"/>
        <w:rPr>
          <w:rFonts w:hint="eastAsia"/>
          <w:lang w:eastAsia="zh-CN"/>
        </w:rPr>
      </w:pPr>
      <w:r>
        <w:rPr>
          <w:rFonts w:hint="eastAsia"/>
          <w:lang w:eastAsia="zh-CN"/>
        </w:rPr>
        <w:t>2026</w:t>
      </w:r>
      <w:r>
        <w:rPr>
          <w:rFonts w:hint="eastAsia"/>
        </w:rPr>
        <w:t>年</w:t>
      </w:r>
      <w:r>
        <w:rPr>
          <w:rFonts w:hint="eastAsia"/>
          <w:lang w:eastAsia="zh-CN"/>
        </w:rPr>
        <w:t>景德镇市珠山区教育体育局政府性基金支出预算总额万元,较上年预算安排增加（减少）</w:t>
      </w:r>
      <w:r>
        <w:rPr>
          <w:rFonts w:hint="eastAsia"/>
          <w:lang w:val="en-US" w:eastAsia="zh-CN"/>
        </w:rPr>
        <w:t>0</w:t>
      </w:r>
      <w:r>
        <w:rPr>
          <w:rFonts w:hint="eastAsia"/>
          <w:lang w:eastAsia="zh-CN"/>
        </w:rPr>
        <w:t>万元。</w:t>
      </w:r>
    </w:p>
    <w:p w14:paraId="29E91591">
      <w:pPr>
        <w:pStyle w:val="19"/>
        <w:bidi w:val="0"/>
        <w:rPr>
          <w:rFonts w:hint="eastAsia"/>
        </w:rPr>
      </w:pPr>
      <w:r>
        <w:rPr>
          <w:rFonts w:hint="eastAsia"/>
        </w:rPr>
        <w:t>按支出项目类别划分：。</w:t>
      </w:r>
    </w:p>
    <w:p w14:paraId="398A64F1">
      <w:pPr>
        <w:pStyle w:val="19"/>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7F9FC1F0">
      <w:pPr>
        <w:pStyle w:val="19"/>
        <w:bidi w:val="0"/>
        <w:rPr>
          <w:rFonts w:hint="eastAsia"/>
        </w:rPr>
      </w:pPr>
      <w:r>
        <w:rPr>
          <w:rFonts w:hint="eastAsia"/>
        </w:rPr>
        <w:t>本</w:t>
      </w:r>
      <w:r>
        <w:rPr>
          <w:rFonts w:hint="eastAsia"/>
          <w:lang w:val="en-US" w:eastAsia="zh-CN"/>
        </w:rPr>
        <w:t>单位</w:t>
      </w:r>
      <w:r>
        <w:rPr>
          <w:rFonts w:hint="eastAsia"/>
        </w:rPr>
        <w:t>没有使用政府性基金预算拨款安排的支出</w:t>
      </w:r>
    </w:p>
    <w:p w14:paraId="3DAC261B">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12896034">
      <w:pPr>
        <w:pStyle w:val="19"/>
        <w:bidi w:val="0"/>
        <w:rPr>
          <w:rFonts w:hint="eastAsia"/>
        </w:rPr>
      </w:pPr>
      <w:r>
        <w:rPr>
          <w:rFonts w:hint="eastAsia"/>
          <w:lang w:eastAsia="zh-CN"/>
        </w:rPr>
        <w:t>2026</w:t>
      </w:r>
      <w:r>
        <w:rPr>
          <w:rFonts w:hint="eastAsia"/>
        </w:rPr>
        <w:t>年</w:t>
      </w:r>
      <w:r>
        <w:rPr>
          <w:rFonts w:hint="eastAsia"/>
          <w:lang w:eastAsia="zh-CN"/>
        </w:rPr>
        <w:t>景德镇市珠山区教育体育局</w:t>
      </w:r>
      <w:r>
        <w:rPr>
          <w:rFonts w:hint="eastAsia"/>
        </w:rPr>
        <w:t>国有资本经营支出预算</w:t>
      </w:r>
      <w:r>
        <w:rPr>
          <w:rFonts w:hint="eastAsia"/>
          <w:lang w:eastAsia="zh-CN"/>
        </w:rPr>
        <w:t>总额</w:t>
      </w:r>
      <w:r>
        <w:rPr>
          <w:rFonts w:hint="eastAsia"/>
        </w:rPr>
        <w:t>为万元,较上年预算安排增加（减少）</w:t>
      </w:r>
      <w:r>
        <w:rPr>
          <w:rFonts w:hint="eastAsia"/>
          <w:lang w:val="en-US" w:eastAsia="zh-CN"/>
        </w:rPr>
        <w:t>0</w:t>
      </w:r>
      <w:r>
        <w:rPr>
          <w:rFonts w:hint="eastAsia"/>
        </w:rPr>
        <w:t>万元。</w:t>
      </w:r>
    </w:p>
    <w:p w14:paraId="58863F1C">
      <w:pPr>
        <w:pStyle w:val="19"/>
        <w:bidi w:val="0"/>
        <w:rPr>
          <w:rFonts w:hint="eastAsia"/>
        </w:rPr>
      </w:pPr>
      <w:r>
        <w:rPr>
          <w:rFonts w:hint="eastAsia"/>
        </w:rPr>
        <w:t>按支出项目类别划分：。</w:t>
      </w:r>
    </w:p>
    <w:p w14:paraId="7559A822">
      <w:pPr>
        <w:pStyle w:val="19"/>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70298962">
      <w:pPr>
        <w:pStyle w:val="19"/>
        <w:bidi w:val="0"/>
        <w:rPr>
          <w:rFonts w:hint="eastAsia"/>
        </w:rPr>
      </w:pPr>
      <w:r>
        <w:rPr>
          <w:rFonts w:hint="eastAsia"/>
        </w:rPr>
        <w:t>本</w:t>
      </w:r>
      <w:r>
        <w:rPr>
          <w:rFonts w:hint="eastAsia"/>
          <w:lang w:val="en-US" w:eastAsia="zh-CN"/>
        </w:rPr>
        <w:t>单位</w:t>
      </w:r>
      <w:r>
        <w:rPr>
          <w:rFonts w:hint="eastAsia"/>
        </w:rPr>
        <w:t>没有使用国有资本经营预算拨款安排的支出</w:t>
      </w:r>
    </w:p>
    <w:p w14:paraId="2149B2BC">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7CFFE52F">
      <w:pPr>
        <w:pStyle w:val="19"/>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0</w:t>
      </w:r>
      <w:r>
        <w:rPr>
          <w:rFonts w:hint="eastAsia"/>
        </w:rPr>
        <w:t>万元，比2025年预算增加（减少）</w:t>
      </w:r>
      <w:r>
        <w:rPr>
          <w:rFonts w:hint="eastAsia"/>
          <w:lang w:val="en-US" w:eastAsia="zh-CN"/>
        </w:rPr>
        <w:t>0</w:t>
      </w:r>
      <w:r>
        <w:rPr>
          <w:rFonts w:hint="eastAsia"/>
        </w:rPr>
        <w:t>万元，增长（下降）</w:t>
      </w:r>
      <w:r>
        <w:rPr>
          <w:rFonts w:hint="eastAsia"/>
          <w:lang w:val="en-US" w:eastAsia="zh-CN"/>
        </w:rPr>
        <w:t>0</w:t>
      </w:r>
      <w:r>
        <w:rPr>
          <w:rFonts w:hint="eastAsia"/>
        </w:rPr>
        <w:t>%。</w:t>
      </w:r>
    </w:p>
    <w:p w14:paraId="2358FF35">
      <w:pPr>
        <w:pStyle w:val="19"/>
        <w:bidi w:val="0"/>
        <w:rPr>
          <w:rFonts w:hint="eastAsia"/>
        </w:rPr>
      </w:pPr>
      <w:r>
        <w:rPr>
          <w:rFonts w:hint="eastAsia"/>
        </w:rPr>
        <w:t>本单位非行政参公单位，无机关运行经费</w:t>
      </w:r>
    </w:p>
    <w:p w14:paraId="663B4585">
      <w:pPr>
        <w:widowControl/>
        <w:spacing w:line="580" w:lineRule="exact"/>
        <w:ind w:firstLine="636"/>
        <w:jc w:val="left"/>
        <w:rPr>
          <w:rFonts w:ascii="Adobe 仿宋 Std R" w:hAnsi="Adobe 仿宋 Std R" w:eastAsia="Adobe 仿宋 Std R"/>
          <w:sz w:val="32"/>
          <w:szCs w:val="32"/>
        </w:rPr>
      </w:pPr>
    </w:p>
    <w:p w14:paraId="585F90A5">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6015DEA2">
      <w:pPr>
        <w:pStyle w:val="19"/>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 xml:space="preserve">   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0E7FB2C7">
      <w:pPr>
        <w:pStyle w:val="19"/>
        <w:bidi w:val="0"/>
        <w:rPr>
          <w:rFonts w:hint="eastAsia"/>
          <w:lang w:eastAsia="zh-CN"/>
        </w:rPr>
      </w:pPr>
    </w:p>
    <w:p w14:paraId="7EDF8ADC">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49CB310A">
      <w:pPr>
        <w:pStyle w:val="19"/>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119FA9D2">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无</w:t>
      </w:r>
      <w:r>
        <w:rPr>
          <w:rFonts w:hint="eastAsia"/>
          <w:lang w:eastAsia="zh-CN"/>
        </w:rPr>
        <w:t>。</w:t>
      </w:r>
    </w:p>
    <w:p w14:paraId="592A93F8">
      <w:pPr>
        <w:pStyle w:val="20"/>
        <w:numPr>
          <w:ilvl w:val="0"/>
          <w:numId w:val="0"/>
        </w:numPr>
        <w:bidi w:val="0"/>
        <w:ind w:firstLine="643" w:firstLineChars="200"/>
        <w:rPr>
          <w:rFonts w:hint="eastAsia"/>
          <w:lang w:val="en-US" w:eastAsia="zh-CN"/>
        </w:rPr>
      </w:pPr>
      <w:r>
        <w:rPr>
          <w:rFonts w:hint="eastAsia"/>
          <w:lang w:val="en-US" w:eastAsia="zh-CN"/>
        </w:rPr>
        <w:t>(九)学校保安经费项目情况说明</w:t>
      </w:r>
    </w:p>
    <w:p w14:paraId="2BA0C715">
      <w:pPr>
        <w:pStyle w:val="19"/>
        <w:bidi w:val="0"/>
        <w:spacing w:line="240" w:lineRule="auto"/>
        <w:ind w:firstLine="0" w:firstLineChars="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w:t>
      </w:r>
      <w:r>
        <w:rPr>
          <w:rFonts w:hint="eastAsia"/>
          <w:lang w:val="en-US" w:eastAsia="zh-CN"/>
        </w:rPr>
        <w:t xml:space="preserve"> </w:t>
      </w:r>
      <w:r>
        <w:rPr>
          <w:rFonts w:hint="eastAsia"/>
          <w:lang w:eastAsia="zh-CN"/>
        </w:rPr>
        <w:t>1）项目概述</w:t>
      </w:r>
    </w:p>
    <w:p w14:paraId="2310D64B">
      <w:pPr>
        <w:pStyle w:val="19"/>
        <w:bidi w:val="0"/>
        <w:rPr>
          <w:rFonts w:hint="eastAsia"/>
          <w:lang w:eastAsia="zh-CN"/>
        </w:rPr>
      </w:pPr>
      <w:r>
        <w:rPr>
          <w:rFonts w:hint="eastAsia"/>
          <w:lang w:eastAsia="zh-CN"/>
        </w:rPr>
        <w:t>本项目资金298万元，为保障全区26所学校校园师生安全，配备85名保安，加强校园内部及周边安全，构建完善校园安全防范体系，确保校园安全工作三个百分之百，按在校学生数配足配齐安保人员，防止发生校园重大案事件，维护校园安全稳定。校保安经费是指专门用于学校安全保卫工作经费，主要是用于支付保安人员的工资。该项经费是维护校园秩序，保障师生安全的费用。</w:t>
      </w:r>
    </w:p>
    <w:p w14:paraId="6E55AB9F">
      <w:pPr>
        <w:pStyle w:val="19"/>
        <w:bidi w:val="0"/>
        <w:spacing w:line="240" w:lineRule="auto"/>
        <w:ind w:firstLine="0" w:firstLineChars="0"/>
        <w:rPr>
          <w:rFonts w:hint="eastAsia"/>
          <w:lang w:eastAsia="zh-CN"/>
        </w:rPr>
      </w:pPr>
      <w:r>
        <w:rPr>
          <w:rFonts w:hint="eastAsia"/>
          <w:lang w:eastAsia="zh-CN"/>
        </w:rPr>
        <w:t xml:space="preserve">   </w:t>
      </w:r>
      <w:r>
        <w:rPr>
          <w:rFonts w:hint="eastAsia"/>
          <w:lang w:val="en-US" w:eastAsia="zh-CN"/>
        </w:rPr>
        <w:t xml:space="preserve"> </w:t>
      </w:r>
      <w:r>
        <w:rPr>
          <w:rFonts w:hint="eastAsia"/>
          <w:lang w:eastAsia="zh-CN"/>
        </w:rPr>
        <w:t>2）立项依据</w:t>
      </w:r>
    </w:p>
    <w:p w14:paraId="775EBAFA">
      <w:pPr>
        <w:pStyle w:val="19"/>
        <w:bidi w:val="0"/>
        <w:ind w:left="0" w:leftChars="0" w:firstLine="640" w:firstLineChars="200"/>
        <w:rPr>
          <w:rFonts w:hint="eastAsia"/>
          <w:lang w:eastAsia="zh-CN"/>
        </w:rPr>
      </w:pPr>
      <w:r>
        <w:rPr>
          <w:rFonts w:hint="eastAsia"/>
          <w:lang w:eastAsia="zh-CN"/>
        </w:rPr>
        <w:t>《关于进一步加强全省中小学幼儿园安全防范能力建设的工作意见》（赣教发【2019】12号），《关于加快推进校园安全防范建设的通知》（赣教稳定字【2020】8号）</w:t>
      </w:r>
    </w:p>
    <w:p w14:paraId="1DCDC59F">
      <w:pPr>
        <w:pStyle w:val="19"/>
        <w:bidi w:val="0"/>
        <w:spacing w:line="240" w:lineRule="auto"/>
        <w:ind w:left="0" w:leftChars="0" w:firstLine="320" w:firstLineChars="100"/>
        <w:rPr>
          <w:rFonts w:hint="eastAsia"/>
          <w:lang w:eastAsia="zh-CN"/>
        </w:rPr>
      </w:pPr>
      <w:r>
        <w:rPr>
          <w:rFonts w:hint="eastAsia"/>
          <w:lang w:eastAsia="zh-CN"/>
        </w:rPr>
        <w:t xml:space="preserve"> </w:t>
      </w:r>
      <w:r>
        <w:rPr>
          <w:rFonts w:hint="eastAsia"/>
          <w:lang w:val="en-US" w:eastAsia="zh-CN"/>
        </w:rPr>
        <w:t xml:space="preserve"> </w:t>
      </w:r>
      <w:r>
        <w:rPr>
          <w:rFonts w:hint="eastAsia"/>
          <w:lang w:eastAsia="zh-CN"/>
        </w:rPr>
        <w:t>3）实施主体</w:t>
      </w:r>
    </w:p>
    <w:p w14:paraId="5CDCD7EB">
      <w:pPr>
        <w:pStyle w:val="19"/>
        <w:bidi w:val="0"/>
        <w:rPr>
          <w:rFonts w:hint="eastAsia"/>
          <w:lang w:eastAsia="zh-CN"/>
        </w:rPr>
      </w:pPr>
      <w:r>
        <w:rPr>
          <w:rFonts w:hint="eastAsia"/>
          <w:lang w:val="en-US" w:eastAsia="zh-CN"/>
        </w:rPr>
        <w:t>景德镇市珠山区教育体育局</w:t>
      </w:r>
      <w:r>
        <w:rPr>
          <w:rFonts w:hint="eastAsia"/>
          <w:lang w:eastAsia="zh-CN"/>
        </w:rPr>
        <w:t xml:space="preserve">   </w:t>
      </w:r>
    </w:p>
    <w:p w14:paraId="33815AAA">
      <w:pPr>
        <w:pStyle w:val="19"/>
        <w:bidi w:val="0"/>
        <w:spacing w:line="240" w:lineRule="auto"/>
        <w:ind w:left="0" w:leftChars="0" w:firstLine="640" w:firstLineChars="200"/>
        <w:rPr>
          <w:rFonts w:hint="eastAsia"/>
          <w:lang w:eastAsia="zh-CN"/>
        </w:rPr>
      </w:pPr>
      <w:r>
        <w:rPr>
          <w:rFonts w:hint="eastAsia"/>
          <w:lang w:eastAsia="zh-CN"/>
        </w:rPr>
        <w:t>4）实施方案</w:t>
      </w:r>
    </w:p>
    <w:p w14:paraId="6D6C22BE">
      <w:pPr>
        <w:pStyle w:val="19"/>
        <w:bidi w:val="0"/>
        <w:rPr>
          <w:rFonts w:hint="eastAsia"/>
          <w:lang w:eastAsia="zh-CN"/>
        </w:rPr>
      </w:pPr>
      <w:r>
        <w:rPr>
          <w:rFonts w:hint="eastAsia"/>
          <w:lang w:eastAsia="zh-CN"/>
        </w:rPr>
        <w:t xml:space="preserve"> 一是落实保安员配备要求。按照《江西省中小学幼儿园安全防护建设标准》配齐配强专业保安员，新聘保安员年龄不超过50周岁。根据实际需求可采取政府购买专职保安员错峰服务等方式，加强学校上、下学期间安全防护力量。二是严格校园保安员招录条件。校园保安员招录要从严进行背景审查，保安员要经过专门培训后持证上岗，杜绝不具备保安员从业资格或具有潜在危害的人员担任校园保安员。三是全面加强“护学岗”机制建设。要按照常态化“护学岗”建设要求，学校要依托基层组织、公安协警、群防群治力量，解决好上下学期间学生儿童安全防护问题。 </w:t>
      </w:r>
    </w:p>
    <w:p w14:paraId="3778A248">
      <w:pPr>
        <w:pStyle w:val="19"/>
        <w:bidi w:val="0"/>
        <w:rPr>
          <w:rFonts w:hint="eastAsia"/>
          <w:lang w:eastAsia="zh-CN"/>
        </w:rPr>
      </w:pPr>
      <w:r>
        <w:rPr>
          <w:rFonts w:hint="eastAsia"/>
          <w:lang w:eastAsia="zh-CN"/>
        </w:rPr>
        <w:t xml:space="preserve"> 5）实施周期</w:t>
      </w:r>
    </w:p>
    <w:p w14:paraId="47853F90">
      <w:pPr>
        <w:spacing w:before="227" w:line="222" w:lineRule="auto"/>
        <w:ind w:left="645"/>
        <w:rPr>
          <w:rFonts w:hint="eastAsia"/>
          <w:lang w:val="en-US" w:eastAsia="zh-CN"/>
        </w:rPr>
      </w:pPr>
      <w:r>
        <w:rPr>
          <w:rFonts w:hint="eastAsia"/>
          <w:lang w:eastAsia="zh-CN"/>
        </w:rPr>
        <w:t xml:space="preserve">  </w:t>
      </w:r>
      <w:r>
        <w:rPr>
          <w:rFonts w:ascii="仿宋" w:hAnsi="仿宋" w:eastAsia="仿宋" w:cs="仿宋"/>
          <w:spacing w:val="-6"/>
          <w:sz w:val="31"/>
          <w:szCs w:val="31"/>
        </w:rPr>
        <w:t>2026</w:t>
      </w:r>
      <w:r>
        <w:rPr>
          <w:rFonts w:ascii="仿宋" w:hAnsi="仿宋" w:eastAsia="仿宋" w:cs="仿宋"/>
          <w:spacing w:val="-50"/>
          <w:sz w:val="31"/>
          <w:szCs w:val="31"/>
        </w:rPr>
        <w:t xml:space="preserve"> </w:t>
      </w:r>
      <w:r>
        <w:rPr>
          <w:rFonts w:ascii="仿宋" w:hAnsi="仿宋" w:eastAsia="仿宋" w:cs="仿宋"/>
          <w:spacing w:val="-6"/>
          <w:sz w:val="31"/>
          <w:szCs w:val="31"/>
        </w:rPr>
        <w:t>年</w:t>
      </w:r>
      <w:r>
        <w:rPr>
          <w:rFonts w:ascii="仿宋" w:hAnsi="仿宋" w:eastAsia="仿宋" w:cs="仿宋"/>
          <w:spacing w:val="-40"/>
          <w:sz w:val="31"/>
          <w:szCs w:val="31"/>
        </w:rPr>
        <w:t xml:space="preserve"> </w:t>
      </w:r>
      <w:r>
        <w:rPr>
          <w:rFonts w:ascii="仿宋" w:hAnsi="仿宋" w:eastAsia="仿宋" w:cs="仿宋"/>
          <w:spacing w:val="-6"/>
          <w:sz w:val="31"/>
          <w:szCs w:val="31"/>
        </w:rPr>
        <w:t>1</w:t>
      </w:r>
      <w:r>
        <w:rPr>
          <w:rFonts w:ascii="仿宋" w:hAnsi="仿宋" w:eastAsia="仿宋" w:cs="仿宋"/>
          <w:spacing w:val="-46"/>
          <w:sz w:val="31"/>
          <w:szCs w:val="31"/>
        </w:rPr>
        <w:t xml:space="preserve"> </w:t>
      </w:r>
      <w:r>
        <w:rPr>
          <w:rFonts w:ascii="仿宋" w:hAnsi="仿宋" w:eastAsia="仿宋" w:cs="仿宋"/>
          <w:spacing w:val="-6"/>
          <w:sz w:val="31"/>
          <w:szCs w:val="31"/>
        </w:rPr>
        <w:t>月至</w:t>
      </w:r>
      <w:r>
        <w:rPr>
          <w:rFonts w:ascii="仿宋" w:hAnsi="仿宋" w:eastAsia="仿宋" w:cs="仿宋"/>
          <w:spacing w:val="-49"/>
          <w:sz w:val="31"/>
          <w:szCs w:val="31"/>
        </w:rPr>
        <w:t xml:space="preserve"> </w:t>
      </w:r>
      <w:r>
        <w:rPr>
          <w:rFonts w:ascii="仿宋" w:hAnsi="仿宋" w:eastAsia="仿宋" w:cs="仿宋"/>
          <w:spacing w:val="-6"/>
          <w:sz w:val="31"/>
          <w:szCs w:val="31"/>
        </w:rPr>
        <w:t>2026</w:t>
      </w:r>
      <w:r>
        <w:rPr>
          <w:rFonts w:ascii="仿宋" w:hAnsi="仿宋" w:eastAsia="仿宋" w:cs="仿宋"/>
          <w:spacing w:val="-58"/>
          <w:sz w:val="31"/>
          <w:szCs w:val="31"/>
        </w:rPr>
        <w:t xml:space="preserve"> </w:t>
      </w:r>
      <w:r>
        <w:rPr>
          <w:rFonts w:ascii="仿宋" w:hAnsi="仿宋" w:eastAsia="仿宋" w:cs="仿宋"/>
          <w:spacing w:val="-6"/>
          <w:sz w:val="31"/>
          <w:szCs w:val="31"/>
        </w:rPr>
        <w:t>年</w:t>
      </w:r>
      <w:r>
        <w:rPr>
          <w:rFonts w:ascii="仿宋" w:hAnsi="仿宋" w:eastAsia="仿宋" w:cs="仿宋"/>
          <w:spacing w:val="-43"/>
          <w:sz w:val="31"/>
          <w:szCs w:val="31"/>
        </w:rPr>
        <w:t xml:space="preserve"> </w:t>
      </w:r>
      <w:r>
        <w:rPr>
          <w:rFonts w:ascii="仿宋" w:hAnsi="仿宋" w:eastAsia="仿宋" w:cs="仿宋"/>
          <w:spacing w:val="-6"/>
          <w:sz w:val="31"/>
          <w:szCs w:val="31"/>
        </w:rPr>
        <w:t>12</w:t>
      </w:r>
      <w:r>
        <w:rPr>
          <w:rFonts w:ascii="仿宋" w:hAnsi="仿宋" w:eastAsia="仿宋" w:cs="仿宋"/>
          <w:spacing w:val="-46"/>
          <w:sz w:val="31"/>
          <w:szCs w:val="31"/>
        </w:rPr>
        <w:t xml:space="preserve"> </w:t>
      </w:r>
      <w:r>
        <w:rPr>
          <w:rFonts w:ascii="仿宋" w:hAnsi="仿宋" w:eastAsia="仿宋" w:cs="仿宋"/>
          <w:spacing w:val="-6"/>
          <w:sz w:val="31"/>
          <w:szCs w:val="31"/>
        </w:rPr>
        <w:t>月</w:t>
      </w:r>
    </w:p>
    <w:p w14:paraId="4DE01B6F">
      <w:pPr>
        <w:pStyle w:val="19"/>
        <w:bidi w:val="0"/>
        <w:spacing w:line="240" w:lineRule="auto"/>
        <w:ind w:firstLine="640" w:firstLineChars="200"/>
        <w:rPr>
          <w:rFonts w:hint="eastAsia"/>
          <w:lang w:eastAsia="zh-CN"/>
        </w:rPr>
      </w:pPr>
      <w:r>
        <w:rPr>
          <w:rFonts w:hint="eastAsia"/>
          <w:lang w:eastAsia="zh-CN"/>
        </w:rPr>
        <w:t xml:space="preserve"> 6）年度预算安排</w:t>
      </w:r>
    </w:p>
    <w:p w14:paraId="421176E5">
      <w:pPr>
        <w:spacing w:before="227" w:line="222" w:lineRule="auto"/>
        <w:ind w:left="645"/>
        <w:rPr>
          <w:rFonts w:hint="eastAsia"/>
          <w:lang w:eastAsia="zh-CN"/>
        </w:rPr>
      </w:pPr>
      <w:r>
        <w:rPr>
          <w:rFonts w:ascii="仿宋" w:hAnsi="仿宋" w:eastAsia="仿宋" w:cs="仿宋"/>
          <w:sz w:val="31"/>
          <w:szCs w:val="31"/>
        </w:rPr>
        <w:t>2026</w:t>
      </w:r>
      <w:r>
        <w:rPr>
          <w:rFonts w:ascii="仿宋" w:hAnsi="仿宋" w:eastAsia="仿宋" w:cs="仿宋"/>
          <w:spacing w:val="-55"/>
          <w:sz w:val="31"/>
          <w:szCs w:val="31"/>
        </w:rPr>
        <w:t xml:space="preserve"> </w:t>
      </w:r>
      <w:r>
        <w:rPr>
          <w:rFonts w:ascii="仿宋" w:hAnsi="仿宋" w:eastAsia="仿宋" w:cs="仿宋"/>
          <w:sz w:val="31"/>
          <w:szCs w:val="31"/>
        </w:rPr>
        <w:t>年度预算安排</w:t>
      </w:r>
      <w:r>
        <w:rPr>
          <w:rFonts w:ascii="仿宋" w:hAnsi="仿宋" w:eastAsia="仿宋" w:cs="仿宋"/>
          <w:spacing w:val="-38"/>
          <w:sz w:val="31"/>
          <w:szCs w:val="31"/>
        </w:rPr>
        <w:t xml:space="preserve"> </w:t>
      </w:r>
      <w:r>
        <w:rPr>
          <w:rFonts w:hint="eastAsia" w:ascii="仿宋" w:hAnsi="仿宋" w:eastAsia="仿宋" w:cs="仿宋"/>
          <w:sz w:val="31"/>
          <w:szCs w:val="31"/>
          <w:lang w:val="en-US" w:eastAsia="zh-CN"/>
        </w:rPr>
        <w:t>298</w:t>
      </w:r>
      <w:r>
        <w:rPr>
          <w:rFonts w:ascii="仿宋" w:hAnsi="仿宋" w:eastAsia="仿宋" w:cs="仿宋"/>
          <w:sz w:val="31"/>
          <w:szCs w:val="31"/>
        </w:rPr>
        <w:t>万元</w:t>
      </w:r>
    </w:p>
    <w:p w14:paraId="60F1A0FC">
      <w:pPr>
        <w:pStyle w:val="19"/>
        <w:bidi w:val="0"/>
        <w:rPr>
          <w:rFonts w:hint="eastAsia"/>
          <w:lang w:eastAsia="zh-CN"/>
        </w:rPr>
      </w:pPr>
    </w:p>
    <w:p w14:paraId="3D4DD57B">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7D5D9882">
      <w:pPr>
        <w:pStyle w:val="19"/>
        <w:bidi w:val="0"/>
        <w:rPr>
          <w:rFonts w:hint="eastAsia"/>
          <w:lang w:eastAsia="zh-CN"/>
        </w:rPr>
      </w:pPr>
      <w:r>
        <w:rPr>
          <w:rFonts w:hint="eastAsia"/>
          <w:lang w:eastAsia="zh-CN"/>
        </w:rPr>
        <w:t>2026年景德镇市珠山区教育体育局财政拨款"三公"经费安排6.12万元，其中：</w:t>
      </w:r>
    </w:p>
    <w:p w14:paraId="7EEB73C5">
      <w:pPr>
        <w:pStyle w:val="19"/>
        <w:bidi w:val="0"/>
        <w:rPr>
          <w:rFonts w:hint="eastAsia"/>
          <w:lang w:eastAsia="zh-CN"/>
        </w:rPr>
      </w:pPr>
      <w:r>
        <w:rPr>
          <w:rFonts w:hint="eastAsia"/>
          <w:lang w:eastAsia="zh-CN"/>
        </w:rPr>
        <w:t>因公出国0.00万元,比上年增（减）______万元，主要原因是：______。</w:t>
      </w:r>
    </w:p>
    <w:p w14:paraId="6BE3D62B">
      <w:pPr>
        <w:pStyle w:val="19"/>
        <w:bidi w:val="0"/>
        <w:rPr>
          <w:rFonts w:hint="eastAsia"/>
          <w:lang w:eastAsia="zh-CN"/>
        </w:rPr>
      </w:pPr>
      <w:r>
        <w:rPr>
          <w:rFonts w:hint="eastAsia"/>
          <w:lang w:eastAsia="zh-CN"/>
        </w:rPr>
        <w:t>公务接待6.12万元,比上年增（减）</w:t>
      </w:r>
      <w:r>
        <w:rPr>
          <w:rFonts w:hint="eastAsia"/>
          <w:lang w:val="en-US" w:eastAsia="zh-CN"/>
        </w:rPr>
        <w:t>0</w:t>
      </w:r>
      <w:r>
        <w:rPr>
          <w:rFonts w:hint="eastAsia"/>
          <w:lang w:eastAsia="zh-CN"/>
        </w:rPr>
        <w:t>万元，主要原因是：与上年安排保持一致。</w:t>
      </w:r>
    </w:p>
    <w:p w14:paraId="2B900958">
      <w:pPr>
        <w:pStyle w:val="19"/>
        <w:bidi w:val="0"/>
        <w:rPr>
          <w:rFonts w:hint="eastAsia"/>
          <w:lang w:eastAsia="zh-CN"/>
        </w:rPr>
      </w:pPr>
      <w:r>
        <w:rPr>
          <w:rFonts w:hint="eastAsia"/>
          <w:lang w:eastAsia="zh-CN"/>
        </w:rPr>
        <w:t>公务用车运行0.00万元,比上年增（减）______万元，主要原因是：______。</w:t>
      </w:r>
    </w:p>
    <w:p w14:paraId="081269E4">
      <w:pPr>
        <w:pStyle w:val="19"/>
        <w:bidi w:val="0"/>
        <w:rPr>
          <w:rFonts w:hint="eastAsia"/>
          <w:lang w:eastAsia="zh-CN"/>
        </w:rPr>
      </w:pPr>
      <w:r>
        <w:rPr>
          <w:rFonts w:hint="eastAsia"/>
          <w:lang w:eastAsia="zh-CN"/>
        </w:rPr>
        <w:t>公务用车购置0.00万元,比上年增（减）______万元，主要原因是：______。</w:t>
      </w:r>
    </w:p>
    <w:p w14:paraId="290519C1">
      <w:pPr>
        <w:rPr>
          <w:rStyle w:val="13"/>
          <w:rFonts w:hint="eastAsia" w:ascii="仿宋" w:hAnsi="仿宋" w:eastAsia="仿宋"/>
          <w:sz w:val="32"/>
          <w:szCs w:val="32"/>
        </w:rPr>
      </w:pPr>
      <w:r>
        <w:rPr>
          <w:rStyle w:val="13"/>
          <w:rFonts w:hint="eastAsia" w:ascii="仿宋" w:hAnsi="仿宋" w:eastAsia="仿宋"/>
          <w:sz w:val="32"/>
          <w:szCs w:val="32"/>
        </w:rPr>
        <w:br w:type="page"/>
      </w:r>
    </w:p>
    <w:p w14:paraId="4BEF6ACA">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1D9FF154">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2E2C7BBF">
      <w:pPr>
        <w:pStyle w:val="19"/>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6532F891">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0E7F48E7">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3BE65B97">
      <w:pPr>
        <w:pStyle w:val="19"/>
        <w:bidi w:val="0"/>
        <w:rPr>
          <w:rFonts w:hint="eastAsia"/>
          <w:lang w:eastAsia="zh-CN"/>
        </w:rPr>
      </w:pPr>
      <w:r>
        <w:rPr>
          <w:rFonts w:hint="eastAsia"/>
          <w:lang w:eastAsia="zh-CN"/>
        </w:rPr>
        <w:t>（三）事业收入：指事业单位开展专业业务活动及辅助活动取得的收入。</w:t>
      </w:r>
    </w:p>
    <w:p w14:paraId="57F19B78">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7E6BFA76">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2954ED06">
      <w:pPr>
        <w:pStyle w:val="19"/>
        <w:bidi w:val="0"/>
        <w:rPr>
          <w:rFonts w:hint="eastAsia"/>
          <w:lang w:eastAsia="zh-CN"/>
        </w:rPr>
      </w:pPr>
      <w:r>
        <w:rPr>
          <w:rFonts w:hint="eastAsia"/>
          <w:lang w:eastAsia="zh-CN"/>
        </w:rPr>
        <w:t>（六）上级补助收入：指事业单位从主管部门和上级单位取得的非财政补助收入。</w:t>
      </w:r>
    </w:p>
    <w:p w14:paraId="4ADA46AF">
      <w:pPr>
        <w:pStyle w:val="19"/>
        <w:bidi w:val="0"/>
        <w:rPr>
          <w:rFonts w:hint="eastAsia"/>
          <w:lang w:eastAsia="zh-CN"/>
        </w:rPr>
      </w:pPr>
      <w:r>
        <w:rPr>
          <w:rFonts w:hint="eastAsia"/>
          <w:lang w:eastAsia="zh-CN"/>
        </w:rPr>
        <w:t>（七）其他收入：指除财政拨款、事业收入、事业单位经营收入等以外的各项收入。</w:t>
      </w:r>
    </w:p>
    <w:p w14:paraId="7246C9A0">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532FD068">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7F9A01A2">
      <w:pPr>
        <w:ind w:firstLine="640" w:firstLineChars="200"/>
        <w:rPr>
          <w:rFonts w:ascii="Adobe 仿宋 Std R" w:hAnsi="Adobe 仿宋 Std R" w:eastAsia="Adobe 仿宋 Std R"/>
          <w:sz w:val="32"/>
          <w:szCs w:val="32"/>
        </w:rPr>
      </w:pPr>
    </w:p>
    <w:p w14:paraId="1F24C35C">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7573AA75">
      <w:pPr>
        <w:pStyle w:val="19"/>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59C0FD80">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一）一般公共服务支出(类)财政事务(款)行政运行(项):反映行政单位(包括实行公务员管理的事业单位)的基本支出。</w:t>
      </w:r>
    </w:p>
    <w:p w14:paraId="5FB6E93D">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二）一般公共服务支出(类)财政事务(款)一般行政管理事务(项):反映行政单位(包括实行公务员管理的事业单位)未单独设置项级科目的其他项目支出。</w:t>
      </w:r>
    </w:p>
    <w:p w14:paraId="50B05E76">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三）一般公共服务支出(类)财政事务(款)机关服务（项）：反映为行政单位（包括实行公务员管理的事业单位）提供后勤服务的各类后勤服务中心、 医务室等附属事业单位的支出。</w:t>
      </w:r>
    </w:p>
    <w:p w14:paraId="11803240">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四）一般公共服务支出(类)财政事务(款)财政监察（项）：反映财政监察方面的专项业务支出。</w:t>
      </w:r>
    </w:p>
    <w:p w14:paraId="63AADD49">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五）一般公共服务支出 (类)财政事务(款)信息化建设(项):反映财政部门用于信息化建设方面的支出。</w:t>
      </w:r>
    </w:p>
    <w:p w14:paraId="316B049A">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六）一般公共服务支出(类)财政事务(款)财政委托业务支出(项):反映财政委托评审机构进行财政投资评审和委托建设银行等机构代理业务发生的支出。</w:t>
      </w:r>
    </w:p>
    <w:p w14:paraId="0C4FCD51">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（七）一般公共服务支出(类)财政事务(款)事业运行(项):反映事业单位的基本支出。</w:t>
      </w:r>
    </w:p>
    <w:p w14:paraId="17E7BEB6">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八）一般公共服务支出(类)财政事务(款)其他财政事务支出(项):反映除上述项目以外其他财政事务方面的支出。</w:t>
      </w:r>
    </w:p>
    <w:p w14:paraId="456FD262">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（九）社会保障和就业支出(类)行政事业单位养老支出(款)机关事业单位基本养老保险缴费支出(项):反映机关事业单位实施养老保险制度由单位缴纳的基本养老保险费支出。</w:t>
      </w:r>
    </w:p>
    <w:p w14:paraId="7F01370E">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十）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299D862F">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十一）卫生健康支出（类）行政事业单位医疗（款）事业单位医疗(项）：反映财政部门安排的事业单位基本医疗保险缴费经费，未参加医疗保险的事业单位的公费医疗经费，按国家规定享受离休人员待遇的医疗经费。</w:t>
      </w:r>
    </w:p>
    <w:p w14:paraId="209086EC">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（十二）资源勘探工业信息等支出（类）其他资源勘探工业信息等支出（款）其他资源勘探工业信息等支出（项）：反映除黄金事务、技术改造支出、 中药材扶持资金支出、重点产业振兴和技术改造项目贷款贴息以外其他用于资源勘探工业信息等方面的支出。</w:t>
      </w:r>
    </w:p>
    <w:p w14:paraId="2D908EBA">
      <w:pPr>
        <w:widowControl/>
        <w:spacing w:line="240" w:lineRule="auto"/>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（十三）住房保障支出（类）住房改革支出（款）购房补贴（项）：反映按房改政策规定，行政事业单位向符合条件职工（含离退休人员）、军队（含武警） 向转役复员离退休人员发放的用于购买住房的补贴。</w:t>
      </w:r>
    </w:p>
    <w:p w14:paraId="2C5BF508">
      <w:pPr>
        <w:widowControl/>
        <w:spacing w:line="600" w:lineRule="exact"/>
        <w:ind w:firstLine="640" w:firstLineChars="200"/>
        <w:jc w:val="left"/>
        <w:rPr>
          <w:rFonts w:ascii="仿宋_GB2312" w:eastAsia="仿宋_GB2312"/>
          <w:color w:val="000000"/>
          <w:sz w:val="32"/>
          <w:szCs w:val="30"/>
        </w:rPr>
      </w:pPr>
      <w:bookmarkStart w:id="0" w:name="_GoBack"/>
      <w:bookmarkEnd w:id="0"/>
    </w:p>
    <w:p w14:paraId="437E193E">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2B6591DC">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1BD30972">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034047DB">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思源黑体">
    <w:altName w:val="黑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CFF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063D"/>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5DF009E"/>
    <w:rsid w:val="067A6028"/>
    <w:rsid w:val="069027A8"/>
    <w:rsid w:val="06BE4E5C"/>
    <w:rsid w:val="06C16A1F"/>
    <w:rsid w:val="06EB090E"/>
    <w:rsid w:val="070F6488"/>
    <w:rsid w:val="072E0AA7"/>
    <w:rsid w:val="07351E35"/>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6F08F1"/>
    <w:rsid w:val="12AB25F0"/>
    <w:rsid w:val="12C66037"/>
    <w:rsid w:val="12D71EE1"/>
    <w:rsid w:val="12E84200"/>
    <w:rsid w:val="13024677"/>
    <w:rsid w:val="132316DC"/>
    <w:rsid w:val="13257202"/>
    <w:rsid w:val="13313DF9"/>
    <w:rsid w:val="146A26EA"/>
    <w:rsid w:val="148717CC"/>
    <w:rsid w:val="14972381"/>
    <w:rsid w:val="14DB226E"/>
    <w:rsid w:val="15E50181"/>
    <w:rsid w:val="15F1786F"/>
    <w:rsid w:val="161C45A6"/>
    <w:rsid w:val="163E20B5"/>
    <w:rsid w:val="167909DF"/>
    <w:rsid w:val="16790A4B"/>
    <w:rsid w:val="1697142E"/>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20722C"/>
    <w:rsid w:val="236372FC"/>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BEA20AB"/>
    <w:rsid w:val="2C245EB1"/>
    <w:rsid w:val="2C2D2A07"/>
    <w:rsid w:val="2C532DA0"/>
    <w:rsid w:val="2C57797E"/>
    <w:rsid w:val="2CA86A82"/>
    <w:rsid w:val="2CB371D5"/>
    <w:rsid w:val="2CBC42DB"/>
    <w:rsid w:val="2CE077B3"/>
    <w:rsid w:val="2D0D5D1F"/>
    <w:rsid w:val="2D12214D"/>
    <w:rsid w:val="2D5E2035"/>
    <w:rsid w:val="2D864873"/>
    <w:rsid w:val="2DA96B06"/>
    <w:rsid w:val="2E04418C"/>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3A0C1E"/>
    <w:rsid w:val="375717D0"/>
    <w:rsid w:val="37692CB0"/>
    <w:rsid w:val="377E2B92"/>
    <w:rsid w:val="37F44BF3"/>
    <w:rsid w:val="38194CD8"/>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390001"/>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B732E0"/>
    <w:rsid w:val="40D35977"/>
    <w:rsid w:val="413E130B"/>
    <w:rsid w:val="41B7665D"/>
    <w:rsid w:val="422514B1"/>
    <w:rsid w:val="426E79CE"/>
    <w:rsid w:val="42DE4B54"/>
    <w:rsid w:val="42FE51F6"/>
    <w:rsid w:val="43422F5A"/>
    <w:rsid w:val="435E7A42"/>
    <w:rsid w:val="439416B6"/>
    <w:rsid w:val="4394233B"/>
    <w:rsid w:val="43B35A16"/>
    <w:rsid w:val="441308E0"/>
    <w:rsid w:val="45B7128B"/>
    <w:rsid w:val="45C970A0"/>
    <w:rsid w:val="45EA198E"/>
    <w:rsid w:val="461E51EB"/>
    <w:rsid w:val="467D28D5"/>
    <w:rsid w:val="46902609"/>
    <w:rsid w:val="46916381"/>
    <w:rsid w:val="46B35164"/>
    <w:rsid w:val="46C430DC"/>
    <w:rsid w:val="46D1677D"/>
    <w:rsid w:val="474F6361"/>
    <w:rsid w:val="475F022D"/>
    <w:rsid w:val="47704B50"/>
    <w:rsid w:val="485F6737"/>
    <w:rsid w:val="48967C7F"/>
    <w:rsid w:val="48A27B87"/>
    <w:rsid w:val="48BC3499"/>
    <w:rsid w:val="493F20C4"/>
    <w:rsid w:val="4961028C"/>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1543D"/>
    <w:rsid w:val="5B196FF7"/>
    <w:rsid w:val="5B1B393B"/>
    <w:rsid w:val="5B2630E4"/>
    <w:rsid w:val="5B48305A"/>
    <w:rsid w:val="5B683C03"/>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121E89"/>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753740"/>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4FE1D9F"/>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2604FD"/>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EF26CB5"/>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1370</Words>
  <Characters>2174</Characters>
  <Lines>47</Lines>
  <Paragraphs>13</Paragraphs>
  <TotalTime>0</TotalTime>
  <ScaleCrop>false</ScaleCrop>
  <LinksUpToDate>false</LinksUpToDate>
  <CharactersWithSpaces>2245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李瑛</cp:lastModifiedBy>
  <dcterms:modified xsi:type="dcterms:W3CDTF">2026-02-28T07:55:08Z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eyJoZGlkIjoiODY2ZTBiYTAwNWU1YjdlODc1OTIzYWNhYzM5ZmM3YjAiLCJ1c2VySWQiOiIxMTAzMTY5NDg2In0=</vt:lpwstr>
  </property>
</Properties>
</file>