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bidi w:val="0"/>
        <w:rPr>
          <w:rFonts w:hint="eastAsia"/>
        </w:rPr>
      </w:pPr>
      <w:r>
        <w:rPr>
          <w:rFonts w:hint="eastAsia"/>
          <w:lang w:eastAsia="zh-CN"/>
        </w:rPr>
        <w:t>景德镇市第九中学2026</w:t>
      </w:r>
      <w:r>
        <w:rPr>
          <w:rFonts w:hint="eastAsia"/>
        </w:rPr>
        <w:t>年</w:t>
      </w:r>
      <w:r>
        <w:rPr>
          <w:rFonts w:hint="eastAsia"/>
          <w:lang w:val="en-US" w:eastAsia="zh-CN"/>
        </w:rPr>
        <w:t>单位</w:t>
      </w:r>
      <w:r>
        <w:rPr>
          <w:rFonts w:hint="eastAsia"/>
        </w:rPr>
        <w:t>预算</w:t>
      </w:r>
    </w:p>
    <w:p>
      <w:pPr>
        <w:pStyle w:val="13"/>
        <w:spacing w:line="600" w:lineRule="atLeast"/>
        <w:jc w:val="center"/>
        <w:rPr>
          <w:rFonts w:ascii="黑体" w:hAnsi="黑体" w:eastAsia="黑体"/>
          <w:color w:val="000000"/>
          <w:sz w:val="32"/>
          <w:szCs w:val="32"/>
        </w:rPr>
      </w:pPr>
    </w:p>
    <w:p>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pPr>
        <w:pStyle w:val="13"/>
        <w:rPr>
          <w:rFonts w:ascii="宋体" w:hAnsi="宋体"/>
          <w:color w:val="000000"/>
        </w:rPr>
      </w:pPr>
    </w:p>
    <w:p>
      <w:pPr>
        <w:pStyle w:val="17"/>
        <w:numPr>
          <w:ilvl w:val="0"/>
          <w:numId w:val="0"/>
        </w:numPr>
        <w:bidi w:val="0"/>
        <w:ind w:left="420" w:leftChars="200"/>
        <w:jc w:val="left"/>
        <w:rPr>
          <w:rFonts w:hint="eastAsia"/>
          <w:lang w:eastAsia="zh-CN"/>
        </w:rPr>
      </w:pPr>
      <w:r>
        <w:rPr>
          <w:rFonts w:hint="eastAsia"/>
          <w:lang w:val="en-US" w:eastAsia="zh-CN"/>
        </w:rPr>
        <w:t>第一部分  景德镇市第九中学概况</w:t>
      </w:r>
    </w:p>
    <w:p>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pPr>
        <w:pStyle w:val="18"/>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pPr>
        <w:pStyle w:val="17"/>
        <w:numPr>
          <w:ilvl w:val="0"/>
          <w:numId w:val="0"/>
        </w:numPr>
        <w:bidi w:val="0"/>
        <w:ind w:left="420" w:leftChars="200"/>
        <w:jc w:val="left"/>
        <w:rPr>
          <w:rFonts w:hint="eastAsia"/>
        </w:rPr>
      </w:pPr>
      <w:r>
        <w:rPr>
          <w:rFonts w:hint="eastAsia"/>
        </w:rPr>
        <w:t xml:space="preserve">第二部分  </w:t>
      </w:r>
      <w:r>
        <w:rPr>
          <w:rFonts w:hint="eastAsia"/>
          <w:lang w:eastAsia="zh-CN"/>
        </w:rPr>
        <w:t>景德镇市第九中学2026</w:t>
      </w:r>
      <w:r>
        <w:rPr>
          <w:rFonts w:hint="eastAsia"/>
        </w:rPr>
        <w:t>年</w:t>
      </w:r>
      <w:r>
        <w:rPr>
          <w:rFonts w:hint="eastAsia"/>
          <w:lang w:val="en-US" w:eastAsia="zh-CN"/>
        </w:rPr>
        <w:t>单位</w:t>
      </w:r>
      <w:r>
        <w:rPr>
          <w:rFonts w:hint="eastAsia"/>
        </w:rPr>
        <w:t>预算表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pPr>
        <w:pStyle w:val="18"/>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pPr>
        <w:pStyle w:val="18"/>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pPr>
        <w:pStyle w:val="18"/>
        <w:bidi w:val="0"/>
        <w:ind w:left="0" w:leftChars="0" w:firstLine="0" w:firstLineChars="0"/>
        <w:rPr>
          <w:rFonts w:hint="eastAsia" w:ascii="仿宋_GB2312" w:hAnsi="仿宋_GB2312" w:eastAsia="仿宋_GB2312" w:cs="仿宋_GB2312"/>
        </w:rPr>
      </w:pPr>
    </w:p>
    <w:p>
      <w:pPr>
        <w:pStyle w:val="17"/>
        <w:numPr>
          <w:ilvl w:val="0"/>
          <w:numId w:val="0"/>
        </w:numPr>
        <w:bidi w:val="0"/>
        <w:ind w:left="420" w:leftChars="200"/>
        <w:jc w:val="left"/>
        <w:rPr>
          <w:rFonts w:hint="eastAsia"/>
          <w:lang w:eastAsia="zh-CN"/>
        </w:rPr>
      </w:pPr>
      <w:r>
        <w:rPr>
          <w:rFonts w:hint="eastAsia"/>
          <w:lang w:eastAsia="zh-CN"/>
        </w:rPr>
        <w:t>第三部分 景德镇市第九中学 2026年</w:t>
      </w:r>
      <w:r>
        <w:rPr>
          <w:rFonts w:hint="eastAsia"/>
          <w:lang w:val="en-US" w:eastAsia="zh-CN"/>
        </w:rPr>
        <w:t>单位</w:t>
      </w:r>
      <w:r>
        <w:rPr>
          <w:rFonts w:hint="eastAsia"/>
          <w:lang w:eastAsia="zh-CN"/>
        </w:rPr>
        <w:t>预算情况说明</w:t>
      </w:r>
    </w:p>
    <w:p>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pPr>
        <w:pStyle w:val="17"/>
        <w:numPr>
          <w:ilvl w:val="0"/>
          <w:numId w:val="0"/>
        </w:numPr>
        <w:bidi w:val="0"/>
        <w:ind w:left="420" w:leftChars="200"/>
        <w:jc w:val="left"/>
        <w:rPr>
          <w:rFonts w:hint="eastAsia"/>
          <w:lang w:eastAsia="zh-CN"/>
        </w:rPr>
      </w:pPr>
      <w:r>
        <w:rPr>
          <w:rFonts w:hint="eastAsia"/>
          <w:lang w:eastAsia="zh-CN"/>
        </w:rPr>
        <w:t>第四部分  名词解释</w:t>
      </w:r>
    </w:p>
    <w:p>
      <w:pPr>
        <w:widowControl/>
        <w:spacing w:line="580" w:lineRule="exact"/>
        <w:jc w:val="center"/>
        <w:rPr>
          <w:rFonts w:ascii="仿宋_GB2312" w:eastAsia="仿宋_GB2312"/>
          <w:b/>
          <w:sz w:val="32"/>
          <w:szCs w:val="30"/>
        </w:rPr>
      </w:pPr>
    </w:p>
    <w:p>
      <w:pPr>
        <w:widowControl/>
        <w:spacing w:line="580" w:lineRule="exact"/>
        <w:jc w:val="center"/>
        <w:rPr>
          <w:rFonts w:ascii="仿宋_GB2312" w:eastAsia="仿宋_GB2312"/>
          <w:b/>
          <w:sz w:val="32"/>
          <w:szCs w:val="30"/>
        </w:rPr>
      </w:pPr>
    </w:p>
    <w:p>
      <w:pPr>
        <w:pStyle w:val="17"/>
        <w:numPr>
          <w:ilvl w:val="0"/>
          <w:numId w:val="0"/>
        </w:numPr>
        <w:bidi w:val="0"/>
        <w:ind w:left="420" w:leftChars="200"/>
        <w:jc w:val="center"/>
        <w:rPr>
          <w:rFonts w:hint="eastAsia"/>
          <w:lang w:eastAsia="zh-CN"/>
        </w:rPr>
      </w:pPr>
      <w:r>
        <w:rPr>
          <w:rFonts w:hint="eastAsia"/>
          <w:lang w:eastAsia="zh-CN"/>
        </w:rPr>
        <w:t>第一部分  景德镇市第九中学概况</w:t>
      </w:r>
    </w:p>
    <w:p>
      <w:pPr>
        <w:widowControl/>
        <w:spacing w:line="580" w:lineRule="exact"/>
        <w:jc w:val="left"/>
        <w:rPr>
          <w:rFonts w:asciiTheme="minorEastAsia" w:hAnsiTheme="minorEastAsia"/>
          <w:b/>
          <w:sz w:val="36"/>
          <w:szCs w:val="36"/>
        </w:rPr>
      </w:pPr>
    </w:p>
    <w:p>
      <w:pPr>
        <w:pStyle w:val="17"/>
        <w:numPr>
          <w:ilvl w:val="0"/>
          <w:numId w:val="3"/>
        </w:numPr>
        <w:bidi w:val="0"/>
        <w:ind w:left="420" w:leftChars="200" w:firstLine="320" w:firstLineChars="100"/>
        <w:rPr>
          <w:rFonts w:hint="eastAsia"/>
        </w:rPr>
      </w:pPr>
      <w:r>
        <w:rPr>
          <w:rFonts w:hint="eastAsia"/>
          <w:lang w:val="en-US" w:eastAsia="zh-CN"/>
        </w:rPr>
        <w:t>单位</w:t>
      </w:r>
      <w:r>
        <w:rPr>
          <w:rFonts w:hint="eastAsia"/>
        </w:rPr>
        <w:t>主要职责</w:t>
      </w:r>
    </w:p>
    <w:p>
      <w:pPr>
        <w:ind w:firstLine="630" w:firstLineChars="300"/>
        <w:jc w:val="left"/>
        <w:rPr>
          <w:rFonts w:hint="eastAsia" w:ascii="仿宋_GB2312" w:hAnsi="仿宋_GB2312" w:eastAsia="仿宋_GB2312"/>
          <w:sz w:val="32"/>
          <w:szCs w:val="32"/>
          <w:lang w:val="en-US" w:eastAsia="zh-CN"/>
        </w:rPr>
      </w:pPr>
      <w:r>
        <w:rPr>
          <w:rFonts w:hint="eastAsia"/>
          <w:lang w:val="en-US" w:eastAsia="zh-CN"/>
        </w:rPr>
        <w:t xml:space="preserve">      </w:t>
      </w:r>
      <w:r>
        <w:rPr>
          <w:rFonts w:hint="eastAsia" w:ascii="仿宋_GB2312" w:hAnsi="仿宋_GB2312" w:eastAsia="仿宋_GB2312"/>
          <w:sz w:val="32"/>
          <w:szCs w:val="32"/>
          <w:lang w:val="en-US" w:eastAsia="zh-CN"/>
        </w:rPr>
        <w:t>景德镇市第九中学是景德镇市教育局下属单位，主要职责是：</w:t>
      </w:r>
    </w:p>
    <w:p>
      <w:pPr>
        <w:ind w:firstLine="63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（一）实施小学、初中九年义务教育，促进基础教育发展。</w:t>
      </w:r>
    </w:p>
    <w:p>
      <w:pPr>
        <w:ind w:firstLine="63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（二）宣传</w:t>
      </w:r>
      <w:r>
        <w:rPr>
          <w:rFonts w:hint="eastAsia" w:ascii="仿宋_GB2312" w:hAnsi="仿宋_GB2312" w:eastAsia="仿宋_GB2312"/>
          <w:sz w:val="32"/>
          <w:szCs w:val="32"/>
        </w:rPr>
        <w:t>贯彻执行党</w:t>
      </w:r>
      <w:r>
        <w:rPr>
          <w:rFonts w:hint="eastAsia" w:ascii="仿宋_GB2312" w:hAnsi="仿宋_GB2312" w:eastAsia="仿宋_GB2312"/>
          <w:sz w:val="32"/>
          <w:szCs w:val="32"/>
          <w:lang w:val="en-US" w:eastAsia="zh-CN"/>
        </w:rPr>
        <w:t>和国家</w:t>
      </w:r>
      <w:r>
        <w:rPr>
          <w:rFonts w:hint="eastAsia" w:ascii="仿宋_GB2312" w:hAnsi="仿宋_GB2312" w:eastAsia="仿宋_GB2312"/>
          <w:sz w:val="32"/>
          <w:szCs w:val="32"/>
        </w:rPr>
        <w:t>的</w:t>
      </w:r>
      <w:r>
        <w:rPr>
          <w:rFonts w:hint="eastAsia" w:ascii="仿宋_GB2312" w:hAnsi="仿宋_GB2312" w:eastAsia="仿宋_GB2312"/>
          <w:sz w:val="32"/>
          <w:szCs w:val="32"/>
          <w:lang w:val="en-US" w:eastAsia="zh-CN"/>
        </w:rPr>
        <w:t>教育</w:t>
      </w:r>
      <w:r>
        <w:rPr>
          <w:rFonts w:hint="eastAsia" w:ascii="仿宋_GB2312" w:hAnsi="仿宋_GB2312" w:eastAsia="仿宋_GB2312"/>
          <w:sz w:val="32"/>
          <w:szCs w:val="32"/>
        </w:rPr>
        <w:t>方针和政策</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坚持正确的办学方向</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坚持依法治教，依法治学。</w:t>
      </w:r>
    </w:p>
    <w:p>
      <w:pPr>
        <w:ind w:firstLine="630"/>
        <w:jc w:val="left"/>
        <w:rPr>
          <w:rFonts w:hint="eastAsia" w:ascii="仿宋_GB2312" w:hAnsi="仿宋_GB2312" w:eastAsia="仿宋_GB2312"/>
          <w:sz w:val="32"/>
          <w:szCs w:val="32"/>
          <w:lang w:eastAsia="zh-CN"/>
        </w:rPr>
      </w:pP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认真贯彻执行《中华人民共和国义务教育法》，认真完成普及义务教育的任务，严格执行教学大纲，坚持“德、智、体、美、劳”全面发展</w:t>
      </w:r>
      <w:r>
        <w:rPr>
          <w:rFonts w:hint="eastAsia" w:ascii="仿宋_GB2312" w:hAnsi="仿宋_GB2312" w:eastAsia="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0"/>
          <w:lang w:val="en-US" w:eastAsia="zh-CN" w:bidi="ar-SA"/>
        </w:rPr>
      </w:pP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四</w:t>
      </w:r>
      <w:r>
        <w:rPr>
          <w:rFonts w:hint="eastAsia" w:ascii="仿宋_GB2312" w:hAnsi="仿宋_GB2312" w:eastAsia="仿宋_GB2312"/>
          <w:sz w:val="32"/>
          <w:szCs w:val="32"/>
          <w:lang w:eastAsia="zh-CN"/>
        </w:rPr>
        <w:t>）</w:t>
      </w:r>
      <w:r>
        <w:rPr>
          <w:rFonts w:hint="eastAsia" w:ascii="仿宋_GB2312" w:hAnsi="仿宋_GB2312" w:eastAsia="仿宋_GB2312" w:cs="仿宋_GB2312"/>
          <w:snapToGrid/>
          <w:kern w:val="2"/>
          <w:sz w:val="32"/>
          <w:szCs w:val="30"/>
          <w:lang w:val="en-US" w:eastAsia="zh-CN" w:bidi="ar-SA"/>
        </w:rPr>
        <w:t>负责科学管理、合理使用学校设施和经费，改善办学条件，依法接受各级教育行政部门的检查指导和人民群众的监督。</w:t>
      </w:r>
    </w:p>
    <w:p>
      <w:pPr>
        <w:numPr>
          <w:ilvl w:val="0"/>
          <w:numId w:val="0"/>
        </w:numPr>
        <w:rPr>
          <w:rFonts w:hint="eastAsia" w:eastAsiaTheme="minorEastAsia"/>
          <w:lang w:val="en-US" w:eastAsia="zh-CN"/>
        </w:rPr>
      </w:pPr>
    </w:p>
    <w:p>
      <w:pPr>
        <w:pStyle w:val="18"/>
        <w:bidi w:val="0"/>
        <w:rPr>
          <w:rFonts w:hint="eastAsia" w:ascii="仿宋_GB2312" w:hAnsi="仿宋_GB2312" w:eastAsia="仿宋_GB2312" w:cs="仿宋_GB2312"/>
        </w:rPr>
      </w:pPr>
    </w:p>
    <w:p>
      <w:pPr>
        <w:pStyle w:val="17"/>
        <w:numPr>
          <w:ilvl w:val="0"/>
          <w:numId w:val="0"/>
        </w:numPr>
        <w:bidi w:val="0"/>
        <w:ind w:left="420" w:leftChars="200" w:firstLine="320" w:firstLineChars="100"/>
        <w:rPr>
          <w:rFonts w:hint="eastAsia"/>
        </w:rPr>
      </w:pPr>
      <w:r>
        <w:rPr>
          <w:rFonts w:hint="eastAsia"/>
        </w:rPr>
        <w:t>二、机构设置及人员情况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2026年景德镇市第九中学内设科室9个，包括办公室、教务处、政教处、总务处、保卫处、科研处、监察室、工会、团委。</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r>
        <w:rPr>
          <w:rFonts w:hint="eastAsia" w:ascii="仿宋_GB2312" w:hAnsi="仿宋_GB2312" w:eastAsia="仿宋_GB2312" w:cs="仿宋_GB2312"/>
          <w:kern w:val="2"/>
          <w:sz w:val="32"/>
          <w:szCs w:val="30"/>
          <w:lang w:val="en-US" w:eastAsia="zh-CN" w:bidi="ar-SA"/>
        </w:rPr>
        <w:t>编制人数共计142人，其中：全部补助事业编制人数142人。实有人数共计270人，其中：在职人数小计155人，包括全部补助事业人员在职人数155人。离休人数小计0人；退休人数小计115人。在校初中学生1747人。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kern w:val="2"/>
          <w:sz w:val="32"/>
          <w:szCs w:val="30"/>
          <w:lang w:val="en-US" w:eastAsia="zh-CN" w:bidi="ar-SA"/>
        </w:rPr>
      </w:pPr>
    </w:p>
    <w:p>
      <w:pPr>
        <w:pStyle w:val="17"/>
        <w:numPr>
          <w:ilvl w:val="0"/>
          <w:numId w:val="0"/>
        </w:numPr>
        <w:bidi w:val="0"/>
        <w:ind w:firstLine="640" w:firstLineChars="200"/>
        <w:jc w:val="both"/>
        <w:rPr>
          <w:rFonts w:hint="eastAsia"/>
          <w:lang w:eastAsia="zh-CN"/>
        </w:rPr>
      </w:pPr>
      <w:r>
        <w:rPr>
          <w:rFonts w:hint="eastAsia"/>
          <w:lang w:eastAsia="zh-CN"/>
        </w:rPr>
        <w:t>第二部分  景德镇市第九中学2026年</w:t>
      </w:r>
      <w:r>
        <w:rPr>
          <w:rFonts w:hint="eastAsia"/>
          <w:lang w:val="en-US" w:eastAsia="zh-CN"/>
        </w:rPr>
        <w:t>单位</w:t>
      </w:r>
      <w:r>
        <w:rPr>
          <w:rFonts w:hint="eastAsia"/>
          <w:lang w:eastAsia="zh-CN"/>
        </w:rPr>
        <w:t>预算表</w:t>
      </w:r>
    </w:p>
    <w:p>
      <w:pPr>
        <w:pStyle w:val="17"/>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8"/>
        <w:tblW w:w="10466" w:type="dxa"/>
        <w:jc w:val="center"/>
        <w:tblInd w:w="0" w:type="dxa"/>
        <w:tblLayout w:type="fixed"/>
        <w:tblCellMar>
          <w:top w:w="0" w:type="dxa"/>
          <w:left w:w="108" w:type="dxa"/>
          <w:bottom w:w="0" w:type="dxa"/>
          <w:right w:w="108" w:type="dxa"/>
        </w:tblCellMar>
      </w:tblPr>
      <w:tblGrid>
        <w:gridCol w:w="3059"/>
        <w:gridCol w:w="2204"/>
        <w:gridCol w:w="3464"/>
        <w:gridCol w:w="1739"/>
      </w:tblGrid>
      <w:tr>
        <w:tblPrEx>
          <w:tblLayout w:type="fixed"/>
          <w:tblCellMar>
            <w:top w:w="0" w:type="dxa"/>
            <w:left w:w="108" w:type="dxa"/>
            <w:bottom w:w="0" w:type="dxa"/>
            <w:right w:w="108" w:type="dxa"/>
          </w:tblCellMar>
        </w:tblPrEx>
        <w:trPr>
          <w:trHeight w:val="585" w:hRule="atLeast"/>
          <w:tblHeader/>
          <w:jc w:val="center"/>
        </w:trPr>
        <w:tc>
          <w:tcPr>
            <w:tcW w:w="10466" w:type="dxa"/>
            <w:gridSpan w:val="4"/>
            <w:noWrap/>
            <w:vAlign w:val="center"/>
          </w:tcPr>
          <w:p>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tblPrEx>
          <w:tblLayout w:type="fixed"/>
          <w:tblCellMar>
            <w:top w:w="0" w:type="dxa"/>
            <w:left w:w="108" w:type="dxa"/>
            <w:bottom w:w="0" w:type="dxa"/>
            <w:right w:w="108" w:type="dxa"/>
          </w:tblCellMar>
        </w:tblPrEx>
        <w:trPr>
          <w:trHeight w:val="345" w:hRule="atLeast"/>
          <w:tblHeader/>
          <w:jc w:val="center"/>
        </w:trPr>
        <w:tc>
          <w:tcPr>
            <w:tcW w:w="5263" w:type="dxa"/>
            <w:gridSpan w:val="2"/>
            <w:noWrap/>
            <w:vAlign w:val="center"/>
          </w:tcPr>
          <w:p>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201020景德镇市第九中学</w:t>
            </w:r>
          </w:p>
        </w:tc>
        <w:tc>
          <w:tcPr>
            <w:tcW w:w="3464" w:type="dxa"/>
            <w:noWrap/>
            <w:vAlign w:val="bottom"/>
          </w:tcPr>
          <w:p>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1739" w:type="dxa"/>
            <w:noWrap/>
            <w:vAlign w:val="center"/>
          </w:tcPr>
          <w:p>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tblPrEx>
          <w:tblLayout w:type="fixed"/>
          <w:tblCellMar>
            <w:top w:w="0" w:type="dxa"/>
            <w:left w:w="108" w:type="dxa"/>
            <w:bottom w:w="0" w:type="dxa"/>
            <w:right w:w="108" w:type="dxa"/>
          </w:tblCellMar>
        </w:tblPrEx>
        <w:trPr>
          <w:cantSplit/>
          <w:trHeight w:val="283" w:hRule="atLeast"/>
          <w:tblHeader/>
          <w:jc w:val="center"/>
        </w:trPr>
        <w:tc>
          <w:tcPr>
            <w:tcW w:w="526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5203" w:type="dxa"/>
            <w:gridSpan w:val="2"/>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tblPrEx>
          <w:tblLayout w:type="fixed"/>
          <w:tblCellMar>
            <w:top w:w="0" w:type="dxa"/>
            <w:left w:w="108" w:type="dxa"/>
            <w:bottom w:w="0" w:type="dxa"/>
            <w:right w:w="108" w:type="dxa"/>
          </w:tblCellMar>
        </w:tblPrEx>
        <w:trPr>
          <w:cantSplit/>
          <w:trHeight w:val="283" w:hRule="atLeast"/>
          <w:tblHeader/>
          <w:jc w:val="center"/>
        </w:trPr>
        <w:tc>
          <w:tcPr>
            <w:tcW w:w="3059"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2204" w:type="dxa"/>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2204"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3,100.76</w:t>
            </w: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教育支出</w:t>
            </w: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3,378.76</w:t>
            </w: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3,100.76</w:t>
            </w: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220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220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220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220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278.00</w:t>
            </w: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000000"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2204"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346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73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nil"/>
              <w:left w:val="single" w:color="000000" w:sz="4" w:space="0"/>
              <w:bottom w:val="single" w:color="auto"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2204" w:type="dxa"/>
            <w:tcBorders>
              <w:top w:val="nil"/>
              <w:left w:val="nil"/>
              <w:bottom w:val="single" w:color="auto"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3,378.76</w:t>
            </w:r>
          </w:p>
        </w:tc>
        <w:tc>
          <w:tcPr>
            <w:tcW w:w="3464" w:type="dxa"/>
            <w:tcBorders>
              <w:top w:val="nil"/>
              <w:left w:val="nil"/>
              <w:bottom w:val="single" w:color="auto" w:sz="4" w:space="0"/>
              <w:right w:val="single" w:color="000000"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1739" w:type="dxa"/>
            <w:tcBorders>
              <w:top w:val="nil"/>
              <w:left w:val="nil"/>
              <w:bottom w:val="single" w:color="auto" w:sz="4" w:space="0"/>
              <w:right w:val="single" w:color="000000" w:sz="4" w:space="0"/>
            </w:tcBorders>
            <w:noWrap/>
            <w:vAlign w:val="bottom"/>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3,378.76</w:t>
            </w: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2204" w:type="dxa"/>
            <w:tcBorders>
              <w:top w:val="single" w:color="auto" w:sz="4" w:space="0"/>
              <w:left w:val="single" w:color="auto" w:sz="4" w:space="0"/>
              <w:bottom w:val="single" w:color="auto" w:sz="4" w:space="0"/>
              <w:right w:val="single" w:color="auto"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1739" w:type="dxa"/>
            <w:tcBorders>
              <w:top w:val="single" w:color="auto" w:sz="4" w:space="0"/>
              <w:left w:val="single" w:color="auto" w:sz="4" w:space="0"/>
              <w:bottom w:val="single" w:color="auto" w:sz="4" w:space="0"/>
              <w:right w:val="single" w:color="auto"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tblPrEx>
          <w:tblLayout w:type="fixed"/>
          <w:tblCellMar>
            <w:top w:w="0" w:type="dxa"/>
            <w:left w:w="108" w:type="dxa"/>
            <w:bottom w:w="0" w:type="dxa"/>
            <w:right w:w="108" w:type="dxa"/>
          </w:tblCellMar>
        </w:tblPrEx>
        <w:trPr>
          <w:cantSplit/>
          <w:trHeight w:val="283" w:hRule="atLeast"/>
          <w:jc w:val="center"/>
        </w:trPr>
        <w:tc>
          <w:tcPr>
            <w:tcW w:w="3059" w:type="dxa"/>
            <w:tcBorders>
              <w:top w:val="single" w:color="auto" w:sz="4" w:space="0"/>
              <w:left w:val="single" w:color="000000" w:sz="4" w:space="0"/>
              <w:bottom w:val="single" w:color="auto" w:sz="4" w:space="0"/>
              <w:right w:val="nil"/>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2204" w:type="dxa"/>
            <w:tcBorders>
              <w:top w:val="single" w:color="auto" w:sz="4" w:space="0"/>
              <w:left w:val="single" w:color="000000" w:sz="4" w:space="0"/>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3464" w:type="dxa"/>
            <w:tcBorders>
              <w:top w:val="single" w:color="auto" w:sz="4" w:space="0"/>
              <w:left w:val="nil"/>
              <w:bottom w:val="single" w:color="auto" w:sz="4" w:space="0"/>
              <w:right w:val="single" w:color="000000" w:sz="4" w:space="0"/>
            </w:tcBorders>
            <w:noWrap/>
            <w:vAlign w:val="bottom"/>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739" w:type="dxa"/>
            <w:tcBorders>
              <w:top w:val="single" w:color="auto" w:sz="4" w:space="0"/>
              <w:left w:val="nil"/>
              <w:bottom w:val="single" w:color="auto" w:sz="4" w:space="0"/>
              <w:right w:val="single" w:color="000000" w:sz="4" w:space="0"/>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tblPrEx>
          <w:tblLayout w:type="fixed"/>
          <w:tblCellMar>
            <w:top w:w="0" w:type="dxa"/>
            <w:left w:w="108" w:type="dxa"/>
            <w:bottom w:w="0" w:type="dxa"/>
            <w:right w:w="108" w:type="dxa"/>
          </w:tblCellMar>
        </w:tblPrEx>
        <w:trPr>
          <w:trHeight w:val="283" w:hRule="atLeast"/>
          <w:jc w:val="center"/>
        </w:trPr>
        <w:tc>
          <w:tcPr>
            <w:tcW w:w="3059" w:type="dxa"/>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2204"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3,378.76</w:t>
            </w:r>
          </w:p>
        </w:tc>
        <w:tc>
          <w:tcPr>
            <w:tcW w:w="3464" w:type="dxa"/>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1739" w:type="dxa"/>
            <w:tcBorders>
              <w:top w:val="single" w:color="auto" w:sz="4" w:space="0"/>
              <w:left w:val="single" w:color="auto" w:sz="4" w:space="0"/>
              <w:bottom w:val="single" w:color="auto" w:sz="4" w:space="0"/>
              <w:right w:val="single" w:color="auto" w:sz="4" w:space="0"/>
            </w:tcBorders>
            <w:noWrap/>
            <w:vAlign w:val="bottom"/>
          </w:tcPr>
          <w:p>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3,378.76</w:t>
            </w:r>
          </w:p>
        </w:tc>
      </w:tr>
    </w:tbl>
    <w:p>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11169" w:type="dxa"/>
        <w:tblInd w:w="-329" w:type="dxa"/>
        <w:tblLayout w:type="fixed"/>
        <w:tblCellMar>
          <w:top w:w="0" w:type="dxa"/>
          <w:left w:w="108" w:type="dxa"/>
          <w:bottom w:w="0" w:type="dxa"/>
          <w:right w:w="108" w:type="dxa"/>
        </w:tblCellMar>
      </w:tblPr>
      <w:tblGrid>
        <w:gridCol w:w="1516"/>
        <w:gridCol w:w="1101"/>
        <w:gridCol w:w="744"/>
        <w:gridCol w:w="990"/>
        <w:gridCol w:w="818"/>
        <w:gridCol w:w="670"/>
        <w:gridCol w:w="733"/>
        <w:gridCol w:w="648"/>
        <w:gridCol w:w="748"/>
        <w:gridCol w:w="713"/>
        <w:gridCol w:w="643"/>
        <w:gridCol w:w="489"/>
        <w:gridCol w:w="713"/>
        <w:gridCol w:w="643"/>
      </w:tblGrid>
      <w:tr>
        <w:tblPrEx>
          <w:tblLayout w:type="fixed"/>
          <w:tblCellMar>
            <w:top w:w="0" w:type="dxa"/>
            <w:left w:w="108" w:type="dxa"/>
            <w:bottom w:w="0" w:type="dxa"/>
            <w:right w:w="108" w:type="dxa"/>
          </w:tblCellMar>
        </w:tblPrEx>
        <w:trPr>
          <w:trHeight w:val="372" w:hRule="atLeast"/>
        </w:trPr>
        <w:tc>
          <w:tcPr>
            <w:tcW w:w="11169" w:type="dxa"/>
            <w:gridSpan w:val="14"/>
            <w:tcBorders>
              <w:top w:val="nil"/>
              <w:left w:val="nil"/>
              <w:bottom w:val="nil"/>
              <w:right w:val="nil"/>
            </w:tcBorders>
            <w:shd w:val="clear" w:color="auto" w:fill="auto"/>
            <w:noWrap/>
            <w:vAlign w:val="center"/>
          </w:tcPr>
          <w:p>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tblPrEx>
          <w:tblLayout w:type="fixed"/>
          <w:tblCellMar>
            <w:top w:w="0" w:type="dxa"/>
            <w:left w:w="108" w:type="dxa"/>
            <w:bottom w:w="0" w:type="dxa"/>
            <w:right w:w="108" w:type="dxa"/>
          </w:tblCellMar>
        </w:tblPrEx>
        <w:trPr>
          <w:trHeight w:val="327" w:hRule="atLeast"/>
        </w:trPr>
        <w:tc>
          <w:tcPr>
            <w:tcW w:w="4351" w:type="dxa"/>
            <w:gridSpan w:val="4"/>
            <w:tcBorders>
              <w:top w:val="nil"/>
              <w:left w:val="nil"/>
              <w:bottom w:val="single" w:color="auto" w:sz="4" w:space="0"/>
              <w:right w:val="nil"/>
            </w:tcBorders>
            <w:shd w:val="clear" w:color="auto" w:fill="auto"/>
            <w:noWrap/>
            <w:vAlign w:val="center"/>
          </w:tcPr>
          <w:p>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填报单位:201020景德镇市第九中学</w:t>
            </w:r>
          </w:p>
        </w:tc>
        <w:tc>
          <w:tcPr>
            <w:tcW w:w="818" w:type="dxa"/>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670" w:type="dxa"/>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733" w:type="dxa"/>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648" w:type="dxa"/>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748" w:type="dxa"/>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713" w:type="dxa"/>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643" w:type="dxa"/>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489" w:type="dxa"/>
            <w:tcBorders>
              <w:top w:val="nil"/>
              <w:left w:val="nil"/>
              <w:bottom w:val="single" w:color="auto" w:sz="4" w:space="0"/>
              <w:right w:val="nil"/>
            </w:tcBorders>
            <w:shd w:val="clear" w:color="auto" w:fill="auto"/>
            <w:noWrap/>
            <w:vAlign w:val="bottom"/>
          </w:tcPr>
          <w:p>
            <w:pPr>
              <w:widowControl/>
              <w:jc w:val="left"/>
              <w:rPr>
                <w:rFonts w:ascii="Times New Roman" w:hAnsi="Times New Roman" w:eastAsia="Times New Roman" w:cs="Times New Roman"/>
                <w:kern w:val="0"/>
                <w:sz w:val="20"/>
                <w:szCs w:val="20"/>
              </w:rPr>
            </w:pPr>
          </w:p>
        </w:tc>
        <w:tc>
          <w:tcPr>
            <w:tcW w:w="1356" w:type="dxa"/>
            <w:gridSpan w:val="2"/>
            <w:tcBorders>
              <w:top w:val="nil"/>
              <w:left w:val="nil"/>
              <w:bottom w:val="single" w:color="auto" w:sz="4" w:space="0"/>
              <w:right w:val="nil"/>
            </w:tcBorders>
            <w:shd w:val="clear" w:color="auto" w:fill="auto"/>
            <w:noWrap/>
            <w:vAlign w:val="bottom"/>
          </w:tcPr>
          <w:p>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tblPrEx>
          <w:tblLayout w:type="fixed"/>
          <w:tblCellMar>
            <w:top w:w="0" w:type="dxa"/>
            <w:left w:w="108" w:type="dxa"/>
            <w:bottom w:w="0" w:type="dxa"/>
            <w:right w:w="108" w:type="dxa"/>
          </w:tblCellMar>
        </w:tblPrEx>
        <w:trPr>
          <w:cantSplit/>
          <w:trHeight w:val="283" w:hRule="atLeast"/>
        </w:trPr>
        <w:tc>
          <w:tcPr>
            <w:tcW w:w="1516" w:type="dxa"/>
            <w:vMerge w:val="restart"/>
            <w:tcBorders>
              <w:top w:val="single" w:color="auto" w:sz="4" w:space="0"/>
              <w:left w:val="single" w:color="auto" w:sz="4" w:space="0"/>
              <w:right w:val="single" w:color="auto" w:sz="4" w:space="0"/>
            </w:tcBorders>
            <w:shd w:val="clear" w:color="auto" w:fill="auto"/>
            <w:noWrap/>
            <w:vAlign w:val="center"/>
          </w:tcPr>
          <w:p>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110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7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3211"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6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7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7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6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4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7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6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tblPrEx>
          <w:tblLayout w:type="fixed"/>
          <w:tblCellMar>
            <w:top w:w="0" w:type="dxa"/>
            <w:left w:w="108" w:type="dxa"/>
            <w:bottom w:w="0" w:type="dxa"/>
            <w:right w:w="108" w:type="dxa"/>
          </w:tblCellMar>
        </w:tblPrEx>
        <w:trPr>
          <w:cantSplit/>
          <w:trHeight w:val="554" w:hRule="atLeast"/>
        </w:trPr>
        <w:tc>
          <w:tcPr>
            <w:tcW w:w="151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11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8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6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7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6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7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6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4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7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c>
          <w:tcPr>
            <w:tcW w:w="6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Arial"/>
                <w:color w:val="000000"/>
                <w:kern w:val="0"/>
                <w:sz w:val="13"/>
                <w:szCs w:val="13"/>
              </w:rPr>
            </w:pPr>
          </w:p>
        </w:tc>
      </w:tr>
      <w:tr>
        <w:tblPrEx>
          <w:tblLayout w:type="fixed"/>
          <w:tblCellMar>
            <w:top w:w="0" w:type="dxa"/>
            <w:left w:w="108" w:type="dxa"/>
            <w:bottom w:w="0" w:type="dxa"/>
            <w:right w:w="108" w:type="dxa"/>
          </w:tblCellMar>
        </w:tblPrEx>
        <w:trPr>
          <w:cantSplit/>
          <w:trHeight w:val="389" w:hRule="atLeast"/>
        </w:trPr>
        <w:tc>
          <w:tcPr>
            <w:tcW w:w="15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11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8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7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6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7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6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4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6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tblPrEx>
          <w:tblLayout w:type="fixed"/>
          <w:tblCellMar>
            <w:top w:w="0" w:type="dxa"/>
            <w:left w:w="108" w:type="dxa"/>
            <w:bottom w:w="0" w:type="dxa"/>
            <w:right w:w="108" w:type="dxa"/>
          </w:tblCellMar>
        </w:tblPrEx>
        <w:trPr>
          <w:cantSplit/>
          <w:trHeight w:val="454" w:hRule="atLeast"/>
        </w:trPr>
        <w:tc>
          <w:tcPr>
            <w:tcW w:w="15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景德镇市第九中学</w:t>
            </w:r>
          </w:p>
        </w:tc>
        <w:tc>
          <w:tcPr>
            <w:tcW w:w="11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3,378.76</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99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3,100.76</w:t>
            </w:r>
          </w:p>
        </w:tc>
        <w:tc>
          <w:tcPr>
            <w:tcW w:w="8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3,100.76</w:t>
            </w:r>
          </w:p>
        </w:tc>
        <w:tc>
          <w:tcPr>
            <w:tcW w:w="67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3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6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6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4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71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278.00</w:t>
            </w:r>
          </w:p>
        </w:tc>
        <w:tc>
          <w:tcPr>
            <w:tcW w:w="6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10466" w:type="dxa"/>
        <w:tblInd w:w="0" w:type="dxa"/>
        <w:tblLayout w:type="fixed"/>
        <w:tblCellMar>
          <w:top w:w="0" w:type="dxa"/>
          <w:left w:w="108" w:type="dxa"/>
          <w:bottom w:w="0" w:type="dxa"/>
          <w:right w:w="108" w:type="dxa"/>
        </w:tblCellMar>
      </w:tblPr>
      <w:tblGrid>
        <w:gridCol w:w="1918"/>
        <w:gridCol w:w="3803"/>
        <w:gridCol w:w="1913"/>
        <w:gridCol w:w="1350"/>
        <w:gridCol w:w="1482"/>
      </w:tblGrid>
      <w:tr>
        <w:tblPrEx>
          <w:tblLayout w:type="fixed"/>
          <w:tblCellMar>
            <w:top w:w="0" w:type="dxa"/>
            <w:left w:w="108" w:type="dxa"/>
            <w:bottom w:w="0" w:type="dxa"/>
            <w:right w:w="108" w:type="dxa"/>
          </w:tblCellMar>
        </w:tblPrEx>
        <w:trPr>
          <w:trHeight w:val="585" w:hRule="atLeast"/>
        </w:trPr>
        <w:tc>
          <w:tcPr>
            <w:tcW w:w="10466" w:type="dxa"/>
            <w:gridSpan w:val="5"/>
            <w:tcBorders>
              <w:top w:val="nil"/>
              <w:left w:val="nil"/>
              <w:bottom w:val="nil"/>
              <w:right w:val="nil"/>
            </w:tcBorders>
            <w:shd w:val="clear" w:color="auto" w:fill="auto"/>
            <w:noWrap/>
            <w:vAlign w:val="center"/>
          </w:tcPr>
          <w:p>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tblPrEx>
          <w:tblLayout w:type="fixed"/>
          <w:tblCellMar>
            <w:top w:w="0" w:type="dxa"/>
            <w:left w:w="108" w:type="dxa"/>
            <w:bottom w:w="0" w:type="dxa"/>
            <w:right w:w="108" w:type="dxa"/>
          </w:tblCellMar>
        </w:tblPrEx>
        <w:trPr>
          <w:trHeight w:val="420" w:hRule="atLeast"/>
        </w:trPr>
        <w:tc>
          <w:tcPr>
            <w:tcW w:w="5721" w:type="dxa"/>
            <w:gridSpan w:val="2"/>
            <w:tcBorders>
              <w:top w:val="nil"/>
              <w:left w:val="nil"/>
              <w:bottom w:val="nil"/>
              <w:right w:val="nil"/>
            </w:tcBorders>
            <w:shd w:val="clear" w:color="auto" w:fill="auto"/>
            <w:noWrap/>
            <w:vAlign w:val="center"/>
          </w:tcPr>
          <w:p>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201020景德镇市第九中学</w:t>
            </w:r>
          </w:p>
        </w:tc>
        <w:tc>
          <w:tcPr>
            <w:tcW w:w="1913" w:type="dxa"/>
            <w:tcBorders>
              <w:top w:val="nil"/>
              <w:left w:val="nil"/>
              <w:bottom w:val="nil"/>
              <w:right w:val="nil"/>
            </w:tcBorders>
            <w:shd w:val="clear" w:color="auto" w:fill="auto"/>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350" w:type="dxa"/>
            <w:tcBorders>
              <w:top w:val="nil"/>
              <w:left w:val="nil"/>
              <w:bottom w:val="nil"/>
              <w:right w:val="nil"/>
            </w:tcBorders>
            <w:shd w:val="clear" w:color="auto" w:fill="auto"/>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482" w:type="dxa"/>
            <w:tcBorders>
              <w:top w:val="nil"/>
              <w:left w:val="nil"/>
              <w:bottom w:val="nil"/>
              <w:right w:val="nil"/>
            </w:tcBorders>
            <w:shd w:val="clear" w:color="auto" w:fill="auto"/>
            <w:noWrap/>
            <w:vAlign w:val="bottom"/>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tblPrEx>
          <w:tblLayout w:type="fixed"/>
          <w:tblCellMar>
            <w:top w:w="0" w:type="dxa"/>
            <w:left w:w="108" w:type="dxa"/>
            <w:bottom w:w="0" w:type="dxa"/>
            <w:right w:w="108" w:type="dxa"/>
          </w:tblCellMar>
        </w:tblPrEx>
        <w:trPr>
          <w:cantSplit/>
          <w:trHeight w:val="283" w:hRule="atLeast"/>
        </w:trPr>
        <w:tc>
          <w:tcPr>
            <w:tcW w:w="57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1913" w:type="dxa"/>
            <w:vMerge w:val="restart"/>
            <w:tcBorders>
              <w:top w:val="single" w:color="000000" w:sz="4" w:space="0"/>
              <w:left w:val="single" w:color="000000" w:sz="4" w:space="0"/>
              <w:bottom w:val="single" w:color="000000" w:sz="4" w:space="0"/>
              <w:right w:val="nil"/>
            </w:tcBorders>
            <w:shd w:val="clear" w:color="auto" w:fill="auto"/>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350" w:type="dxa"/>
            <w:vMerge w:val="restart"/>
            <w:tcBorders>
              <w:top w:val="single" w:color="000000" w:sz="4" w:space="0"/>
              <w:left w:val="single" w:color="000000" w:sz="4" w:space="0"/>
              <w:bottom w:val="single" w:color="000000" w:sz="4" w:space="0"/>
              <w:right w:val="nil"/>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tblPrEx>
          <w:tblLayout w:type="fixed"/>
          <w:tblCellMar>
            <w:top w:w="0" w:type="dxa"/>
            <w:left w:w="108" w:type="dxa"/>
            <w:bottom w:w="0" w:type="dxa"/>
            <w:right w:w="108" w:type="dxa"/>
          </w:tblCellMar>
        </w:tblPrEx>
        <w:trPr>
          <w:cantSplit/>
          <w:trHeight w:val="283" w:hRule="atLeast"/>
        </w:trPr>
        <w:tc>
          <w:tcPr>
            <w:tcW w:w="1918" w:type="dxa"/>
            <w:tcBorders>
              <w:top w:val="nil"/>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3803" w:type="dxa"/>
            <w:tcBorders>
              <w:top w:val="nil"/>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913" w:type="dxa"/>
            <w:vMerge w:val="continue"/>
            <w:tcBorders>
              <w:top w:val="single" w:color="000000" w:sz="4" w:space="0"/>
              <w:left w:val="single" w:color="000000" w:sz="4" w:space="0"/>
              <w:bottom w:val="single" w:color="000000" w:sz="4" w:space="0"/>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350" w:type="dxa"/>
            <w:vMerge w:val="continue"/>
            <w:tcBorders>
              <w:top w:val="single" w:color="000000" w:sz="4" w:space="0"/>
              <w:left w:val="single" w:color="000000" w:sz="4" w:space="0"/>
              <w:bottom w:val="single" w:color="000000" w:sz="4" w:space="0"/>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82"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r>
      <w:tr>
        <w:tblPrEx>
          <w:tblLayout w:type="fixed"/>
          <w:tblCellMar>
            <w:top w:w="0" w:type="dxa"/>
            <w:left w:w="108" w:type="dxa"/>
            <w:bottom w:w="0" w:type="dxa"/>
            <w:right w:w="108" w:type="dxa"/>
          </w:tblCellMar>
        </w:tblPrEx>
        <w:trPr>
          <w:cantSplit/>
          <w:trHeight w:val="283" w:hRule="atLeast"/>
        </w:trPr>
        <w:tc>
          <w:tcPr>
            <w:tcW w:w="1918" w:type="dxa"/>
            <w:tcBorders>
              <w:top w:val="nil"/>
              <w:left w:val="single" w:color="000000" w:sz="4" w:space="0"/>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3803" w:type="dxa"/>
            <w:tcBorders>
              <w:top w:val="nil"/>
              <w:left w:val="nil"/>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913" w:type="dxa"/>
            <w:tcBorders>
              <w:top w:val="nil"/>
              <w:left w:val="nil"/>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350" w:type="dxa"/>
            <w:tcBorders>
              <w:top w:val="nil"/>
              <w:left w:val="nil"/>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1482" w:type="dxa"/>
            <w:tcBorders>
              <w:top w:val="nil"/>
              <w:left w:val="nil"/>
              <w:bottom w:val="nil"/>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3,378.76</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3,378.76</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3,378.76</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3,378.76</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3,378.76</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3,378.76</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2050203</w:t>
            </w:r>
          </w:p>
        </w:tc>
        <w:tc>
          <w:tcPr>
            <w:tcW w:w="380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初中教育</w:t>
            </w:r>
          </w:p>
        </w:tc>
        <w:tc>
          <w:tcPr>
            <w:tcW w:w="1913"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3,378.76</w:t>
            </w:r>
          </w:p>
        </w:tc>
        <w:tc>
          <w:tcPr>
            <w:tcW w:w="1350"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3,378.76</w:t>
            </w:r>
          </w:p>
        </w:tc>
        <w:tc>
          <w:tcPr>
            <w:tcW w:w="1482" w:type="dxa"/>
            <w:tcBorders>
              <w:top w:val="single" w:color="000000" w:sz="4" w:space="0"/>
              <w:left w:val="nil"/>
              <w:bottom w:val="single" w:color="000000" w:sz="4" w:space="0"/>
              <w:right w:val="single" w:color="000000" w:sz="4" w:space="0"/>
            </w:tcBorders>
            <w:shd w:val="clear" w:color="auto" w:fill="auto"/>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10456" w:type="dxa"/>
        <w:tblInd w:w="0" w:type="dxa"/>
        <w:tblLayout w:type="fixed"/>
        <w:tblCellMar>
          <w:top w:w="0" w:type="dxa"/>
          <w:left w:w="108" w:type="dxa"/>
          <w:bottom w:w="0" w:type="dxa"/>
          <w:right w:w="108" w:type="dxa"/>
        </w:tblCellMar>
      </w:tblPr>
      <w:tblGrid>
        <w:gridCol w:w="2024"/>
        <w:gridCol w:w="1376"/>
        <w:gridCol w:w="1982"/>
        <w:gridCol w:w="1207"/>
        <w:gridCol w:w="1280"/>
        <w:gridCol w:w="1259"/>
        <w:gridCol w:w="1328"/>
      </w:tblGrid>
      <w:tr>
        <w:tblPrEx>
          <w:tblLayout w:type="fixed"/>
          <w:tblCellMar>
            <w:top w:w="0" w:type="dxa"/>
            <w:left w:w="108" w:type="dxa"/>
            <w:bottom w:w="0" w:type="dxa"/>
            <w:right w:w="108" w:type="dxa"/>
          </w:tblCellMar>
        </w:tblPrEx>
        <w:trPr>
          <w:trHeight w:val="585" w:hRule="atLeast"/>
          <w:tblHeader/>
        </w:trPr>
        <w:tc>
          <w:tcPr>
            <w:tcW w:w="10456" w:type="dxa"/>
            <w:gridSpan w:val="7"/>
            <w:noWrap/>
            <w:vAlign w:val="center"/>
          </w:tcPr>
          <w:p>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tblPrEx>
          <w:tblLayout w:type="fixed"/>
          <w:tblCellMar>
            <w:top w:w="0" w:type="dxa"/>
            <w:left w:w="108" w:type="dxa"/>
            <w:bottom w:w="0" w:type="dxa"/>
            <w:right w:w="108" w:type="dxa"/>
          </w:tblCellMar>
        </w:tblPrEx>
        <w:trPr>
          <w:cantSplit/>
          <w:trHeight w:val="346" w:hRule="atLeast"/>
          <w:tblHeader/>
        </w:trPr>
        <w:tc>
          <w:tcPr>
            <w:tcW w:w="5382" w:type="dxa"/>
            <w:gridSpan w:val="3"/>
            <w:noWrap/>
            <w:vAlign w:val="center"/>
          </w:tcPr>
          <w:p>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填报单位:201020景德镇市第九中学</w:t>
            </w:r>
          </w:p>
        </w:tc>
        <w:tc>
          <w:tcPr>
            <w:tcW w:w="1207" w:type="dxa"/>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80" w:type="dxa"/>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2587" w:type="dxa"/>
            <w:gridSpan w:val="2"/>
            <w:noWrap/>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tblPrEx>
          <w:tblLayout w:type="fixed"/>
          <w:tblCellMar>
            <w:top w:w="0" w:type="dxa"/>
            <w:left w:w="108" w:type="dxa"/>
            <w:bottom w:w="0" w:type="dxa"/>
            <w:right w:w="108" w:type="dxa"/>
          </w:tblCellMar>
        </w:tblPrEx>
        <w:trPr>
          <w:cantSplit/>
          <w:trHeight w:val="283" w:hRule="atLeast"/>
          <w:tblHeader/>
        </w:trPr>
        <w:tc>
          <w:tcPr>
            <w:tcW w:w="3400" w:type="dxa"/>
            <w:gridSpan w:val="2"/>
            <w:tcBorders>
              <w:top w:val="single" w:color="000000" w:sz="4" w:space="0"/>
              <w:left w:val="single" w:color="000000" w:sz="4" w:space="0"/>
              <w:bottom w:val="single" w:color="000000" w:sz="4" w:space="0"/>
              <w:right w:val="nil"/>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7056" w:type="dxa"/>
            <w:gridSpan w:val="5"/>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tblPrEx>
          <w:tblLayout w:type="fixed"/>
          <w:tblCellMar>
            <w:top w:w="0" w:type="dxa"/>
            <w:left w:w="108" w:type="dxa"/>
            <w:bottom w:w="0" w:type="dxa"/>
            <w:right w:w="108" w:type="dxa"/>
          </w:tblCellMar>
        </w:tblPrEx>
        <w:trPr>
          <w:cantSplit/>
          <w:trHeight w:val="283" w:hRule="atLeast"/>
          <w:tblHeader/>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1376" w:type="dxa"/>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1376"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3,100.76</w:t>
            </w: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教育支出</w:t>
            </w: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3,100.76</w:t>
            </w: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3,100.76</w:t>
            </w: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1376" w:type="dxa"/>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3,100.76</w:t>
            </w:r>
          </w:p>
        </w:tc>
        <w:tc>
          <w:tcPr>
            <w:tcW w:w="1982"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1376"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376" w:type="dxa"/>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376"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98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000000" w:sz="4" w:space="0"/>
              <w:right w:val="single" w:color="000000"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1376" w:type="dxa"/>
            <w:tcBorders>
              <w:top w:val="nil"/>
              <w:left w:val="nil"/>
              <w:bottom w:val="single" w:color="auto"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1982" w:type="dxa"/>
            <w:tcBorders>
              <w:top w:val="nil"/>
              <w:left w:val="nil"/>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12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nil"/>
              <w:left w:val="single" w:color="000000" w:sz="4" w:space="0"/>
              <w:bottom w:val="single" w:color="auto" w:sz="4" w:space="0"/>
              <w:right w:val="single" w:color="auto" w:sz="4" w:space="0"/>
            </w:tcBorders>
            <w:noWrap/>
            <w:vAlign w:val="center"/>
          </w:tcPr>
          <w:p>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137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1982"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207" w:type="dxa"/>
            <w:tcBorders>
              <w:top w:val="nil"/>
              <w:left w:val="single" w:color="auto" w:sz="4" w:space="0"/>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nil"/>
              <w:left w:val="nil"/>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nil"/>
              <w:left w:val="nil"/>
              <w:bottom w:val="single" w:color="auto"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nil"/>
              <w:left w:val="nil"/>
              <w:bottom w:val="single" w:color="auto"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single" w:color="auto" w:sz="4" w:space="0"/>
              <w:left w:val="single" w:color="auto" w:sz="4" w:space="0"/>
              <w:bottom w:val="single" w:color="auto" w:sz="4" w:space="0"/>
              <w:right w:val="single" w:color="auto" w:sz="4" w:space="0"/>
            </w:tcBorders>
            <w:noWrap/>
            <w:vAlign w:val="center"/>
          </w:tcPr>
          <w:p>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1376"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1982"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1207"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80"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259"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1328"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tblPrEx>
          <w:tblLayout w:type="fixed"/>
          <w:tblCellMar>
            <w:top w:w="0" w:type="dxa"/>
            <w:left w:w="108" w:type="dxa"/>
            <w:bottom w:w="0" w:type="dxa"/>
            <w:right w:w="108" w:type="dxa"/>
          </w:tblCellMar>
        </w:tblPrEx>
        <w:trPr>
          <w:cantSplit/>
          <w:trHeight w:val="283" w:hRule="atLeast"/>
        </w:trPr>
        <w:tc>
          <w:tcPr>
            <w:tcW w:w="2024"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1376"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3,100.76</w:t>
            </w:r>
          </w:p>
        </w:tc>
        <w:tc>
          <w:tcPr>
            <w:tcW w:w="1982"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1207"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3,100.76</w:t>
            </w:r>
          </w:p>
        </w:tc>
        <w:tc>
          <w:tcPr>
            <w:tcW w:w="1280"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3,100.76</w:t>
            </w:r>
          </w:p>
        </w:tc>
        <w:tc>
          <w:tcPr>
            <w:tcW w:w="1259"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1328"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10466" w:type="dxa"/>
        <w:tblInd w:w="0" w:type="dxa"/>
        <w:tblLayout w:type="fixed"/>
        <w:tblCellMar>
          <w:top w:w="0" w:type="dxa"/>
          <w:left w:w="108" w:type="dxa"/>
          <w:bottom w:w="0" w:type="dxa"/>
          <w:right w:w="108" w:type="dxa"/>
        </w:tblCellMar>
      </w:tblPr>
      <w:tblGrid>
        <w:gridCol w:w="1786"/>
        <w:gridCol w:w="3307"/>
        <w:gridCol w:w="2210"/>
        <w:gridCol w:w="1432"/>
        <w:gridCol w:w="1731"/>
      </w:tblGrid>
      <w:tr>
        <w:tblPrEx>
          <w:tblLayout w:type="fixed"/>
          <w:tblCellMar>
            <w:top w:w="0" w:type="dxa"/>
            <w:left w:w="108" w:type="dxa"/>
            <w:bottom w:w="0" w:type="dxa"/>
            <w:right w:w="108" w:type="dxa"/>
          </w:tblCellMar>
        </w:tblPrEx>
        <w:trPr>
          <w:trHeight w:val="585" w:hRule="atLeast"/>
          <w:tblHeader/>
        </w:trPr>
        <w:tc>
          <w:tcPr>
            <w:tcW w:w="10466" w:type="dxa"/>
            <w:gridSpan w:val="5"/>
            <w:noWrap/>
            <w:vAlign w:val="center"/>
          </w:tcPr>
          <w:p>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tblPrEx>
          <w:tblLayout w:type="fixed"/>
          <w:tblCellMar>
            <w:top w:w="0" w:type="dxa"/>
            <w:left w:w="108" w:type="dxa"/>
            <w:bottom w:w="0" w:type="dxa"/>
            <w:right w:w="108" w:type="dxa"/>
          </w:tblCellMar>
        </w:tblPrEx>
        <w:trPr>
          <w:trHeight w:val="420" w:hRule="atLeast"/>
          <w:tblHeader/>
        </w:trPr>
        <w:tc>
          <w:tcPr>
            <w:tcW w:w="5093" w:type="dxa"/>
            <w:gridSpan w:val="2"/>
            <w:noWrap/>
            <w:vAlign w:val="center"/>
          </w:tcPr>
          <w:p>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填报单位:201020景德镇市第九中学</w:t>
            </w:r>
          </w:p>
        </w:tc>
        <w:tc>
          <w:tcPr>
            <w:tcW w:w="2210" w:type="dxa"/>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432" w:type="dxa"/>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731" w:type="dxa"/>
            <w:noWrap/>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tblPrEx>
          <w:tblLayout w:type="fixed"/>
          <w:tblCellMar>
            <w:top w:w="0" w:type="dxa"/>
            <w:left w:w="108" w:type="dxa"/>
            <w:bottom w:w="0" w:type="dxa"/>
            <w:right w:w="108" w:type="dxa"/>
          </w:tblCellMar>
        </w:tblPrEx>
        <w:trPr>
          <w:cantSplit/>
          <w:trHeight w:val="283" w:hRule="atLeast"/>
          <w:tblHeader/>
        </w:trPr>
        <w:tc>
          <w:tcPr>
            <w:tcW w:w="509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5373" w:type="dxa"/>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tblPrEx>
          <w:tblLayout w:type="fixed"/>
          <w:tblCellMar>
            <w:top w:w="0" w:type="dxa"/>
            <w:left w:w="108" w:type="dxa"/>
            <w:bottom w:w="0" w:type="dxa"/>
            <w:right w:w="108" w:type="dxa"/>
          </w:tblCellMar>
        </w:tblPrEx>
        <w:trPr>
          <w:cantSplit/>
          <w:trHeight w:val="283" w:hRule="atLeast"/>
          <w:tblHeader/>
        </w:trPr>
        <w:tc>
          <w:tcPr>
            <w:tcW w:w="1786"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3307"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2210"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43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1731"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tblPrEx>
          <w:tblLayout w:type="fixed"/>
          <w:tblCellMar>
            <w:top w:w="0" w:type="dxa"/>
            <w:left w:w="108" w:type="dxa"/>
            <w:bottom w:w="0" w:type="dxa"/>
            <w:right w:w="108" w:type="dxa"/>
          </w:tblCellMar>
        </w:tblPrEx>
        <w:trPr>
          <w:cantSplit/>
          <w:trHeight w:val="283" w:hRule="atLeast"/>
          <w:tblHeader/>
        </w:trPr>
        <w:tc>
          <w:tcPr>
            <w:tcW w:w="1786" w:type="dxa"/>
            <w:tcBorders>
              <w:top w:val="nil"/>
              <w:left w:val="single" w:color="000000" w:sz="4" w:space="0"/>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3307" w:type="dxa"/>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210" w:type="dxa"/>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432" w:type="dxa"/>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1731" w:type="dxa"/>
            <w:tcBorders>
              <w:top w:val="nil"/>
              <w:left w:val="nil"/>
              <w:bottom w:val="nil"/>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3,100.76</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3,100.76</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3,100.76</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3,100.76</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20502</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普通教育</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3,100.76</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3,100.76</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tblPrEx>
          <w:tblLayout w:type="fixed"/>
          <w:tblCellMar>
            <w:top w:w="0" w:type="dxa"/>
            <w:left w:w="108" w:type="dxa"/>
            <w:bottom w:w="0" w:type="dxa"/>
            <w:right w:w="108" w:type="dxa"/>
          </w:tblCellMar>
        </w:tblPrEx>
        <w:trPr>
          <w:cantSplit/>
          <w:trHeight w:val="283" w:hRule="atLeast"/>
        </w:trPr>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2050203</w:t>
            </w:r>
          </w:p>
        </w:tc>
        <w:tc>
          <w:tcPr>
            <w:tcW w:w="3307"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初中教育</w:t>
            </w:r>
          </w:p>
        </w:tc>
        <w:tc>
          <w:tcPr>
            <w:tcW w:w="2210"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3,100.76</w:t>
            </w:r>
          </w:p>
        </w:tc>
        <w:tc>
          <w:tcPr>
            <w:tcW w:w="1432"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3,100.76</w:t>
            </w:r>
          </w:p>
        </w:tc>
        <w:tc>
          <w:tcPr>
            <w:tcW w:w="1731"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8"/>
        <w:tblW w:w="10466" w:type="dxa"/>
        <w:tblInd w:w="0" w:type="dxa"/>
        <w:tblLayout w:type="fixed"/>
        <w:tblCellMar>
          <w:top w:w="0" w:type="dxa"/>
          <w:left w:w="108" w:type="dxa"/>
          <w:bottom w:w="0" w:type="dxa"/>
          <w:right w:w="108" w:type="dxa"/>
        </w:tblCellMar>
      </w:tblPr>
      <w:tblGrid>
        <w:gridCol w:w="1964"/>
        <w:gridCol w:w="3056"/>
        <w:gridCol w:w="1865"/>
        <w:gridCol w:w="1762"/>
        <w:gridCol w:w="1819"/>
      </w:tblGrid>
      <w:tr>
        <w:tblPrEx>
          <w:tblLayout w:type="fixed"/>
          <w:tblCellMar>
            <w:top w:w="0" w:type="dxa"/>
            <w:left w:w="108" w:type="dxa"/>
            <w:bottom w:w="0" w:type="dxa"/>
            <w:right w:w="108" w:type="dxa"/>
          </w:tblCellMar>
        </w:tblPrEx>
        <w:trPr>
          <w:trHeight w:val="585" w:hRule="atLeast"/>
        </w:trPr>
        <w:tc>
          <w:tcPr>
            <w:tcW w:w="10466" w:type="dxa"/>
            <w:gridSpan w:val="5"/>
            <w:noWrap/>
            <w:vAlign w:val="center"/>
          </w:tcPr>
          <w:p>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tblPrEx>
          <w:tblLayout w:type="fixed"/>
          <w:tblCellMar>
            <w:top w:w="0" w:type="dxa"/>
            <w:left w:w="108" w:type="dxa"/>
            <w:bottom w:w="0" w:type="dxa"/>
            <w:right w:w="108" w:type="dxa"/>
          </w:tblCellMar>
        </w:tblPrEx>
        <w:trPr>
          <w:trHeight w:val="420" w:hRule="atLeast"/>
        </w:trPr>
        <w:tc>
          <w:tcPr>
            <w:tcW w:w="5020" w:type="dxa"/>
            <w:gridSpan w:val="2"/>
            <w:noWrap/>
            <w:vAlign w:val="center"/>
          </w:tcPr>
          <w:p>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填报单位:201020景德镇市第九中学</w:t>
            </w:r>
          </w:p>
        </w:tc>
        <w:tc>
          <w:tcPr>
            <w:tcW w:w="1865" w:type="dxa"/>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762" w:type="dxa"/>
            <w:noWrap/>
            <w:vAlign w:val="bottom"/>
          </w:tcPr>
          <w:p>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819" w:type="dxa"/>
            <w:noWrap/>
            <w:vAlign w:val="center"/>
          </w:tcPr>
          <w:p>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tblPrEx>
          <w:tblLayout w:type="fixed"/>
          <w:tblCellMar>
            <w:top w:w="0" w:type="dxa"/>
            <w:left w:w="108" w:type="dxa"/>
            <w:bottom w:w="0" w:type="dxa"/>
            <w:right w:w="108" w:type="dxa"/>
          </w:tblCellMar>
        </w:tblPrEx>
        <w:trPr>
          <w:cantSplit/>
          <w:trHeight w:val="283" w:hRule="atLeast"/>
        </w:trPr>
        <w:tc>
          <w:tcPr>
            <w:tcW w:w="5020"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5446" w:type="dxa"/>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tblPrEx>
          <w:tblLayout w:type="fixed"/>
          <w:tblCellMar>
            <w:top w:w="0" w:type="dxa"/>
            <w:left w:w="108" w:type="dxa"/>
            <w:bottom w:w="0" w:type="dxa"/>
            <w:right w:w="108" w:type="dxa"/>
          </w:tblCellMar>
        </w:tblPrEx>
        <w:trPr>
          <w:cantSplit/>
          <w:trHeight w:val="283" w:hRule="atLeast"/>
        </w:trPr>
        <w:tc>
          <w:tcPr>
            <w:tcW w:w="196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3056" w:type="dxa"/>
            <w:tcBorders>
              <w:top w:val="nil"/>
              <w:left w:val="nil"/>
              <w:bottom w:val="single" w:color="000000" w:sz="4" w:space="0"/>
              <w:right w:val="nil"/>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865"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76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181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3,100.76</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3,084.28</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16.48</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2,985.55</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2,985.55</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1,059.42</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1,059.42</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1.47</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1.47</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1,019.97</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1,019.97</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289.15</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289.15</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144.58</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144.58</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117.47</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117.47</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30111</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公务员医疗补助缴费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54.22</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54.22</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3.61</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3.61</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249.70</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249.70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45.96</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45.96</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16.48</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16.48</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30206</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电费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3.48</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3.48</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30213</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维修（护）费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4.50</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4.50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30216</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培训费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30299</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其他商品和服务支出</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98.73</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98.73</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87.36</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87.36</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30305</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生活补助</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1.29</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1.29</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tblPrEx>
          <w:tblLayout w:type="fixed"/>
          <w:tblCellMar>
            <w:top w:w="0" w:type="dxa"/>
            <w:left w:w="108" w:type="dxa"/>
            <w:bottom w:w="0" w:type="dxa"/>
            <w:right w:w="108" w:type="dxa"/>
          </w:tblCellMar>
        </w:tblPrEx>
        <w:trPr>
          <w:cantSplit/>
          <w:trHeight w:val="283" w:hRule="atLeast"/>
        </w:trPr>
        <w:tc>
          <w:tcPr>
            <w:tcW w:w="1964"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30309</w:t>
            </w:r>
          </w:p>
        </w:tc>
        <w:tc>
          <w:tcPr>
            <w:tcW w:w="305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奖励金</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10.08</w:t>
            </w:r>
          </w:p>
        </w:tc>
        <w:tc>
          <w:tcPr>
            <w:tcW w:w="1762"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10.08</w:t>
            </w:r>
          </w:p>
        </w:tc>
        <w:tc>
          <w:tcPr>
            <w:tcW w:w="181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8"/>
        <w:tblW w:w="10468" w:type="dxa"/>
        <w:tblInd w:w="0" w:type="dxa"/>
        <w:tblLayout w:type="fixed"/>
        <w:tblCellMar>
          <w:top w:w="0" w:type="dxa"/>
          <w:left w:w="108" w:type="dxa"/>
          <w:bottom w:w="0" w:type="dxa"/>
          <w:right w:w="108" w:type="dxa"/>
        </w:tblCellMar>
      </w:tblPr>
      <w:tblGrid>
        <w:gridCol w:w="1333"/>
        <w:gridCol w:w="636"/>
        <w:gridCol w:w="1432"/>
        <w:gridCol w:w="1128"/>
        <w:gridCol w:w="1553"/>
        <w:gridCol w:w="992"/>
        <w:gridCol w:w="1248"/>
        <w:gridCol w:w="1137"/>
        <w:gridCol w:w="1009"/>
      </w:tblGrid>
      <w:tr>
        <w:tblPrEx>
          <w:tblLayout w:type="fixed"/>
          <w:tblCellMar>
            <w:top w:w="0" w:type="dxa"/>
            <w:left w:w="108" w:type="dxa"/>
            <w:bottom w:w="0" w:type="dxa"/>
            <w:right w:w="108" w:type="dxa"/>
          </w:tblCellMar>
        </w:tblPrEx>
        <w:trPr>
          <w:trHeight w:val="450" w:hRule="atLeast"/>
          <w:tblHeader/>
        </w:trPr>
        <w:tc>
          <w:tcPr>
            <w:tcW w:w="1333" w:type="dxa"/>
            <w:noWrap/>
            <w:vAlign w:val="bottom"/>
          </w:tcPr>
          <w:p>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636" w:type="dxa"/>
            <w:noWrap/>
            <w:vAlign w:val="bottom"/>
          </w:tcPr>
          <w:p>
            <w:pPr>
              <w:widowControl/>
              <w:jc w:val="left"/>
              <w:rPr>
                <w:rFonts w:ascii="Times New Roman" w:hAnsi="Times New Roman" w:eastAsia="宋体"/>
                <w:kern w:val="0"/>
                <w:sz w:val="20"/>
                <w:szCs w:val="20"/>
              </w:rPr>
            </w:pPr>
          </w:p>
        </w:tc>
        <w:tc>
          <w:tcPr>
            <w:tcW w:w="1432" w:type="dxa"/>
            <w:noWrap/>
            <w:vAlign w:val="bottom"/>
          </w:tcPr>
          <w:p>
            <w:pPr>
              <w:widowControl/>
              <w:jc w:val="left"/>
              <w:rPr>
                <w:rFonts w:ascii="Times New Roman" w:hAnsi="Times New Roman" w:eastAsia="宋体"/>
                <w:kern w:val="0"/>
                <w:sz w:val="20"/>
                <w:szCs w:val="20"/>
              </w:rPr>
            </w:pPr>
          </w:p>
        </w:tc>
        <w:tc>
          <w:tcPr>
            <w:tcW w:w="1128" w:type="dxa"/>
            <w:noWrap/>
            <w:vAlign w:val="bottom"/>
          </w:tcPr>
          <w:p>
            <w:pPr>
              <w:widowControl/>
              <w:jc w:val="left"/>
              <w:rPr>
                <w:rFonts w:ascii="Times New Roman" w:hAnsi="Times New Roman" w:eastAsia="宋体"/>
                <w:kern w:val="0"/>
                <w:sz w:val="20"/>
                <w:szCs w:val="20"/>
              </w:rPr>
            </w:pPr>
          </w:p>
        </w:tc>
        <w:tc>
          <w:tcPr>
            <w:tcW w:w="5939" w:type="dxa"/>
            <w:gridSpan w:val="5"/>
            <w:noWrap/>
            <w:vAlign w:val="center"/>
          </w:tcPr>
          <w:p>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tblPrEx>
          <w:tblLayout w:type="fixed"/>
          <w:tblCellMar>
            <w:top w:w="0" w:type="dxa"/>
            <w:left w:w="108" w:type="dxa"/>
            <w:bottom w:w="0" w:type="dxa"/>
            <w:right w:w="108" w:type="dxa"/>
          </w:tblCellMar>
        </w:tblPrEx>
        <w:trPr>
          <w:trHeight w:val="485" w:hRule="atLeast"/>
          <w:tblHeader/>
        </w:trPr>
        <w:tc>
          <w:tcPr>
            <w:tcW w:w="10468" w:type="dxa"/>
            <w:gridSpan w:val="9"/>
            <w:noWrap/>
            <w:vAlign w:val="center"/>
          </w:tcPr>
          <w:p>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tblPrEx>
          <w:tblLayout w:type="fixed"/>
          <w:tblCellMar>
            <w:top w:w="0" w:type="dxa"/>
            <w:left w:w="108" w:type="dxa"/>
            <w:bottom w:w="0" w:type="dxa"/>
            <w:right w:w="108" w:type="dxa"/>
          </w:tblCellMar>
        </w:tblPrEx>
        <w:trPr>
          <w:trHeight w:val="340" w:hRule="atLeast"/>
          <w:tblHeader/>
        </w:trPr>
        <w:tc>
          <w:tcPr>
            <w:tcW w:w="4529" w:type="dxa"/>
            <w:gridSpan w:val="4"/>
            <w:noWrap/>
            <w:vAlign w:val="center"/>
          </w:tcPr>
          <w:p>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填报单位:201020景德镇市第九中学</w:t>
            </w:r>
          </w:p>
        </w:tc>
        <w:tc>
          <w:tcPr>
            <w:tcW w:w="1553" w:type="dxa"/>
            <w:noWrap/>
            <w:vAlign w:val="bottom"/>
          </w:tcPr>
          <w:p>
            <w:pPr>
              <w:widowControl/>
              <w:jc w:val="left"/>
              <w:rPr>
                <w:rFonts w:ascii="Times New Roman" w:hAnsi="Times New Roman" w:eastAsia="宋体"/>
                <w:kern w:val="0"/>
                <w:sz w:val="20"/>
                <w:szCs w:val="20"/>
              </w:rPr>
            </w:pPr>
          </w:p>
        </w:tc>
        <w:tc>
          <w:tcPr>
            <w:tcW w:w="992" w:type="dxa"/>
            <w:noWrap/>
            <w:vAlign w:val="bottom"/>
          </w:tcPr>
          <w:p>
            <w:pPr>
              <w:widowControl/>
              <w:jc w:val="left"/>
              <w:rPr>
                <w:rFonts w:ascii="Times New Roman" w:hAnsi="Times New Roman" w:eastAsia="宋体"/>
                <w:kern w:val="0"/>
                <w:sz w:val="20"/>
                <w:szCs w:val="20"/>
              </w:rPr>
            </w:pPr>
          </w:p>
        </w:tc>
        <w:tc>
          <w:tcPr>
            <w:tcW w:w="1248" w:type="dxa"/>
            <w:noWrap/>
            <w:vAlign w:val="bottom"/>
          </w:tcPr>
          <w:p>
            <w:pPr>
              <w:widowControl/>
              <w:jc w:val="left"/>
              <w:rPr>
                <w:rFonts w:ascii="Times New Roman" w:hAnsi="Times New Roman" w:eastAsia="宋体"/>
                <w:kern w:val="0"/>
                <w:sz w:val="20"/>
                <w:szCs w:val="20"/>
              </w:rPr>
            </w:pPr>
          </w:p>
        </w:tc>
        <w:tc>
          <w:tcPr>
            <w:tcW w:w="2146" w:type="dxa"/>
            <w:gridSpan w:val="2"/>
            <w:noWrap/>
            <w:vAlign w:val="bottom"/>
          </w:tcPr>
          <w:p>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tblPrEx>
          <w:tblLayout w:type="fixed"/>
          <w:tblCellMar>
            <w:top w:w="0" w:type="dxa"/>
            <w:left w:w="108" w:type="dxa"/>
            <w:bottom w:w="0" w:type="dxa"/>
            <w:right w:w="108" w:type="dxa"/>
          </w:tblCellMar>
        </w:tblPrEx>
        <w:trPr>
          <w:cantSplit/>
          <w:trHeight w:val="283" w:hRule="atLeast"/>
          <w:tblHeader/>
        </w:trPr>
        <w:tc>
          <w:tcPr>
            <w:tcW w:w="1969" w:type="dxa"/>
            <w:gridSpan w:val="2"/>
            <w:vMerge w:val="restart"/>
            <w:tcBorders>
              <w:top w:val="single" w:color="000000" w:sz="4" w:space="0"/>
              <w:left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4113" w:type="dxa"/>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992"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3394" w:type="dxa"/>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tblPrEx>
          <w:tblLayout w:type="fixed"/>
          <w:tblCellMar>
            <w:top w:w="0" w:type="dxa"/>
            <w:left w:w="108" w:type="dxa"/>
            <w:bottom w:w="0" w:type="dxa"/>
            <w:right w:w="108" w:type="dxa"/>
          </w:tblCellMar>
        </w:tblPrEx>
        <w:trPr>
          <w:cantSplit/>
          <w:trHeight w:val="512" w:hRule="atLeast"/>
          <w:tblHeader/>
        </w:trPr>
        <w:tc>
          <w:tcPr>
            <w:tcW w:w="1969" w:type="dxa"/>
            <w:gridSpan w:val="2"/>
            <w:vMerge w:val="continue"/>
            <w:tcBorders>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3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1128"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1553"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248"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1137" w:type="dxa"/>
            <w:tcBorders>
              <w:top w:val="nil"/>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100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tblPrEx>
          <w:tblLayout w:type="fixed"/>
          <w:tblCellMar>
            <w:top w:w="0" w:type="dxa"/>
            <w:left w:w="108" w:type="dxa"/>
            <w:bottom w:w="0" w:type="dxa"/>
            <w:right w:w="108" w:type="dxa"/>
          </w:tblCellMar>
        </w:tblPrEx>
        <w:trPr>
          <w:cantSplit/>
          <w:trHeight w:val="283" w:hRule="atLeast"/>
          <w:tblHeader/>
        </w:trPr>
        <w:tc>
          <w:tcPr>
            <w:tcW w:w="1969" w:type="dxa"/>
            <w:gridSpan w:val="2"/>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1432" w:type="dxa"/>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1128" w:type="dxa"/>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1553" w:type="dxa"/>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992" w:type="dxa"/>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1248" w:type="dxa"/>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1137" w:type="dxa"/>
            <w:tcBorders>
              <w:top w:val="nil"/>
              <w:left w:val="single" w:color="000000" w:sz="4" w:space="0"/>
              <w:bottom w:val="nil"/>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1009" w:type="dxa"/>
            <w:tcBorders>
              <w:top w:val="nil"/>
              <w:left w:val="single" w:color="000000" w:sz="4" w:space="0"/>
              <w:bottom w:val="nil"/>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tblPrEx>
          <w:tblLayout w:type="fixed"/>
          <w:tblCellMar>
            <w:top w:w="0" w:type="dxa"/>
            <w:left w:w="108" w:type="dxa"/>
            <w:bottom w:w="0" w:type="dxa"/>
            <w:right w:w="108" w:type="dxa"/>
          </w:tblCellMar>
        </w:tblPrEx>
        <w:trPr>
          <w:cantSplit/>
          <w:trHeight w:val="717" w:hRule="atLeast"/>
        </w:trPr>
        <w:tc>
          <w:tcPr>
            <w:tcW w:w="1969"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0.50</w:t>
            </w:r>
          </w:p>
        </w:tc>
        <w:tc>
          <w:tcPr>
            <w:tcW w:w="1432" w:type="dxa"/>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128" w:type="dxa"/>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553" w:type="dxa"/>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992" w:type="dxa"/>
            <w:tcBorders>
              <w:top w:val="single" w:color="000000" w:sz="4" w:space="0"/>
              <w:left w:val="nil"/>
              <w:bottom w:val="single" w:color="000000" w:sz="4" w:space="0"/>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0.50</w:t>
            </w:r>
          </w:p>
        </w:tc>
        <w:tc>
          <w:tcPr>
            <w:tcW w:w="1248" w:type="dxa"/>
            <w:tcBorders>
              <w:top w:val="single" w:color="000000" w:sz="4" w:space="0"/>
              <w:left w:val="single" w:color="000000" w:sz="4" w:space="0"/>
              <w:bottom w:val="single" w:color="000000" w:sz="4" w:space="0"/>
              <w:right w:val="nil"/>
            </w:tcBorders>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1009" w:type="dxa"/>
            <w:tcBorders>
              <w:top w:val="single" w:color="000000" w:sz="4" w:space="0"/>
              <w:left w:val="nil"/>
              <w:bottom w:val="single" w:color="000000" w:sz="4" w:space="0"/>
              <w:right w:val="single" w:color="000000" w:sz="4" w:space="0"/>
            </w:tcBorders>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pPr>
        <w:widowControl/>
        <w:jc w:val="left"/>
        <w:rPr>
          <w:rStyle w:val="12"/>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8"/>
        <w:tblW w:w="10470" w:type="dxa"/>
        <w:tblInd w:w="10" w:type="dxa"/>
        <w:tblLayout w:type="fixed"/>
        <w:tblCellMar>
          <w:top w:w="0" w:type="dxa"/>
          <w:left w:w="108" w:type="dxa"/>
          <w:bottom w:w="0" w:type="dxa"/>
          <w:right w:w="108" w:type="dxa"/>
        </w:tblCellMar>
      </w:tblPr>
      <w:tblGrid>
        <w:gridCol w:w="2044"/>
        <w:gridCol w:w="2559"/>
        <w:gridCol w:w="2301"/>
        <w:gridCol w:w="1604"/>
        <w:gridCol w:w="1962"/>
      </w:tblGrid>
      <w:tr>
        <w:tblPrEx>
          <w:tblLayout w:type="fixed"/>
          <w:tblCellMar>
            <w:top w:w="0" w:type="dxa"/>
            <w:left w:w="108" w:type="dxa"/>
            <w:bottom w:w="0" w:type="dxa"/>
            <w:right w:w="108" w:type="dxa"/>
          </w:tblCellMar>
        </w:tblPrEx>
        <w:trPr>
          <w:trHeight w:val="507" w:hRule="atLeast"/>
          <w:tblHeader/>
        </w:trPr>
        <w:tc>
          <w:tcPr>
            <w:tcW w:w="2044" w:type="dxa"/>
            <w:noWrap/>
            <w:vAlign w:val="bottom"/>
          </w:tcPr>
          <w:p>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2559" w:type="dxa"/>
            <w:noWrap/>
            <w:vAlign w:val="bottom"/>
          </w:tcPr>
          <w:p>
            <w:pPr>
              <w:widowControl/>
              <w:jc w:val="left"/>
              <w:rPr>
                <w:rFonts w:ascii="Times New Roman" w:hAnsi="Times New Roman" w:eastAsia="宋体"/>
                <w:kern w:val="0"/>
                <w:sz w:val="20"/>
                <w:szCs w:val="20"/>
              </w:rPr>
            </w:pPr>
          </w:p>
        </w:tc>
        <w:tc>
          <w:tcPr>
            <w:tcW w:w="5867" w:type="dxa"/>
            <w:gridSpan w:val="3"/>
            <w:noWrap/>
            <w:vAlign w:val="center"/>
          </w:tcPr>
          <w:p>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tblPrEx>
          <w:tblLayout w:type="fixed"/>
          <w:tblCellMar>
            <w:top w:w="0" w:type="dxa"/>
            <w:left w:w="108" w:type="dxa"/>
            <w:bottom w:w="0" w:type="dxa"/>
            <w:right w:w="108" w:type="dxa"/>
          </w:tblCellMar>
        </w:tblPrEx>
        <w:trPr>
          <w:trHeight w:val="564" w:hRule="atLeast"/>
          <w:tblHeader/>
        </w:trPr>
        <w:tc>
          <w:tcPr>
            <w:tcW w:w="10470" w:type="dxa"/>
            <w:gridSpan w:val="5"/>
            <w:noWrap/>
            <w:vAlign w:val="center"/>
          </w:tcPr>
          <w:p>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tblPrEx>
          <w:tblLayout w:type="fixed"/>
          <w:tblCellMar>
            <w:top w:w="0" w:type="dxa"/>
            <w:left w:w="108" w:type="dxa"/>
            <w:bottom w:w="0" w:type="dxa"/>
            <w:right w:w="108" w:type="dxa"/>
          </w:tblCellMar>
        </w:tblPrEx>
        <w:trPr>
          <w:trHeight w:val="405" w:hRule="atLeast"/>
          <w:tblHeader/>
        </w:trPr>
        <w:tc>
          <w:tcPr>
            <w:tcW w:w="4603" w:type="dxa"/>
            <w:gridSpan w:val="2"/>
            <w:noWrap/>
            <w:vAlign w:val="center"/>
          </w:tcPr>
          <w:p>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填报单位:201020景德镇市第九中学</w:t>
            </w:r>
          </w:p>
        </w:tc>
        <w:tc>
          <w:tcPr>
            <w:tcW w:w="2301" w:type="dxa"/>
            <w:noWrap/>
            <w:vAlign w:val="bottom"/>
          </w:tcPr>
          <w:p>
            <w:pPr>
              <w:rPr>
                <w:rFonts w:hint="eastAsia" w:ascii="宋体" w:hAnsi="宋体" w:eastAsia="宋体" w:cs="Arial"/>
                <w:color w:val="000000"/>
                <w:kern w:val="0"/>
                <w:sz w:val="24"/>
                <w:szCs w:val="24"/>
              </w:rPr>
            </w:pPr>
          </w:p>
        </w:tc>
        <w:tc>
          <w:tcPr>
            <w:tcW w:w="1604" w:type="dxa"/>
            <w:noWrap/>
            <w:vAlign w:val="bottom"/>
          </w:tcPr>
          <w:p>
            <w:pPr>
              <w:widowControl/>
              <w:jc w:val="left"/>
              <w:rPr>
                <w:rFonts w:ascii="Times New Roman" w:hAnsi="Times New Roman" w:eastAsia="宋体"/>
                <w:kern w:val="0"/>
                <w:sz w:val="20"/>
                <w:szCs w:val="20"/>
              </w:rPr>
            </w:pPr>
          </w:p>
        </w:tc>
        <w:tc>
          <w:tcPr>
            <w:tcW w:w="1962" w:type="dxa"/>
            <w:noWrap/>
            <w:vAlign w:val="center"/>
          </w:tcPr>
          <w:p>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tblPrEx>
          <w:tblLayout w:type="fixed"/>
          <w:tblCellMar>
            <w:top w:w="0" w:type="dxa"/>
            <w:left w:w="108" w:type="dxa"/>
            <w:bottom w:w="0" w:type="dxa"/>
            <w:right w:w="108" w:type="dxa"/>
          </w:tblCellMar>
        </w:tblPrEx>
        <w:trPr>
          <w:cantSplit/>
          <w:trHeight w:val="283" w:hRule="atLeast"/>
          <w:tblHeader/>
        </w:trPr>
        <w:tc>
          <w:tcPr>
            <w:tcW w:w="4603"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5867" w:type="dxa"/>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tblPrEx>
          <w:tblLayout w:type="fixed"/>
          <w:tblCellMar>
            <w:top w:w="0" w:type="dxa"/>
            <w:left w:w="108" w:type="dxa"/>
            <w:bottom w:w="0" w:type="dxa"/>
            <w:right w:w="108" w:type="dxa"/>
          </w:tblCellMar>
        </w:tblPrEx>
        <w:trPr>
          <w:cantSplit/>
          <w:trHeight w:val="283" w:hRule="atLeast"/>
          <w:tblHeader/>
        </w:trPr>
        <w:tc>
          <w:tcPr>
            <w:tcW w:w="204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25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2301"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60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196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tblPrEx>
          <w:tblLayout w:type="fixed"/>
          <w:tblCellMar>
            <w:top w:w="0" w:type="dxa"/>
            <w:left w:w="108" w:type="dxa"/>
            <w:bottom w:w="0" w:type="dxa"/>
            <w:right w:w="108" w:type="dxa"/>
          </w:tblCellMar>
        </w:tblPrEx>
        <w:trPr>
          <w:cantSplit/>
          <w:trHeight w:val="283" w:hRule="atLeast"/>
          <w:tblHeader/>
        </w:trPr>
        <w:tc>
          <w:tcPr>
            <w:tcW w:w="2044"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55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301"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604"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1962"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8"/>
        <w:tblW w:w="10520" w:type="dxa"/>
        <w:tblInd w:w="10" w:type="dxa"/>
        <w:tblLayout w:type="fixed"/>
        <w:tblCellMar>
          <w:top w:w="0" w:type="dxa"/>
          <w:left w:w="108" w:type="dxa"/>
          <w:bottom w:w="0" w:type="dxa"/>
          <w:right w:w="108" w:type="dxa"/>
        </w:tblCellMar>
      </w:tblPr>
      <w:tblGrid>
        <w:gridCol w:w="2021"/>
        <w:gridCol w:w="2596"/>
        <w:gridCol w:w="2289"/>
        <w:gridCol w:w="1603"/>
        <w:gridCol w:w="2011"/>
      </w:tblGrid>
      <w:tr>
        <w:tblPrEx>
          <w:tblLayout w:type="fixed"/>
          <w:tblCellMar>
            <w:top w:w="0" w:type="dxa"/>
            <w:left w:w="108" w:type="dxa"/>
            <w:bottom w:w="0" w:type="dxa"/>
            <w:right w:w="108" w:type="dxa"/>
          </w:tblCellMar>
        </w:tblPrEx>
        <w:trPr>
          <w:trHeight w:val="619" w:hRule="atLeast"/>
          <w:tblHeader/>
        </w:trPr>
        <w:tc>
          <w:tcPr>
            <w:tcW w:w="2021" w:type="dxa"/>
            <w:noWrap/>
            <w:vAlign w:val="bottom"/>
          </w:tcPr>
          <w:p>
            <w:pPr>
              <w:rPr>
                <w:rStyle w:val="12"/>
                <w:rFonts w:hint="eastAsia" w:ascii="仿宋" w:hAnsi="仿宋" w:eastAsia="仿宋"/>
                <w:bCs/>
                <w:sz w:val="32"/>
                <w:szCs w:val="32"/>
              </w:rPr>
            </w:pPr>
          </w:p>
        </w:tc>
        <w:tc>
          <w:tcPr>
            <w:tcW w:w="2596" w:type="dxa"/>
            <w:noWrap/>
            <w:vAlign w:val="bottom"/>
          </w:tcPr>
          <w:p>
            <w:pPr>
              <w:widowControl/>
              <w:jc w:val="left"/>
              <w:rPr>
                <w:rFonts w:ascii="Times New Roman" w:hAnsi="Times New Roman" w:eastAsia="宋体"/>
                <w:kern w:val="0"/>
                <w:sz w:val="20"/>
                <w:szCs w:val="20"/>
              </w:rPr>
            </w:pPr>
          </w:p>
        </w:tc>
        <w:tc>
          <w:tcPr>
            <w:tcW w:w="5903" w:type="dxa"/>
            <w:gridSpan w:val="3"/>
            <w:noWrap/>
            <w:vAlign w:val="center"/>
          </w:tcPr>
          <w:p>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tblPrEx>
          <w:tblLayout w:type="fixed"/>
          <w:tblCellMar>
            <w:top w:w="0" w:type="dxa"/>
            <w:left w:w="108" w:type="dxa"/>
            <w:bottom w:w="0" w:type="dxa"/>
            <w:right w:w="108" w:type="dxa"/>
          </w:tblCellMar>
        </w:tblPrEx>
        <w:trPr>
          <w:trHeight w:val="613" w:hRule="atLeast"/>
          <w:tblHeader/>
        </w:trPr>
        <w:tc>
          <w:tcPr>
            <w:tcW w:w="10520" w:type="dxa"/>
            <w:gridSpan w:val="5"/>
            <w:noWrap/>
            <w:vAlign w:val="center"/>
          </w:tcPr>
          <w:p>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tblPrEx>
          <w:tblLayout w:type="fixed"/>
          <w:tblCellMar>
            <w:top w:w="0" w:type="dxa"/>
            <w:left w:w="108" w:type="dxa"/>
            <w:bottom w:w="0" w:type="dxa"/>
            <w:right w:w="108" w:type="dxa"/>
          </w:tblCellMar>
        </w:tblPrEx>
        <w:trPr>
          <w:trHeight w:val="413" w:hRule="atLeast"/>
          <w:tblHeader/>
        </w:trPr>
        <w:tc>
          <w:tcPr>
            <w:tcW w:w="6906" w:type="dxa"/>
            <w:gridSpan w:val="3"/>
            <w:noWrap/>
            <w:vAlign w:val="center"/>
          </w:tcPr>
          <w:p>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填报单位:201020景德镇市第九中学</w:t>
            </w:r>
          </w:p>
        </w:tc>
        <w:tc>
          <w:tcPr>
            <w:tcW w:w="1603" w:type="dxa"/>
            <w:noWrap/>
            <w:vAlign w:val="bottom"/>
          </w:tcPr>
          <w:p>
            <w:pPr>
              <w:widowControl/>
              <w:jc w:val="left"/>
              <w:rPr>
                <w:rFonts w:ascii="Times New Roman" w:hAnsi="Times New Roman" w:eastAsia="宋体"/>
                <w:kern w:val="0"/>
                <w:sz w:val="20"/>
                <w:szCs w:val="20"/>
              </w:rPr>
            </w:pPr>
          </w:p>
        </w:tc>
        <w:tc>
          <w:tcPr>
            <w:tcW w:w="2011" w:type="dxa"/>
            <w:noWrap/>
            <w:vAlign w:val="center"/>
          </w:tcPr>
          <w:p>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tblPrEx>
          <w:tblLayout w:type="fixed"/>
          <w:tblCellMar>
            <w:top w:w="0" w:type="dxa"/>
            <w:left w:w="108" w:type="dxa"/>
            <w:bottom w:w="0" w:type="dxa"/>
            <w:right w:w="108" w:type="dxa"/>
          </w:tblCellMar>
        </w:tblPrEx>
        <w:trPr>
          <w:cantSplit/>
          <w:trHeight w:val="291" w:hRule="atLeast"/>
          <w:tblHeader/>
        </w:trPr>
        <w:tc>
          <w:tcPr>
            <w:tcW w:w="4617" w:type="dxa"/>
            <w:gridSpan w:val="2"/>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5903" w:type="dxa"/>
            <w:gridSpan w:val="3"/>
            <w:tcBorders>
              <w:top w:val="single" w:color="000000" w:sz="4" w:space="0"/>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tblPrEx>
          <w:tblLayout w:type="fixed"/>
          <w:tblCellMar>
            <w:top w:w="0" w:type="dxa"/>
            <w:left w:w="108" w:type="dxa"/>
            <w:bottom w:w="0" w:type="dxa"/>
            <w:right w:w="108" w:type="dxa"/>
          </w:tblCellMar>
        </w:tblPrEx>
        <w:trPr>
          <w:cantSplit/>
          <w:trHeight w:val="291" w:hRule="atLeast"/>
          <w:tblHeader/>
        </w:trPr>
        <w:tc>
          <w:tcPr>
            <w:tcW w:w="2021" w:type="dxa"/>
            <w:tcBorders>
              <w:top w:val="nil"/>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2596"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2289"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603"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2011" w:type="dxa"/>
            <w:tcBorders>
              <w:top w:val="nil"/>
              <w:left w:val="nil"/>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tblPrEx>
          <w:tblLayout w:type="fixed"/>
          <w:tblCellMar>
            <w:top w:w="0" w:type="dxa"/>
            <w:left w:w="108" w:type="dxa"/>
            <w:bottom w:w="0" w:type="dxa"/>
            <w:right w:w="108" w:type="dxa"/>
          </w:tblCellMar>
        </w:tblPrEx>
        <w:trPr>
          <w:cantSplit/>
          <w:trHeight w:val="291" w:hRule="atLeast"/>
          <w:tblHeader/>
        </w:trPr>
        <w:tc>
          <w:tcPr>
            <w:tcW w:w="2021"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596"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2289"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1603"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2011" w:type="dxa"/>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8"/>
        <w:tblW w:w="104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09"/>
        <w:gridCol w:w="2180"/>
        <w:gridCol w:w="3517"/>
        <w:gridCol w:w="1092"/>
        <w:gridCol w:w="2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104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104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（2026年度）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3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项目名称</w:t>
            </w:r>
          </w:p>
        </w:tc>
        <w:tc>
          <w:tcPr>
            <w:tcW w:w="70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城乡义务教育生均公用经费-初中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34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主管部门及代码</w:t>
            </w:r>
          </w:p>
        </w:tc>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201-景德镇市珠山区教育体育局</w:t>
            </w:r>
          </w:p>
        </w:tc>
        <w:tc>
          <w:tcPr>
            <w:tcW w:w="1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实施单位</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景德镇市第九中学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34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项目资金（万元）</w:t>
            </w:r>
          </w:p>
        </w:tc>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年度资金总额</w:t>
            </w:r>
          </w:p>
        </w:tc>
        <w:tc>
          <w:tcPr>
            <w:tcW w:w="3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148.34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34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其中：非财政拨款</w:t>
            </w:r>
          </w:p>
        </w:tc>
        <w:tc>
          <w:tcPr>
            <w:tcW w:w="3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34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其他资金</w:t>
            </w:r>
          </w:p>
        </w:tc>
        <w:tc>
          <w:tcPr>
            <w:tcW w:w="3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4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3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上年结转</w:t>
            </w:r>
          </w:p>
        </w:tc>
        <w:tc>
          <w:tcPr>
            <w:tcW w:w="3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104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年度绩效目标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104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项目用于保障学校开展各项教学活动：目标1、采购3台办公设备与110件办公用品，有助于提高教学质量与工作效率。目标2、开展2次全体教师继续教育培训，涉及人数10人，有效提升教师教学能力与综合素质。目标3、支付学校水电费、邮电费、印刷费、报刊费等费用，有效保障学校教学工作正常开展。目标4、完成6处校舍维修，涉及面积1000平方米，有效改善学校办公环境，保障师生安全。目标5、举办学生活动会10次，有效保障学校各类活动开展，丰富学生校园生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一级指标</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二级指标</w:t>
            </w:r>
          </w:p>
        </w:tc>
        <w:tc>
          <w:tcPr>
            <w:tcW w:w="4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三级指标</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成本指标</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经济成本指标</w:t>
            </w:r>
          </w:p>
        </w:tc>
        <w:tc>
          <w:tcPr>
            <w:tcW w:w="4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办公费用支出</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≤33万元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4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维修支出成本</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≤55万元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4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初中生均经费</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≤940元/生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4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水电费支出成本</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4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教师培训支出成本</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4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学生活动支出</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产出指标</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数量指标</w:t>
            </w:r>
          </w:p>
        </w:tc>
        <w:tc>
          <w:tcPr>
            <w:tcW w:w="4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维修面积</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≥1000平方米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4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学校用电量</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≥290000度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4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教师培训次数</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4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学生活动次数</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4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办公设备采购数量</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≥3台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4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学校用水量</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≥18000吨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质量指标</w:t>
            </w:r>
          </w:p>
        </w:tc>
        <w:tc>
          <w:tcPr>
            <w:tcW w:w="4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维修合格率</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4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水电费结算支付准确率</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4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教师培训合格率</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4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学生活动开展和规率</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4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网络运行正常率</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4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办公设备采购验收合格率</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时效指标</w:t>
            </w:r>
          </w:p>
        </w:tc>
        <w:tc>
          <w:tcPr>
            <w:tcW w:w="4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办公设备采购验收及时率</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4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教师培训开展及时率</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4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水电费结算支付及时率</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4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校舍维修及时率</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4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印刷完成及时率</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color w:val="000000"/>
                <w:sz w:val="24"/>
                <w:szCs w:val="24"/>
                <w:u w:val="none"/>
              </w:rPr>
            </w:pPr>
          </w:p>
        </w:tc>
        <w:tc>
          <w:tcPr>
            <w:tcW w:w="4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报刊杂志送达及时率</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效益指标</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社会效益指标</w:t>
            </w:r>
          </w:p>
        </w:tc>
        <w:tc>
          <w:tcPr>
            <w:tcW w:w="4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保障学校教学工作正常开展</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定性有效保障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满意度指标</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服务对象满意度指标</w:t>
            </w:r>
          </w:p>
        </w:tc>
        <w:tc>
          <w:tcPr>
            <w:tcW w:w="4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学生家长满意度</w:t>
            </w:r>
          </w:p>
        </w:tc>
        <w:tc>
          <w:tcPr>
            <w:tcW w:w="2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≥90%</w:t>
            </w:r>
          </w:p>
        </w:tc>
      </w:tr>
    </w:tbl>
    <w:p>
      <w:pPr>
        <w:rPr>
          <w:rFonts w:hint="eastAsia"/>
          <w:lang w:eastAsia="zh-CN"/>
        </w:rPr>
        <w:sectPr>
          <w:pgSz w:w="11906" w:h="16838"/>
          <w:pgMar w:top="720" w:right="720" w:bottom="720" w:left="720" w:header="851" w:footer="992" w:gutter="0"/>
          <w:cols w:space="425" w:num="1"/>
          <w:docGrid w:type="lines" w:linePitch="312" w:charSpace="0"/>
        </w:sectPr>
      </w:pPr>
    </w:p>
    <w:p>
      <w:pPr>
        <w:pStyle w:val="17"/>
        <w:numPr>
          <w:ilvl w:val="0"/>
          <w:numId w:val="0"/>
        </w:numPr>
        <w:bidi w:val="0"/>
        <w:ind w:left="420" w:leftChars="200"/>
        <w:jc w:val="center"/>
        <w:rPr>
          <w:rFonts w:hint="eastAsia"/>
          <w:lang w:eastAsia="zh-CN"/>
        </w:rPr>
      </w:pPr>
      <w:r>
        <w:rPr>
          <w:rFonts w:hint="eastAsia"/>
          <w:lang w:val="en-US" w:eastAsia="zh-CN"/>
        </w:rPr>
        <w:t>第三部分  景德镇市第九中学2026年单位预算情况说明</w:t>
      </w:r>
    </w:p>
    <w:p>
      <w:pPr>
        <w:widowControl/>
        <w:spacing w:line="580" w:lineRule="exact"/>
        <w:jc w:val="center"/>
        <w:rPr>
          <w:rFonts w:ascii="仿宋_GB2312" w:eastAsia="仿宋_GB2312"/>
          <w:b/>
          <w:sz w:val="32"/>
          <w:szCs w:val="30"/>
        </w:rPr>
      </w:pPr>
    </w:p>
    <w:p>
      <w:pPr>
        <w:pStyle w:val="17"/>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pPr>
        <w:pStyle w:val="19"/>
        <w:numPr>
          <w:ilvl w:val="0"/>
          <w:numId w:val="0"/>
        </w:numPr>
        <w:bidi w:val="0"/>
        <w:ind w:left="420" w:leftChars="200"/>
        <w:rPr>
          <w:rFonts w:hint="eastAsia"/>
        </w:rPr>
      </w:pPr>
      <w:r>
        <w:rPr>
          <w:rFonts w:hint="eastAsia"/>
        </w:rPr>
        <w:t xml:space="preserve"> (一)收入预算情况</w:t>
      </w:r>
    </w:p>
    <w:p>
      <w:pPr>
        <w:pStyle w:val="18"/>
        <w:bidi w:val="0"/>
        <w:rPr>
          <w:rFonts w:hint="eastAsia"/>
        </w:rPr>
      </w:pPr>
      <w:r>
        <w:rPr>
          <w:rFonts w:hint="eastAsia"/>
          <w:lang w:eastAsia="zh-CN"/>
        </w:rPr>
        <w:t>2026</w:t>
      </w:r>
      <w:r>
        <w:rPr>
          <w:rFonts w:hint="eastAsia"/>
        </w:rPr>
        <w:t>年</w:t>
      </w:r>
      <w:r>
        <w:rPr>
          <w:rFonts w:hint="eastAsia"/>
          <w:lang w:eastAsia="zh-CN"/>
        </w:rPr>
        <w:t>景德镇市第九中学</w:t>
      </w:r>
      <w:r>
        <w:rPr>
          <w:rFonts w:hint="eastAsia"/>
        </w:rPr>
        <w:t>收入预算总额为3378.76万元</w:t>
      </w:r>
      <w:r>
        <w:rPr>
          <w:rFonts w:hint="eastAsia"/>
          <w:lang w:eastAsia="zh-CN"/>
        </w:rPr>
        <w:t>，</w:t>
      </w:r>
      <w:r>
        <w:rPr>
          <w:rFonts w:hint="eastAsia"/>
        </w:rPr>
        <w:t>较上年预算安排增加</w:t>
      </w:r>
      <w:r>
        <w:rPr>
          <w:rFonts w:hint="eastAsia"/>
          <w:color w:val="auto"/>
          <w:lang w:val="en-US" w:eastAsia="zh-CN"/>
        </w:rPr>
        <w:t>928.62</w:t>
      </w:r>
      <w:r>
        <w:rPr>
          <w:rFonts w:hint="eastAsia"/>
          <w:color w:val="auto"/>
        </w:rPr>
        <w:t>万元</w:t>
      </w:r>
      <w:r>
        <w:rPr>
          <w:rFonts w:hint="eastAsia"/>
          <w:color w:val="auto"/>
          <w:lang w:eastAsia="zh-CN"/>
        </w:rPr>
        <w:t>；本年收入合计3378.76万元，较上年预算安排增加</w:t>
      </w:r>
      <w:r>
        <w:rPr>
          <w:rFonts w:hint="eastAsia"/>
          <w:color w:val="auto"/>
          <w:lang w:val="en-US" w:eastAsia="zh-CN"/>
        </w:rPr>
        <w:t>928.62</w:t>
      </w:r>
      <w:r>
        <w:rPr>
          <w:rFonts w:hint="eastAsia"/>
          <w:color w:val="auto"/>
          <w:lang w:eastAsia="zh-CN"/>
        </w:rPr>
        <w:t>万元；包括：财政拨款收入3100.76万元，较上年预算安排增加</w:t>
      </w:r>
      <w:r>
        <w:rPr>
          <w:rFonts w:hint="eastAsia"/>
          <w:color w:val="auto"/>
          <w:lang w:val="en-US" w:eastAsia="zh-CN"/>
        </w:rPr>
        <w:t>942.62</w:t>
      </w:r>
      <w:r>
        <w:rPr>
          <w:rFonts w:hint="eastAsia"/>
          <w:color w:val="auto"/>
          <w:lang w:eastAsia="zh-CN"/>
        </w:rPr>
        <w:t>万元；其他收入278.00万元，较上年预算安排</w:t>
      </w:r>
      <w:r>
        <w:rPr>
          <w:rFonts w:hint="eastAsia"/>
          <w:color w:val="auto"/>
        </w:rPr>
        <w:t>减少</w:t>
      </w:r>
      <w:r>
        <w:rPr>
          <w:rFonts w:hint="eastAsia"/>
          <w:color w:val="auto"/>
          <w:lang w:val="en-US" w:eastAsia="zh-CN"/>
        </w:rPr>
        <w:t>14</w:t>
      </w:r>
      <w:r>
        <w:rPr>
          <w:rFonts w:hint="eastAsia"/>
          <w:color w:val="auto"/>
          <w:lang w:eastAsia="zh-CN"/>
        </w:rPr>
        <w:t>万元。</w:t>
      </w:r>
    </w:p>
    <w:p>
      <w:pPr>
        <w:pStyle w:val="19"/>
        <w:numPr>
          <w:ilvl w:val="0"/>
          <w:numId w:val="0"/>
        </w:numPr>
        <w:bidi w:val="0"/>
        <w:ind w:left="420" w:leftChars="200"/>
        <w:rPr>
          <w:rFonts w:hint="eastAsia"/>
        </w:rPr>
      </w:pPr>
      <w:r>
        <w:rPr>
          <w:rFonts w:hint="eastAsia"/>
        </w:rPr>
        <w:t xml:space="preserve"> </w:t>
      </w:r>
      <w:r>
        <w:rPr>
          <w:rFonts w:hint="eastAsia"/>
          <w:lang w:val="en-US" w:eastAsia="zh-CN"/>
        </w:rPr>
        <w:t>(二)支出预算情况</w:t>
      </w:r>
    </w:p>
    <w:p>
      <w:pPr>
        <w:pStyle w:val="18"/>
        <w:bidi w:val="0"/>
        <w:rPr>
          <w:rFonts w:hint="eastAsia"/>
        </w:rPr>
      </w:pPr>
      <w:r>
        <w:rPr>
          <w:rFonts w:hint="eastAsia"/>
          <w:lang w:eastAsia="zh-CN"/>
        </w:rPr>
        <w:t>2026</w:t>
      </w:r>
      <w:r>
        <w:rPr>
          <w:rFonts w:hint="eastAsia"/>
        </w:rPr>
        <w:t>年</w:t>
      </w:r>
      <w:r>
        <w:rPr>
          <w:rFonts w:hint="eastAsia"/>
          <w:lang w:eastAsia="zh-CN"/>
        </w:rPr>
        <w:t>景德镇市第九中学</w:t>
      </w:r>
      <w:r>
        <w:rPr>
          <w:rFonts w:hint="eastAsia"/>
        </w:rPr>
        <w:t>支出预算总额为3378.76万元</w:t>
      </w:r>
      <w:r>
        <w:rPr>
          <w:rFonts w:hint="eastAsia"/>
          <w:lang w:eastAsia="zh-CN"/>
        </w:rPr>
        <w:t>，</w:t>
      </w:r>
      <w:r>
        <w:rPr>
          <w:rFonts w:hint="eastAsia"/>
        </w:rPr>
        <w:t>较上年预算安排增加</w:t>
      </w:r>
      <w:r>
        <w:rPr>
          <w:rFonts w:hint="eastAsia"/>
          <w:color w:val="auto"/>
          <w:lang w:val="en-US" w:eastAsia="zh-CN"/>
        </w:rPr>
        <w:t>928.62</w:t>
      </w:r>
      <w:r>
        <w:rPr>
          <w:rFonts w:hint="eastAsia"/>
        </w:rPr>
        <w:t xml:space="preserve">万元。 </w:t>
      </w:r>
    </w:p>
    <w:p>
      <w:pPr>
        <w:pStyle w:val="18"/>
        <w:bidi w:val="0"/>
        <w:rPr>
          <w:rFonts w:hint="eastAsia"/>
          <w:color w:val="auto"/>
        </w:rPr>
      </w:pPr>
      <w:r>
        <w:rPr>
          <w:rFonts w:hint="eastAsia"/>
        </w:rPr>
        <w:t>按支出项目类别划分：基本支出3378.76万元</w:t>
      </w:r>
      <w:r>
        <w:rPr>
          <w:rFonts w:hint="eastAsia"/>
          <w:lang w:eastAsia="zh-CN"/>
        </w:rPr>
        <w:t>，</w:t>
      </w:r>
      <w:r>
        <w:rPr>
          <w:rFonts w:hint="eastAsia"/>
        </w:rPr>
        <w:t>较上年预算安排增加</w:t>
      </w:r>
      <w:r>
        <w:rPr>
          <w:rFonts w:hint="eastAsia"/>
          <w:color w:val="auto"/>
          <w:lang w:val="en-US" w:eastAsia="zh-CN"/>
        </w:rPr>
        <w:t>944.41</w:t>
      </w:r>
      <w:r>
        <w:rPr>
          <w:rFonts w:hint="eastAsia"/>
          <w:color w:val="auto"/>
        </w:rPr>
        <w:t>万元</w:t>
      </w:r>
      <w:r>
        <w:rPr>
          <w:rFonts w:hint="eastAsia"/>
          <w:color w:val="auto"/>
          <w:lang w:eastAsia="zh-CN"/>
        </w:rPr>
        <w:t>；</w:t>
      </w:r>
      <w:r>
        <w:rPr>
          <w:rFonts w:hint="eastAsia"/>
          <w:color w:val="auto"/>
        </w:rPr>
        <w:t>项目支出0.00万元</w:t>
      </w:r>
      <w:r>
        <w:rPr>
          <w:rFonts w:hint="eastAsia"/>
          <w:color w:val="auto"/>
          <w:lang w:eastAsia="zh-CN"/>
        </w:rPr>
        <w:t>，</w:t>
      </w:r>
      <w:r>
        <w:rPr>
          <w:rFonts w:hint="eastAsia"/>
          <w:color w:val="auto"/>
        </w:rPr>
        <w:t>较上年预算安排减少</w:t>
      </w:r>
      <w:r>
        <w:rPr>
          <w:rFonts w:hint="eastAsia"/>
          <w:color w:val="auto"/>
          <w:lang w:val="en-US" w:eastAsia="zh-CN"/>
        </w:rPr>
        <w:t>15.79</w:t>
      </w:r>
      <w:r>
        <w:rPr>
          <w:rFonts w:hint="eastAsia"/>
          <w:color w:val="auto"/>
        </w:rPr>
        <w:t>万元。</w:t>
      </w:r>
    </w:p>
    <w:p>
      <w:pPr>
        <w:pStyle w:val="18"/>
        <w:bidi w:val="0"/>
        <w:rPr>
          <w:rFonts w:hint="eastAsia"/>
          <w:color w:val="auto"/>
        </w:rPr>
      </w:pPr>
      <w:r>
        <w:rPr>
          <w:rFonts w:hint="eastAsia"/>
          <w:color w:val="auto"/>
        </w:rPr>
        <w:t>按支出功能科目划分：教育支出3378.76万元，较上年预算安排增加</w:t>
      </w:r>
      <w:r>
        <w:rPr>
          <w:rFonts w:hint="eastAsia"/>
          <w:color w:val="auto"/>
          <w:lang w:val="en-US" w:eastAsia="zh-CN"/>
        </w:rPr>
        <w:t>1388.52</w:t>
      </w:r>
      <w:r>
        <w:rPr>
          <w:rFonts w:hint="eastAsia"/>
          <w:color w:val="auto"/>
        </w:rPr>
        <w:t>万元。</w:t>
      </w:r>
    </w:p>
    <w:p>
      <w:pPr>
        <w:pStyle w:val="18"/>
        <w:bidi w:val="0"/>
        <w:rPr>
          <w:rFonts w:hint="eastAsia"/>
        </w:rPr>
      </w:pPr>
      <w:r>
        <w:rPr>
          <w:rFonts w:hint="eastAsia"/>
          <w:color w:val="auto"/>
        </w:rPr>
        <w:t>按支出经济分类划分：工资福利支出2985.55万元，较上年预算安排增加</w:t>
      </w:r>
      <w:r>
        <w:rPr>
          <w:rFonts w:hint="eastAsia"/>
          <w:color w:val="auto"/>
          <w:lang w:val="en-US" w:eastAsia="zh-CN"/>
        </w:rPr>
        <w:t>563.41</w:t>
      </w:r>
      <w:r>
        <w:rPr>
          <w:rFonts w:hint="eastAsia"/>
          <w:color w:val="auto"/>
        </w:rPr>
        <w:t>万元；商品和服务支出</w:t>
      </w:r>
      <w:r>
        <w:rPr>
          <w:rFonts w:hint="eastAsia"/>
          <w:color w:val="auto"/>
          <w:lang w:val="en-US" w:eastAsia="zh-CN"/>
        </w:rPr>
        <w:t>294</w:t>
      </w:r>
      <w:r>
        <w:rPr>
          <w:rFonts w:hint="eastAsia"/>
          <w:color w:val="auto"/>
        </w:rPr>
        <w:t>.48万元，较上年预算安排增加</w:t>
      </w:r>
      <w:r>
        <w:rPr>
          <w:rFonts w:hint="eastAsia"/>
          <w:color w:val="auto"/>
          <w:lang w:val="en-US" w:eastAsia="zh-CN"/>
        </w:rPr>
        <w:t>282.69</w:t>
      </w:r>
      <w:r>
        <w:rPr>
          <w:rFonts w:hint="eastAsia"/>
          <w:color w:val="auto"/>
        </w:rPr>
        <w:t>万元；对个人和家庭的补助98.73万元，较上年预算安排增加</w:t>
      </w:r>
      <w:r>
        <w:rPr>
          <w:rFonts w:hint="eastAsia"/>
          <w:color w:val="auto"/>
          <w:lang w:val="en-US" w:eastAsia="zh-CN"/>
        </w:rPr>
        <w:t>86.52</w:t>
      </w:r>
      <w:r>
        <w:rPr>
          <w:rFonts w:hint="eastAsia"/>
          <w:color w:val="auto"/>
        </w:rPr>
        <w:t>万</w:t>
      </w:r>
      <w:r>
        <w:rPr>
          <w:rFonts w:hint="eastAsia"/>
        </w:rPr>
        <w:t>元。</w:t>
      </w:r>
    </w:p>
    <w:p>
      <w:pPr>
        <w:pStyle w:val="19"/>
        <w:numPr>
          <w:ilvl w:val="0"/>
          <w:numId w:val="0"/>
        </w:numPr>
        <w:bidi w:val="0"/>
        <w:ind w:left="420" w:leftChars="200"/>
        <w:rPr>
          <w:rFonts w:hint="eastAsia"/>
          <w:lang w:val="en-US" w:eastAsia="zh-CN"/>
        </w:rPr>
      </w:pPr>
      <w:r>
        <w:rPr>
          <w:rFonts w:hint="eastAsia"/>
          <w:lang w:val="en-US" w:eastAsia="zh-CN"/>
        </w:rPr>
        <w:t xml:space="preserve"> (三)财政拨款支出情况</w:t>
      </w:r>
    </w:p>
    <w:p>
      <w:pPr>
        <w:pStyle w:val="18"/>
        <w:bidi w:val="0"/>
        <w:rPr>
          <w:rFonts w:hint="eastAsia"/>
        </w:rPr>
      </w:pPr>
      <w:r>
        <w:rPr>
          <w:rFonts w:hint="eastAsia"/>
          <w:lang w:eastAsia="zh-CN"/>
        </w:rPr>
        <w:t>2026</w:t>
      </w:r>
      <w:r>
        <w:rPr>
          <w:rFonts w:hint="eastAsia"/>
        </w:rPr>
        <w:t>年</w:t>
      </w:r>
      <w:r>
        <w:rPr>
          <w:rFonts w:hint="eastAsia"/>
          <w:lang w:eastAsia="zh-CN"/>
        </w:rPr>
        <w:t>景德镇市第九中学</w:t>
      </w:r>
      <w:r>
        <w:rPr>
          <w:rFonts w:hint="eastAsia"/>
        </w:rPr>
        <w:t>财政拨款支出预算总额3100.76万元,较上年预算安排增加</w:t>
      </w:r>
      <w:r>
        <w:rPr>
          <w:rFonts w:hint="eastAsia"/>
          <w:color w:val="auto"/>
          <w:lang w:val="en-US" w:eastAsia="zh-CN"/>
        </w:rPr>
        <w:t>942.62</w:t>
      </w:r>
      <w:r>
        <w:rPr>
          <w:rFonts w:hint="eastAsia"/>
        </w:rPr>
        <w:t>万元。</w:t>
      </w:r>
    </w:p>
    <w:p>
      <w:pPr>
        <w:pStyle w:val="18"/>
        <w:bidi w:val="0"/>
        <w:rPr>
          <w:rFonts w:hint="eastAsia"/>
        </w:rPr>
      </w:pPr>
      <w:r>
        <w:rPr>
          <w:rFonts w:hint="eastAsia"/>
        </w:rPr>
        <w:t>按支出功能科目划分：教育支出3100.76万元。</w:t>
      </w:r>
    </w:p>
    <w:p>
      <w:pPr>
        <w:pStyle w:val="18"/>
        <w:bidi w:val="0"/>
        <w:rPr>
          <w:rFonts w:hint="eastAsia"/>
        </w:rPr>
      </w:pPr>
      <w:r>
        <w:rPr>
          <w:rFonts w:hint="eastAsia"/>
        </w:rPr>
        <w:t>按支出项目类别划分：基本支出3100.76万元,项目支出0.00万元。</w:t>
      </w:r>
    </w:p>
    <w:p>
      <w:pPr>
        <w:pStyle w:val="18"/>
        <w:bidi w:val="0"/>
        <w:rPr>
          <w:rFonts w:hint="eastAsia"/>
        </w:rPr>
      </w:pPr>
      <w:r>
        <w:rPr>
          <w:rFonts w:hint="eastAsia"/>
        </w:rPr>
        <w:t>按支</w:t>
      </w:r>
      <w:r>
        <w:rPr>
          <w:rFonts w:hint="eastAsia"/>
          <w:lang w:val="en-US" w:eastAsia="zh-CN"/>
        </w:rPr>
        <w:t>出经济分类</w:t>
      </w:r>
      <w:r>
        <w:rPr>
          <w:rFonts w:hint="eastAsia"/>
        </w:rPr>
        <w:t>划分：工资福利支出2985.55万元，商品和服务支出16.48万元，对个人和家庭的补助98.73万元。</w:t>
      </w:r>
    </w:p>
    <w:p>
      <w:pPr>
        <w:pStyle w:val="19"/>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pPr>
        <w:pStyle w:val="18"/>
        <w:bidi w:val="0"/>
        <w:rPr>
          <w:rFonts w:hint="eastAsia"/>
          <w:color w:val="auto"/>
          <w:lang w:eastAsia="zh-CN"/>
        </w:rPr>
      </w:pPr>
      <w:r>
        <w:rPr>
          <w:rFonts w:hint="eastAsia"/>
          <w:lang w:eastAsia="zh-CN"/>
        </w:rPr>
        <w:t>2026</w:t>
      </w:r>
      <w:r>
        <w:rPr>
          <w:rFonts w:hint="eastAsia"/>
        </w:rPr>
        <w:t>年</w:t>
      </w:r>
      <w:r>
        <w:rPr>
          <w:rFonts w:hint="eastAsia"/>
          <w:lang w:eastAsia="zh-CN"/>
        </w:rPr>
        <w:t>景德镇市第九中学政府性基金支</w:t>
      </w:r>
      <w:r>
        <w:rPr>
          <w:rFonts w:hint="eastAsia"/>
          <w:color w:val="auto"/>
          <w:lang w:eastAsia="zh-CN"/>
        </w:rPr>
        <w:t>出预算总额</w:t>
      </w:r>
      <w:r>
        <w:rPr>
          <w:rFonts w:hint="eastAsia"/>
          <w:color w:val="auto"/>
          <w:lang w:val="en-US" w:eastAsia="zh-CN"/>
        </w:rPr>
        <w:t>0</w:t>
      </w:r>
      <w:r>
        <w:rPr>
          <w:rFonts w:hint="eastAsia"/>
          <w:color w:val="auto"/>
          <w:lang w:eastAsia="zh-CN"/>
        </w:rPr>
        <w:t>万元,较上年预算安排增加</w:t>
      </w:r>
      <w:r>
        <w:rPr>
          <w:rFonts w:hint="eastAsia"/>
          <w:color w:val="auto"/>
          <w:lang w:val="en-US" w:eastAsia="zh-CN"/>
        </w:rPr>
        <w:t>0</w:t>
      </w:r>
      <w:r>
        <w:rPr>
          <w:rFonts w:hint="eastAsia"/>
          <w:color w:val="auto"/>
          <w:lang w:eastAsia="zh-CN"/>
        </w:rPr>
        <w:t>万元。</w:t>
      </w:r>
    </w:p>
    <w:p>
      <w:pPr>
        <w:pStyle w:val="18"/>
        <w:bidi w:val="0"/>
        <w:rPr>
          <w:rFonts w:hint="eastAsia" w:eastAsia="仿宋_GB2312"/>
          <w:lang w:eastAsia="zh-CN"/>
        </w:rPr>
      </w:pPr>
      <w:r>
        <w:rPr>
          <w:rFonts w:hint="eastAsia"/>
        </w:rPr>
        <w:t>本</w:t>
      </w:r>
      <w:r>
        <w:rPr>
          <w:rFonts w:hint="eastAsia"/>
          <w:lang w:val="en-US" w:eastAsia="zh-CN"/>
        </w:rPr>
        <w:t>单位</w:t>
      </w:r>
      <w:r>
        <w:rPr>
          <w:rFonts w:hint="eastAsia"/>
        </w:rPr>
        <w:t>没有使用政府性基金预算拨款安排的支出</w:t>
      </w:r>
      <w:r>
        <w:rPr>
          <w:rFonts w:hint="eastAsia"/>
          <w:lang w:eastAsia="zh-CN"/>
        </w:rPr>
        <w:t>。</w:t>
      </w:r>
    </w:p>
    <w:p>
      <w:pPr>
        <w:pStyle w:val="19"/>
        <w:numPr>
          <w:ilvl w:val="0"/>
          <w:numId w:val="0"/>
        </w:numPr>
        <w:bidi w:val="0"/>
        <w:ind w:firstLine="643" w:firstLineChars="200"/>
        <w:rPr>
          <w:rFonts w:hint="eastAsia"/>
          <w:lang w:val="en-US" w:eastAsia="zh-CN"/>
        </w:rPr>
      </w:pPr>
      <w:r>
        <w:rPr>
          <w:rFonts w:hint="eastAsia"/>
          <w:lang w:val="en-US" w:eastAsia="zh-CN"/>
        </w:rPr>
        <w:t>(五)国有资本经营情况</w:t>
      </w:r>
    </w:p>
    <w:p>
      <w:pPr>
        <w:pStyle w:val="18"/>
        <w:bidi w:val="0"/>
        <w:rPr>
          <w:rFonts w:hint="eastAsia"/>
        </w:rPr>
      </w:pPr>
      <w:r>
        <w:rPr>
          <w:rFonts w:hint="eastAsia"/>
          <w:lang w:eastAsia="zh-CN"/>
        </w:rPr>
        <w:t>2026</w:t>
      </w:r>
      <w:r>
        <w:rPr>
          <w:rFonts w:hint="eastAsia"/>
        </w:rPr>
        <w:t>年</w:t>
      </w:r>
      <w:r>
        <w:rPr>
          <w:rFonts w:hint="eastAsia"/>
          <w:lang w:eastAsia="zh-CN"/>
        </w:rPr>
        <w:t>景德镇市第九中学</w:t>
      </w:r>
      <w:r>
        <w:rPr>
          <w:rFonts w:hint="eastAsia"/>
        </w:rPr>
        <w:t>国有资本经营支出预算</w:t>
      </w:r>
      <w:r>
        <w:rPr>
          <w:rFonts w:hint="eastAsia"/>
          <w:lang w:eastAsia="zh-CN"/>
        </w:rPr>
        <w:t>总额</w:t>
      </w:r>
      <w:r>
        <w:rPr>
          <w:rFonts w:hint="eastAsia"/>
        </w:rPr>
        <w:t>为</w:t>
      </w:r>
      <w:r>
        <w:rPr>
          <w:rFonts w:hint="eastAsia"/>
          <w:lang w:val="en-US" w:eastAsia="zh-CN"/>
        </w:rPr>
        <w:t>0</w:t>
      </w:r>
      <w:r>
        <w:rPr>
          <w:rFonts w:hint="eastAsia"/>
        </w:rPr>
        <w:t>万元,较上年预算安排增加</w:t>
      </w:r>
      <w:r>
        <w:rPr>
          <w:rFonts w:hint="eastAsia"/>
          <w:lang w:val="en-US" w:eastAsia="zh-CN"/>
        </w:rPr>
        <w:t>0</w:t>
      </w:r>
      <w:r>
        <w:rPr>
          <w:rFonts w:hint="eastAsia"/>
        </w:rPr>
        <w:t>万元。</w:t>
      </w:r>
    </w:p>
    <w:p>
      <w:pPr>
        <w:pStyle w:val="18"/>
        <w:bidi w:val="0"/>
        <w:rPr>
          <w:rFonts w:hint="eastAsia" w:eastAsia="仿宋_GB2312"/>
          <w:lang w:eastAsia="zh-CN"/>
        </w:rPr>
      </w:pPr>
      <w:r>
        <w:rPr>
          <w:rFonts w:hint="eastAsia"/>
        </w:rPr>
        <w:t>本</w:t>
      </w:r>
      <w:r>
        <w:rPr>
          <w:rFonts w:hint="eastAsia"/>
          <w:lang w:val="en-US" w:eastAsia="zh-CN"/>
        </w:rPr>
        <w:t>单位</w:t>
      </w:r>
      <w:r>
        <w:rPr>
          <w:rFonts w:hint="eastAsia"/>
        </w:rPr>
        <w:t>没有使用国有资本经营预算拨款安排的支出</w:t>
      </w:r>
      <w:r>
        <w:rPr>
          <w:rFonts w:hint="eastAsia"/>
          <w:lang w:eastAsia="zh-CN"/>
        </w:rPr>
        <w:t>。</w:t>
      </w:r>
    </w:p>
    <w:p>
      <w:pPr>
        <w:pStyle w:val="19"/>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pPr>
        <w:pStyle w:val="18"/>
        <w:bidi w:val="0"/>
        <w:rPr>
          <w:rFonts w:hint="eastAsia"/>
        </w:rPr>
      </w:pPr>
      <w:r>
        <w:rPr>
          <w:rFonts w:hint="eastAsia"/>
        </w:rPr>
        <w:t>本单位非行政参公单位，无机关运行经费</w:t>
      </w:r>
    </w:p>
    <w:p>
      <w:pPr>
        <w:pStyle w:val="19"/>
        <w:numPr>
          <w:ilvl w:val="0"/>
          <w:numId w:val="0"/>
        </w:numPr>
        <w:bidi w:val="0"/>
        <w:ind w:firstLine="643" w:firstLineChars="200"/>
        <w:rPr>
          <w:rFonts w:hint="eastAsia"/>
          <w:lang w:val="en-US" w:eastAsia="zh-CN"/>
        </w:rPr>
      </w:pPr>
      <w:r>
        <w:rPr>
          <w:rFonts w:hint="eastAsia"/>
          <w:lang w:val="en-US" w:eastAsia="zh-CN"/>
        </w:rPr>
        <w:t>(七)政府采购情况</w:t>
      </w:r>
    </w:p>
    <w:p>
      <w:pPr>
        <w:pStyle w:val="18"/>
        <w:bidi w:val="0"/>
        <w:rPr>
          <w:rFonts w:hint="eastAsia"/>
          <w:lang w:eastAsia="zh-CN"/>
        </w:rPr>
      </w:pPr>
      <w:r>
        <w:rPr>
          <w:rFonts w:hint="eastAsia"/>
          <w:lang w:eastAsia="zh-CN"/>
        </w:rPr>
        <w:t>2026年政府采购总额</w:t>
      </w:r>
      <w:r>
        <w:rPr>
          <w:rFonts w:hint="eastAsia"/>
          <w:lang w:val="en-US" w:eastAsia="zh-CN"/>
        </w:rPr>
        <w:t>0</w:t>
      </w:r>
      <w:r>
        <w:rPr>
          <w:rFonts w:hint="eastAsia"/>
          <w:lang w:eastAsia="zh-CN"/>
        </w:rPr>
        <w:t xml:space="preserve">万元,其中: 政府采购货物预算   </w:t>
      </w:r>
      <w:r>
        <w:rPr>
          <w:rFonts w:hint="eastAsia"/>
          <w:lang w:val="en-US" w:eastAsia="zh-CN"/>
        </w:rPr>
        <w:t>0</w:t>
      </w:r>
      <w:r>
        <w:rPr>
          <w:rFonts w:hint="eastAsia"/>
          <w:lang w:eastAsia="zh-CN"/>
        </w:rPr>
        <w:t>万元, 政府采购工程预算</w:t>
      </w:r>
      <w:r>
        <w:rPr>
          <w:rFonts w:hint="eastAsia"/>
          <w:lang w:val="en-US" w:eastAsia="zh-CN"/>
        </w:rPr>
        <w:t>0</w:t>
      </w:r>
      <w:r>
        <w:rPr>
          <w:rFonts w:hint="eastAsia"/>
          <w:lang w:eastAsia="zh-CN"/>
        </w:rPr>
        <w:t xml:space="preserve">万元, 政府采购服务预算 </w:t>
      </w:r>
      <w:r>
        <w:rPr>
          <w:rFonts w:hint="eastAsia"/>
          <w:lang w:val="en-US" w:eastAsia="zh-CN"/>
        </w:rPr>
        <w:t>0</w:t>
      </w:r>
      <w:r>
        <w:rPr>
          <w:rFonts w:hint="eastAsia"/>
          <w:lang w:eastAsia="zh-CN"/>
        </w:rPr>
        <w:t>万元。</w:t>
      </w:r>
    </w:p>
    <w:p>
      <w:pPr>
        <w:pStyle w:val="19"/>
        <w:numPr>
          <w:ilvl w:val="0"/>
          <w:numId w:val="0"/>
        </w:numPr>
        <w:bidi w:val="0"/>
        <w:ind w:firstLine="643" w:firstLineChars="200"/>
        <w:rPr>
          <w:rFonts w:hint="eastAsia"/>
          <w:lang w:val="en-US" w:eastAsia="zh-CN"/>
        </w:rPr>
      </w:pPr>
      <w:r>
        <w:rPr>
          <w:rFonts w:hint="eastAsia"/>
          <w:lang w:val="en-US" w:eastAsia="zh-CN"/>
        </w:rPr>
        <w:t>(八)国有资产占有使用情况</w:t>
      </w:r>
    </w:p>
    <w:p>
      <w:pPr>
        <w:pStyle w:val="18"/>
        <w:bidi w:val="0"/>
        <w:rPr>
          <w:rFonts w:hint="eastAsia"/>
          <w:lang w:eastAsia="zh-CN"/>
        </w:rPr>
      </w:pPr>
      <w:r>
        <w:rPr>
          <w:rFonts w:hint="eastAsia"/>
          <w:lang w:eastAsia="zh-CN"/>
        </w:rPr>
        <w:t xml:space="preserve">截至2025年7月31日, </w:t>
      </w:r>
      <w:r>
        <w:rPr>
          <w:rFonts w:hint="eastAsia"/>
          <w:lang w:val="en-US" w:eastAsia="zh-CN"/>
        </w:rPr>
        <w:t>单位</w:t>
      </w:r>
      <w:r>
        <w:rPr>
          <w:rFonts w:hint="eastAsia"/>
          <w:lang w:eastAsia="zh-CN"/>
        </w:rPr>
        <w:t>共有车辆</w:t>
      </w:r>
      <w:r>
        <w:rPr>
          <w:rFonts w:hint="eastAsia"/>
          <w:lang w:val="en-US" w:eastAsia="zh-CN"/>
        </w:rPr>
        <w:t>0</w:t>
      </w:r>
      <w:r>
        <w:rPr>
          <w:rFonts w:hint="eastAsia"/>
          <w:lang w:eastAsia="zh-CN"/>
        </w:rPr>
        <w:t>辆,其中：一般公务用车实有数</w:t>
      </w:r>
      <w:r>
        <w:rPr>
          <w:rFonts w:hint="eastAsia"/>
          <w:lang w:val="en-US" w:eastAsia="zh-CN"/>
        </w:rPr>
        <w:t>0</w:t>
      </w:r>
      <w:r>
        <w:rPr>
          <w:rFonts w:hint="eastAsia"/>
          <w:lang w:eastAsia="zh-CN"/>
        </w:rPr>
        <w:t>辆。</w:t>
      </w:r>
    </w:p>
    <w:p>
      <w:pPr>
        <w:pStyle w:val="18"/>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w:t>
      </w:r>
      <w:r>
        <w:rPr>
          <w:rFonts w:hint="eastAsia"/>
          <w:lang w:val="en-US" w:eastAsia="zh-CN"/>
        </w:rPr>
        <w:t>0</w:t>
      </w:r>
      <w:r>
        <w:rPr>
          <w:rFonts w:hint="eastAsia"/>
          <w:lang w:eastAsia="zh-CN"/>
        </w:rPr>
        <w:t>辆，</w:t>
      </w:r>
      <w:r>
        <w:rPr>
          <w:rFonts w:hint="eastAsia"/>
          <w:lang w:val="en-US" w:eastAsia="zh-CN"/>
        </w:rPr>
        <w:t>未</w:t>
      </w:r>
      <w:r>
        <w:rPr>
          <w:rFonts w:hint="eastAsia"/>
          <w:lang w:eastAsia="zh-CN"/>
        </w:rPr>
        <w:t>安排购置单位价值200万元以上大型设备。</w:t>
      </w:r>
    </w:p>
    <w:p>
      <w:pPr>
        <w:pStyle w:val="19"/>
        <w:numPr>
          <w:ilvl w:val="0"/>
          <w:numId w:val="0"/>
        </w:numPr>
        <w:bidi w:val="0"/>
        <w:ind w:firstLine="643" w:firstLineChars="200"/>
        <w:rPr>
          <w:rFonts w:hint="eastAsia"/>
          <w:lang w:val="en-US" w:eastAsia="zh-CN"/>
        </w:rPr>
      </w:pPr>
      <w:r>
        <w:rPr>
          <w:rFonts w:hint="eastAsia"/>
          <w:lang w:val="en-US" w:eastAsia="zh-CN"/>
        </w:rPr>
        <w:t>(九)城乡义务教育生均公用经费项目情况说明</w:t>
      </w:r>
    </w:p>
    <w:p>
      <w:pPr>
        <w:pStyle w:val="18"/>
        <w:bidi w:val="0"/>
        <w:rPr>
          <w:rFonts w:hint="eastAsia"/>
          <w:lang w:eastAsia="zh-CN"/>
        </w:rPr>
      </w:pPr>
      <w:r>
        <w:rPr>
          <w:rFonts w:hint="eastAsia" w:ascii="Adobe 仿宋 Std R" w:hAnsi="Adobe 仿宋 Std R" w:eastAsia="Adobe 仿宋 Std R"/>
          <w:sz w:val="32"/>
          <w:szCs w:val="32"/>
        </w:rPr>
        <w:t xml:space="preserve">  </w:t>
      </w:r>
      <w:r>
        <w:rPr>
          <w:rFonts w:hint="eastAsia"/>
          <w:lang w:eastAsia="zh-CN"/>
        </w:rPr>
        <w:t xml:space="preserve"> 1）项目概述：</w:t>
      </w:r>
      <w:r>
        <w:rPr>
          <w:rFonts w:hint="eastAsia" w:ascii="仿宋_GB2312" w:hAnsi="仿宋_GB2312" w:eastAsia="仿宋_GB2312" w:cs="仿宋_GB2312"/>
          <w:kern w:val="2"/>
          <w:sz w:val="32"/>
          <w:szCs w:val="30"/>
          <w:lang w:val="en-US" w:eastAsia="zh-CN" w:bidi="ar-SA"/>
        </w:rPr>
        <w:t>城乡义务教育生均公用经费</w:t>
      </w:r>
    </w:p>
    <w:p>
      <w:pPr>
        <w:pStyle w:val="18"/>
        <w:bidi w:val="0"/>
        <w:rPr>
          <w:rFonts w:hint="eastAsia"/>
          <w:lang w:eastAsia="zh-CN"/>
        </w:rPr>
      </w:pPr>
      <w:r>
        <w:rPr>
          <w:rFonts w:hint="eastAsia"/>
          <w:lang w:eastAsia="zh-CN"/>
        </w:rPr>
        <w:t xml:space="preserve">   2）立项依据</w:t>
      </w:r>
      <w:r>
        <w:rPr>
          <w:rFonts w:hint="eastAsia" w:ascii="仿宋_GB2312" w:hAnsi="仿宋_GB2312" w:eastAsia="仿宋_GB2312" w:cs="仿宋_GB2312"/>
          <w:kern w:val="2"/>
          <w:sz w:val="32"/>
          <w:szCs w:val="30"/>
          <w:lang w:val="en-US" w:eastAsia="zh-CN" w:bidi="ar-SA"/>
        </w:rPr>
        <w:t>：生均公用经费</w:t>
      </w:r>
    </w:p>
    <w:p>
      <w:pPr>
        <w:pStyle w:val="18"/>
        <w:bidi w:val="0"/>
        <w:rPr>
          <w:rFonts w:hint="eastAsia"/>
          <w:lang w:eastAsia="zh-CN"/>
        </w:rPr>
      </w:pPr>
      <w:r>
        <w:rPr>
          <w:rFonts w:hint="eastAsia"/>
          <w:lang w:eastAsia="zh-CN"/>
        </w:rPr>
        <w:t xml:space="preserve">   3）实施主体</w:t>
      </w:r>
      <w:r>
        <w:rPr>
          <w:rFonts w:hint="eastAsia" w:ascii="仿宋_GB2312" w:hAnsi="仿宋_GB2312" w:eastAsia="仿宋_GB2312" w:cs="仿宋_GB2312"/>
          <w:kern w:val="2"/>
          <w:sz w:val="32"/>
          <w:szCs w:val="30"/>
          <w:lang w:val="en-US" w:eastAsia="zh-CN" w:bidi="ar-SA"/>
        </w:rPr>
        <w:t>：景德镇市第九中学</w:t>
      </w:r>
    </w:p>
    <w:p>
      <w:pPr>
        <w:pStyle w:val="18"/>
        <w:bidi w:val="0"/>
        <w:rPr>
          <w:rFonts w:hint="eastAsia"/>
          <w:lang w:eastAsia="zh-CN"/>
        </w:rPr>
      </w:pPr>
      <w:r>
        <w:rPr>
          <w:rFonts w:hint="eastAsia"/>
          <w:lang w:eastAsia="zh-CN"/>
        </w:rPr>
        <w:t xml:space="preserve">   4）实施方案</w:t>
      </w:r>
      <w:r>
        <w:rPr>
          <w:rFonts w:hint="eastAsia" w:ascii="仿宋_GB2312" w:hAnsi="仿宋_GB2312" w:eastAsia="仿宋_GB2312" w:cs="仿宋_GB2312"/>
          <w:kern w:val="2"/>
          <w:sz w:val="32"/>
          <w:szCs w:val="30"/>
          <w:lang w:val="en-US" w:eastAsia="zh-CN" w:bidi="ar-SA"/>
        </w:rPr>
        <w:t>：保障教学正常开展</w:t>
      </w:r>
    </w:p>
    <w:p>
      <w:pPr>
        <w:pStyle w:val="18"/>
        <w:bidi w:val="0"/>
        <w:rPr>
          <w:rFonts w:hint="eastAsia"/>
          <w:lang w:eastAsia="zh-CN"/>
        </w:rPr>
      </w:pPr>
      <w:r>
        <w:rPr>
          <w:rFonts w:hint="eastAsia"/>
          <w:lang w:eastAsia="zh-CN"/>
        </w:rPr>
        <w:t xml:space="preserve">   5）实施周期</w:t>
      </w:r>
      <w:r>
        <w:rPr>
          <w:rFonts w:hint="eastAsia" w:ascii="仿宋_GB2312" w:hAnsi="仿宋_GB2312" w:eastAsia="仿宋_GB2312" w:cs="仿宋_GB2312"/>
          <w:kern w:val="2"/>
          <w:sz w:val="32"/>
          <w:szCs w:val="30"/>
          <w:lang w:val="en-US" w:eastAsia="zh-CN" w:bidi="ar-SA"/>
        </w:rPr>
        <w:t>：202</w:t>
      </w:r>
      <w:r>
        <w:rPr>
          <w:rFonts w:hint="eastAsia" w:cs="仿宋_GB2312"/>
          <w:kern w:val="2"/>
          <w:sz w:val="32"/>
          <w:szCs w:val="30"/>
          <w:lang w:val="en-US" w:eastAsia="zh-CN" w:bidi="ar-SA"/>
        </w:rPr>
        <w:t>6</w:t>
      </w:r>
      <w:r>
        <w:rPr>
          <w:rFonts w:hint="eastAsia" w:ascii="仿宋_GB2312" w:hAnsi="仿宋_GB2312" w:eastAsia="仿宋_GB2312" w:cs="仿宋_GB2312"/>
          <w:kern w:val="2"/>
          <w:sz w:val="32"/>
          <w:szCs w:val="30"/>
          <w:lang w:val="en-US" w:eastAsia="zh-CN" w:bidi="ar-SA"/>
        </w:rPr>
        <w:t>年度</w:t>
      </w:r>
    </w:p>
    <w:p>
      <w:pPr>
        <w:pStyle w:val="18"/>
        <w:bidi w:val="0"/>
        <w:rPr>
          <w:rFonts w:hint="eastAsia"/>
          <w:lang w:val="en-US" w:eastAsia="zh-CN"/>
        </w:rPr>
      </w:pPr>
      <w:r>
        <w:rPr>
          <w:rFonts w:hint="eastAsia"/>
          <w:lang w:eastAsia="zh-CN"/>
        </w:rPr>
        <w:t xml:space="preserve">   6）年度预算安排：</w:t>
      </w:r>
      <w:r>
        <w:rPr>
          <w:rFonts w:hint="eastAsia"/>
          <w:lang w:val="en-US" w:eastAsia="zh-CN"/>
        </w:rPr>
        <w:t>148.34万元</w:t>
      </w:r>
    </w:p>
    <w:p>
      <w:pPr>
        <w:pStyle w:val="17"/>
        <w:numPr>
          <w:ilvl w:val="0"/>
          <w:numId w:val="0"/>
        </w:numPr>
        <w:bidi w:val="0"/>
        <w:ind w:firstLine="643" w:firstLineChars="2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pPr>
        <w:pStyle w:val="18"/>
        <w:bidi w:val="0"/>
        <w:rPr>
          <w:rFonts w:hint="eastAsia"/>
          <w:lang w:eastAsia="zh-CN"/>
        </w:rPr>
      </w:pPr>
      <w:r>
        <w:rPr>
          <w:rFonts w:hint="eastAsia"/>
          <w:lang w:eastAsia="zh-CN"/>
        </w:rPr>
        <w:t>2026年景德镇市第九中学财政拨款"三公"经费安排0.50万元，其中：</w:t>
      </w:r>
    </w:p>
    <w:p>
      <w:pPr>
        <w:pStyle w:val="18"/>
        <w:bidi w:val="0"/>
        <w:rPr>
          <w:rFonts w:hint="eastAsia"/>
          <w:lang w:eastAsia="zh-CN"/>
        </w:rPr>
      </w:pPr>
      <w:r>
        <w:rPr>
          <w:rFonts w:hint="eastAsia"/>
          <w:lang w:eastAsia="zh-CN"/>
        </w:rPr>
        <w:t>因公出国0.00万元,比上年增</w:t>
      </w:r>
      <w:r>
        <w:rPr>
          <w:rFonts w:hint="eastAsia"/>
          <w:lang w:val="en-US" w:eastAsia="zh-CN"/>
        </w:rPr>
        <w:t>0</w:t>
      </w:r>
      <w:r>
        <w:rPr>
          <w:rFonts w:hint="eastAsia"/>
          <w:lang w:eastAsia="zh-CN"/>
        </w:rPr>
        <w:t>万元，主要原因是</w:t>
      </w:r>
      <w:r>
        <w:rPr>
          <w:rFonts w:hint="eastAsia" w:ascii="仿宋_GB2312" w:hAnsi="仿宋_GB2312" w:eastAsia="仿宋_GB2312" w:cs="仿宋_GB2312"/>
          <w:kern w:val="2"/>
          <w:sz w:val="32"/>
          <w:szCs w:val="30"/>
          <w:lang w:val="en-US" w:eastAsia="zh-CN" w:bidi="ar-SA"/>
        </w:rPr>
        <w:t>：与上年安排保持一致。</w:t>
      </w:r>
    </w:p>
    <w:p>
      <w:pPr>
        <w:pStyle w:val="18"/>
        <w:bidi w:val="0"/>
        <w:rPr>
          <w:rFonts w:hint="eastAsia"/>
          <w:lang w:eastAsia="zh-CN"/>
        </w:rPr>
      </w:pPr>
      <w:r>
        <w:rPr>
          <w:rFonts w:hint="eastAsia"/>
          <w:lang w:eastAsia="zh-CN"/>
        </w:rPr>
        <w:t>公务接待0.50万元,比上年增</w:t>
      </w:r>
      <w:r>
        <w:rPr>
          <w:rFonts w:hint="eastAsia"/>
          <w:lang w:val="en-US" w:eastAsia="zh-CN"/>
        </w:rPr>
        <w:t>0.50</w:t>
      </w:r>
      <w:r>
        <w:rPr>
          <w:rFonts w:hint="eastAsia"/>
          <w:lang w:eastAsia="zh-CN"/>
        </w:rPr>
        <w:t>万元，主要原因是：</w:t>
      </w:r>
      <w:r>
        <w:rPr>
          <w:rFonts w:hint="eastAsia"/>
          <w:lang w:val="en-US" w:eastAsia="zh-CN"/>
        </w:rPr>
        <w:t>义务教育改革，本校由市级下划至区级，新增</w:t>
      </w:r>
      <w:r>
        <w:rPr>
          <w:rFonts w:hint="eastAsia" w:ascii="仿宋_GB2312" w:hAnsi="仿宋_GB2312" w:eastAsia="仿宋_GB2312" w:cs="仿宋_GB2312"/>
          <w:kern w:val="2"/>
          <w:sz w:val="32"/>
          <w:szCs w:val="30"/>
          <w:lang w:val="en-US" w:eastAsia="zh-CN" w:bidi="ar-SA"/>
        </w:rPr>
        <w:t>公务接待</w:t>
      </w:r>
      <w:r>
        <w:rPr>
          <w:rFonts w:hint="eastAsia" w:cs="仿宋_GB2312"/>
          <w:kern w:val="2"/>
          <w:sz w:val="32"/>
          <w:szCs w:val="30"/>
          <w:lang w:val="en-US" w:eastAsia="zh-CN" w:bidi="ar-SA"/>
        </w:rPr>
        <w:t>费</w:t>
      </w:r>
      <w:bookmarkStart w:id="0" w:name="_GoBack"/>
      <w:bookmarkEnd w:id="0"/>
      <w:r>
        <w:rPr>
          <w:rFonts w:hint="eastAsia" w:ascii="仿宋_GB2312" w:hAnsi="仿宋_GB2312" w:eastAsia="仿宋_GB2312" w:cs="仿宋_GB2312"/>
          <w:kern w:val="2"/>
          <w:sz w:val="32"/>
          <w:szCs w:val="30"/>
          <w:lang w:val="en-US" w:eastAsia="zh-CN" w:bidi="ar-SA"/>
        </w:rPr>
        <w:t>。</w:t>
      </w:r>
    </w:p>
    <w:p>
      <w:pPr>
        <w:pStyle w:val="18"/>
        <w:bidi w:val="0"/>
        <w:rPr>
          <w:rFonts w:hint="eastAsia"/>
          <w:lang w:eastAsia="zh-CN"/>
        </w:rPr>
      </w:pPr>
      <w:r>
        <w:rPr>
          <w:rFonts w:hint="eastAsia"/>
          <w:lang w:eastAsia="zh-CN"/>
        </w:rPr>
        <w:t>公务用车运行0.00万元,比上年增</w:t>
      </w:r>
      <w:r>
        <w:rPr>
          <w:rFonts w:hint="eastAsia"/>
          <w:lang w:val="en-US" w:eastAsia="zh-CN"/>
        </w:rPr>
        <w:t>0</w:t>
      </w:r>
      <w:r>
        <w:rPr>
          <w:rFonts w:hint="eastAsia"/>
          <w:lang w:eastAsia="zh-CN"/>
        </w:rPr>
        <w:t>万元，主要原因是</w:t>
      </w:r>
      <w:r>
        <w:rPr>
          <w:rFonts w:hint="eastAsia" w:ascii="仿宋_GB2312" w:hAnsi="仿宋_GB2312" w:eastAsia="仿宋_GB2312" w:cs="仿宋_GB2312"/>
          <w:kern w:val="2"/>
          <w:sz w:val="32"/>
          <w:szCs w:val="30"/>
          <w:lang w:val="en-US" w:eastAsia="zh-CN" w:bidi="ar-SA"/>
        </w:rPr>
        <w:t>：与上年安排保持一致。</w:t>
      </w:r>
    </w:p>
    <w:p>
      <w:pPr>
        <w:pStyle w:val="18"/>
        <w:bidi w:val="0"/>
        <w:rPr>
          <w:rFonts w:hint="eastAsia"/>
          <w:lang w:eastAsia="zh-CN"/>
        </w:rPr>
      </w:pPr>
      <w:r>
        <w:rPr>
          <w:rFonts w:hint="eastAsia"/>
          <w:lang w:eastAsia="zh-CN"/>
        </w:rPr>
        <w:t>公务用车购置0.00万元,比上年增</w:t>
      </w:r>
      <w:r>
        <w:rPr>
          <w:rFonts w:hint="eastAsia"/>
          <w:lang w:val="en-US" w:eastAsia="zh-CN"/>
        </w:rPr>
        <w:t>0</w:t>
      </w:r>
      <w:r>
        <w:rPr>
          <w:rFonts w:hint="eastAsia"/>
          <w:lang w:eastAsia="zh-CN"/>
        </w:rPr>
        <w:t>万元，主要原因是：与上年安排保持一致。</w:t>
      </w:r>
    </w:p>
    <w:p>
      <w:pPr>
        <w:pStyle w:val="18"/>
        <w:bidi w:val="0"/>
        <w:rPr>
          <w:rFonts w:hint="eastAsia"/>
          <w:lang w:eastAsia="zh-CN"/>
        </w:rPr>
      </w:pPr>
    </w:p>
    <w:p>
      <w:pPr>
        <w:pStyle w:val="18"/>
        <w:bidi w:val="0"/>
        <w:rPr>
          <w:rFonts w:hint="eastAsia"/>
          <w:lang w:eastAsia="zh-CN"/>
        </w:rPr>
      </w:pPr>
    </w:p>
    <w:p>
      <w:pPr>
        <w:rPr>
          <w:rStyle w:val="12"/>
          <w:rFonts w:hint="eastAsia" w:ascii="仿宋" w:hAnsi="仿宋" w:eastAsia="仿宋"/>
          <w:sz w:val="32"/>
          <w:szCs w:val="32"/>
        </w:rPr>
      </w:pPr>
      <w:r>
        <w:rPr>
          <w:rStyle w:val="12"/>
          <w:rFonts w:hint="eastAsia" w:ascii="仿宋" w:hAnsi="仿宋" w:eastAsia="仿宋"/>
          <w:sz w:val="32"/>
          <w:szCs w:val="32"/>
        </w:rPr>
        <w:br w:type="page"/>
      </w:r>
    </w:p>
    <w:p>
      <w:pPr>
        <w:pStyle w:val="17"/>
        <w:numPr>
          <w:ilvl w:val="0"/>
          <w:numId w:val="0"/>
        </w:numPr>
        <w:bidi w:val="0"/>
        <w:ind w:left="420" w:leftChars="200"/>
        <w:jc w:val="center"/>
        <w:rPr>
          <w:rFonts w:hint="eastAsia"/>
          <w:lang w:val="en-US" w:eastAsia="zh-CN"/>
        </w:rPr>
      </w:pPr>
      <w:r>
        <w:rPr>
          <w:rFonts w:hint="eastAsia"/>
          <w:lang w:val="en-US" w:eastAsia="zh-CN"/>
        </w:rPr>
        <w:t>第四部分   名词解释</w:t>
      </w:r>
    </w:p>
    <w:p>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pPr>
        <w:pStyle w:val="18"/>
        <w:bidi w:val="0"/>
        <w:rPr>
          <w:rFonts w:hint="eastAsia"/>
          <w:lang w:eastAsia="zh-CN"/>
        </w:rPr>
      </w:pPr>
      <w:r>
        <w:rPr>
          <w:rFonts w:hint="eastAsia"/>
          <w:lang w:eastAsia="zh-CN"/>
        </w:rPr>
        <w:t>各</w:t>
      </w:r>
      <w:r>
        <w:rPr>
          <w:rFonts w:hint="eastAsia"/>
          <w:lang w:val="en-US" w:eastAsia="zh-CN"/>
        </w:rPr>
        <w:t>单位</w:t>
      </w:r>
      <w:r>
        <w:rPr>
          <w:rFonts w:hint="eastAsia"/>
          <w:lang w:eastAsia="zh-CN"/>
        </w:rPr>
        <w:t>结合实际进行解释。</w:t>
      </w:r>
    </w:p>
    <w:p>
      <w:pPr>
        <w:pStyle w:val="18"/>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pPr>
        <w:pStyle w:val="18"/>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pPr>
        <w:pStyle w:val="18"/>
        <w:bidi w:val="0"/>
        <w:rPr>
          <w:rFonts w:hint="eastAsia"/>
          <w:lang w:eastAsia="zh-CN"/>
        </w:rPr>
      </w:pPr>
      <w:r>
        <w:rPr>
          <w:rFonts w:hint="eastAsia"/>
          <w:lang w:eastAsia="zh-CN"/>
        </w:rPr>
        <w:t>（三）事业收入：指事业单位开展专业业务活动及辅助活动取得的收入。</w:t>
      </w:r>
    </w:p>
    <w:p>
      <w:pPr>
        <w:pStyle w:val="18"/>
        <w:bidi w:val="0"/>
        <w:rPr>
          <w:rFonts w:hint="eastAsia"/>
          <w:lang w:eastAsia="zh-CN"/>
        </w:rPr>
      </w:pPr>
      <w:r>
        <w:rPr>
          <w:rFonts w:hint="eastAsia"/>
          <w:lang w:eastAsia="zh-CN"/>
        </w:rPr>
        <w:t>（四）事业单位经营收入：指事业单位在专业业务活动及辅助活动之外开展非独立核算经营活动取得的收入。</w:t>
      </w:r>
    </w:p>
    <w:p>
      <w:pPr>
        <w:pStyle w:val="18"/>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pPr>
        <w:pStyle w:val="18"/>
        <w:bidi w:val="0"/>
        <w:rPr>
          <w:rFonts w:hint="eastAsia"/>
          <w:lang w:eastAsia="zh-CN"/>
        </w:rPr>
      </w:pPr>
      <w:r>
        <w:rPr>
          <w:rFonts w:hint="eastAsia"/>
          <w:lang w:eastAsia="zh-CN"/>
        </w:rPr>
        <w:t>（六）上级补助收入：指事业单位从主管部门和上级单位取得的非财政补助收入。</w:t>
      </w:r>
    </w:p>
    <w:p>
      <w:pPr>
        <w:pStyle w:val="18"/>
        <w:bidi w:val="0"/>
        <w:rPr>
          <w:rFonts w:hint="eastAsia"/>
          <w:lang w:eastAsia="zh-CN"/>
        </w:rPr>
      </w:pPr>
      <w:r>
        <w:rPr>
          <w:rFonts w:hint="eastAsia"/>
          <w:lang w:eastAsia="zh-CN"/>
        </w:rPr>
        <w:t>（七）其他收入：指除财政拨款、事业收入、事业单位经营收入等以外的各项收入。</w:t>
      </w:r>
    </w:p>
    <w:p>
      <w:pPr>
        <w:pStyle w:val="18"/>
        <w:bidi w:val="0"/>
        <w:rPr>
          <w:rFonts w:hint="eastAsia"/>
          <w:lang w:eastAsia="zh-CN"/>
        </w:rPr>
      </w:pPr>
      <w:r>
        <w:rPr>
          <w:rFonts w:hint="eastAsia"/>
          <w:lang w:eastAsia="zh-CN"/>
        </w:rPr>
        <w:t>（八）使用非财政拨款结余：指历年滚存非限定用途的非财政拨款结余弥补本年度收支差额的数额。</w:t>
      </w:r>
    </w:p>
    <w:p>
      <w:pPr>
        <w:pStyle w:val="18"/>
        <w:bidi w:val="0"/>
        <w:rPr>
          <w:rFonts w:hint="eastAsia"/>
          <w:lang w:eastAsia="zh-CN"/>
        </w:rPr>
      </w:pPr>
      <w:r>
        <w:rPr>
          <w:rFonts w:hint="eastAsia"/>
          <w:lang w:eastAsia="zh-CN"/>
        </w:rPr>
        <w:t>（九）上年结转和结余：指以前年度全部结转和结余的资金数，包括当年结转结余资金和历年滚存结转结余资金。</w:t>
      </w:r>
    </w:p>
    <w:p>
      <w:pPr>
        <w:ind w:firstLine="640" w:firstLineChars="200"/>
        <w:rPr>
          <w:rFonts w:ascii="Adobe 仿宋 Std R" w:hAnsi="Adobe 仿宋 Std R" w:eastAsia="Adobe 仿宋 Std R"/>
          <w:sz w:val="32"/>
          <w:szCs w:val="32"/>
        </w:rPr>
      </w:pPr>
    </w:p>
    <w:p>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pPr>
        <w:pStyle w:val="18"/>
        <w:bidi w:val="0"/>
        <w:rPr>
          <w:rFonts w:hint="eastAsia"/>
          <w:lang w:eastAsia="zh-CN"/>
        </w:rPr>
      </w:pPr>
      <w:r>
        <w:rPr>
          <w:rFonts w:hint="eastAsia"/>
          <w:lang w:eastAsia="zh-CN"/>
        </w:rPr>
        <w:t>对部门预算中涉及的支出功能分类科目（明细到项级），结合</w:t>
      </w:r>
      <w:r>
        <w:rPr>
          <w:rFonts w:hint="eastAsia"/>
          <w:lang w:val="en-US" w:eastAsia="zh-CN"/>
        </w:rPr>
        <w:t>单位</w:t>
      </w:r>
      <w:r>
        <w:rPr>
          <w:rFonts w:hint="eastAsia"/>
          <w:lang w:eastAsia="zh-CN"/>
        </w:rPr>
        <w:t>实际，参照《2026年政府收支分类科目》的规范说明进行解释。</w:t>
      </w:r>
    </w:p>
    <w:p>
      <w:pPr>
        <w:widowControl/>
        <w:spacing w:line="600" w:lineRule="exact"/>
        <w:ind w:firstLine="640" w:firstLineChars="200"/>
        <w:jc w:val="left"/>
        <w:rPr>
          <w:rFonts w:ascii="仿宋_GB2312" w:eastAsia="仿宋_GB2312"/>
          <w:color w:val="000000"/>
          <w:sz w:val="32"/>
          <w:szCs w:val="30"/>
        </w:rPr>
      </w:pPr>
    </w:p>
    <w:p>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pPr>
        <w:pStyle w:val="18"/>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pPr>
        <w:pStyle w:val="18"/>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pPr>
        <w:pStyle w:val="18"/>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1">
    <w:nsid w:val="1A6C569E"/>
    <w:multiLevelType w:val="singleLevel"/>
    <w:tmpl w:val="1A6C569E"/>
    <w:lvl w:ilvl="0" w:tentative="0">
      <w:start w:val="1"/>
      <w:numFmt w:val="chineseCounting"/>
      <w:suff w:val="nothing"/>
      <w:lvlText w:val="%1、"/>
      <w:lvlJc w:val="left"/>
      <w:rPr>
        <w:rFonts w:hint="eastAsia"/>
      </w:rPr>
    </w:lvl>
  </w:abstractNum>
  <w:abstractNum w:abstractNumId="2">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A380A"/>
    <w:rsid w:val="0C97247A"/>
    <w:rsid w:val="0CA31D71"/>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3F4D1E"/>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469B0"/>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356E93"/>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B629D1"/>
    <w:rsid w:val="5ED43404"/>
    <w:rsid w:val="5F04373C"/>
    <w:rsid w:val="5F28567D"/>
    <w:rsid w:val="5F5A15AE"/>
    <w:rsid w:val="5F7563E8"/>
    <w:rsid w:val="600A5CC3"/>
    <w:rsid w:val="6025390F"/>
    <w:rsid w:val="602A730A"/>
    <w:rsid w:val="604A0FC0"/>
    <w:rsid w:val="605F3B00"/>
    <w:rsid w:val="6062071A"/>
    <w:rsid w:val="609E54CA"/>
    <w:rsid w:val="60B60A66"/>
    <w:rsid w:val="60FF065F"/>
    <w:rsid w:val="614348BF"/>
    <w:rsid w:val="61E909C7"/>
    <w:rsid w:val="628F77C1"/>
    <w:rsid w:val="629372B1"/>
    <w:rsid w:val="62FC618F"/>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9">
    <w:name w:val="页眉 字符"/>
    <w:basedOn w:val="6"/>
    <w:link w:val="5"/>
    <w:qFormat/>
    <w:uiPriority w:val="99"/>
    <w:rPr>
      <w:sz w:val="18"/>
      <w:szCs w:val="18"/>
    </w:rPr>
  </w:style>
  <w:style w:type="character" w:customStyle="1" w:styleId="10">
    <w:name w:val="页脚 字符"/>
    <w:basedOn w:val="6"/>
    <w:link w:val="4"/>
    <w:qFormat/>
    <w:uiPriority w:val="99"/>
    <w:rPr>
      <w:sz w:val="18"/>
      <w:szCs w:val="18"/>
    </w:rPr>
  </w:style>
  <w:style w:type="character" w:customStyle="1" w:styleId="11">
    <w:name w:val="row_tree_level_3"/>
    <w:basedOn w:val="6"/>
    <w:qFormat/>
    <w:uiPriority w:val="0"/>
  </w:style>
  <w:style w:type="character" w:customStyle="1" w:styleId="12">
    <w:name w:val="row_tree_level_4"/>
    <w:basedOn w:val="6"/>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6"/>
    <w:qFormat/>
    <w:uiPriority w:val="0"/>
    <w:rPr>
      <w:rFonts w:hint="default" w:ascii="Times New Roman" w:hAnsi="Times New Roman" w:cs="Times New Roman"/>
      <w:sz w:val="20"/>
      <w:szCs w:val="20"/>
    </w:rPr>
  </w:style>
  <w:style w:type="character" w:customStyle="1" w:styleId="15">
    <w:name w:val="font01"/>
    <w:basedOn w:val="6"/>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4459</Words>
  <Characters>5480</Characters>
  <Lines>47</Lines>
  <Paragraphs>13</Paragraphs>
  <TotalTime>32</TotalTime>
  <ScaleCrop>false</ScaleCrop>
  <LinksUpToDate>false</LinksUpToDate>
  <CharactersWithSpaces>5601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dell</cp:lastModifiedBy>
  <dcterms:modified xsi:type="dcterms:W3CDTF">2026-03-16T02:03:04Z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2052-10.1.0.7698</vt:lpwstr>
  </property>
</Properties>
</file>