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9719B9">
      <w:pPr>
        <w:spacing w:before="99" w:line="226" w:lineRule="auto"/>
        <w:ind w:left="2678" w:leftChars="641" w:hanging="1332" w:hangingChars="300"/>
        <w:outlineLvl w:val="0"/>
        <w:rPr>
          <w:rFonts w:ascii="黑体" w:hAnsi="黑体" w:eastAsia="黑体" w:cs="黑体"/>
          <w:sz w:val="43"/>
          <w:szCs w:val="43"/>
        </w:rPr>
      </w:pPr>
      <w:r>
        <w:rPr>
          <w:rFonts w:hint="eastAsia" w:ascii="黑体" w:hAnsi="黑体" w:eastAsia="黑体" w:cs="黑体"/>
          <w:spacing w:val="7"/>
          <w:sz w:val="43"/>
          <w:szCs w:val="43"/>
          <w:lang w:eastAsia="zh-CN"/>
          <w14:textOutline w14:w="5587" w14:cap="flat" w14:cmpd="sng">
            <w14:solidFill>
              <w14:srgbClr w14:val="000000"/>
            </w14:solidFill>
            <w14:prstDash w14:val="solid"/>
            <w14:miter w14:val="0"/>
          </w14:textOutline>
        </w:rPr>
        <w:t>中共景德镇市珠山区委政法委员会</w:t>
      </w:r>
      <w:r>
        <w:rPr>
          <w:rFonts w:ascii="黑体" w:hAnsi="黑体" w:eastAsia="黑体" w:cs="黑体"/>
          <w:spacing w:val="-92"/>
          <w:sz w:val="43"/>
          <w:szCs w:val="43"/>
        </w:rPr>
        <w:t xml:space="preserve"> </w:t>
      </w:r>
      <w:r>
        <w:rPr>
          <w:rFonts w:hint="eastAsia" w:ascii="黑体" w:hAnsi="黑体" w:eastAsia="黑体" w:cs="黑体"/>
          <w:spacing w:val="7"/>
          <w:sz w:val="43"/>
          <w:szCs w:val="43"/>
          <w:lang w:eastAsia="zh-CN"/>
          <w14:textOutline w14:w="5587" w14:cap="flat" w14:cmpd="sng">
            <w14:solidFill>
              <w14:srgbClr w14:val="000000"/>
            </w14:solidFill>
            <w14:prstDash w14:val="solid"/>
            <w14:miter w14:val="0"/>
          </w14:textOutline>
        </w:rPr>
        <w:t>2026</w:t>
      </w:r>
      <w:r>
        <w:rPr>
          <w:rFonts w:ascii="黑体" w:hAnsi="黑体" w:eastAsia="黑体" w:cs="黑体"/>
          <w:spacing w:val="-85"/>
          <w:sz w:val="43"/>
          <w:szCs w:val="43"/>
        </w:rPr>
        <w:t xml:space="preserve"> </w:t>
      </w:r>
      <w:r>
        <w:rPr>
          <w:rFonts w:ascii="黑体" w:hAnsi="黑体" w:eastAsia="黑体" w:cs="黑体"/>
          <w:spacing w:val="7"/>
          <w:sz w:val="43"/>
          <w:szCs w:val="43"/>
          <w14:textOutline w14:w="5587" w14:cap="flat" w14:cmpd="sng">
            <w14:solidFill>
              <w14:srgbClr w14:val="000000"/>
            </w14:solidFill>
            <w14:prstDash w14:val="solid"/>
            <w14:miter w14:val="0"/>
          </w14:textOutline>
        </w:rPr>
        <w:t>年部门预算</w:t>
      </w:r>
    </w:p>
    <w:p w14:paraId="064B1EC3">
      <w:pPr>
        <w:spacing w:line="338" w:lineRule="auto"/>
        <w:rPr>
          <w:rFonts w:ascii="Arial"/>
          <w:sz w:val="21"/>
        </w:rPr>
      </w:pPr>
    </w:p>
    <w:p w14:paraId="0B663666">
      <w:pPr>
        <w:spacing w:line="339" w:lineRule="auto"/>
        <w:rPr>
          <w:rFonts w:ascii="Arial"/>
          <w:sz w:val="21"/>
        </w:rPr>
      </w:pPr>
    </w:p>
    <w:p w14:paraId="7018028F">
      <w:pPr>
        <w:spacing w:before="101" w:line="228" w:lineRule="auto"/>
        <w:ind w:left="3579"/>
        <w:rPr>
          <w:rFonts w:ascii="黑体" w:hAnsi="黑体" w:eastAsia="黑体" w:cs="黑体"/>
          <w:sz w:val="31"/>
          <w:szCs w:val="31"/>
        </w:rPr>
      </w:pPr>
      <w:r>
        <w:rPr>
          <w:rFonts w:ascii="黑体" w:hAnsi="黑体" w:eastAsia="黑体" w:cs="黑体"/>
          <w:spacing w:val="-22"/>
          <w:sz w:val="31"/>
          <w:szCs w:val="31"/>
        </w:rPr>
        <w:t>目</w:t>
      </w:r>
      <w:r>
        <w:rPr>
          <w:rFonts w:ascii="黑体" w:hAnsi="黑体" w:eastAsia="黑体" w:cs="黑体"/>
          <w:spacing w:val="8"/>
          <w:sz w:val="31"/>
          <w:szCs w:val="31"/>
        </w:rPr>
        <w:t xml:space="preserve">    </w:t>
      </w:r>
      <w:r>
        <w:rPr>
          <w:rFonts w:ascii="黑体" w:hAnsi="黑体" w:eastAsia="黑体" w:cs="黑体"/>
          <w:spacing w:val="-22"/>
          <w:sz w:val="31"/>
          <w:szCs w:val="31"/>
        </w:rPr>
        <w:t>录</w:t>
      </w:r>
    </w:p>
    <w:p w14:paraId="20227F7C">
      <w:pPr>
        <w:spacing w:line="450" w:lineRule="auto"/>
        <w:rPr>
          <w:rFonts w:ascii="Arial"/>
          <w:sz w:val="21"/>
        </w:rPr>
      </w:pPr>
    </w:p>
    <w:p w14:paraId="3C26635A">
      <w:pPr>
        <w:pStyle w:val="2"/>
        <w:spacing w:before="101" w:line="228" w:lineRule="auto"/>
        <w:ind w:left="687"/>
      </w:pPr>
      <w:r>
        <w:rPr>
          <w:spacing w:val="7"/>
          <w14:textOutline w14:w="4064" w14:cap="flat" w14:cmpd="sng">
            <w14:solidFill>
              <w14:srgbClr w14:val="000000"/>
            </w14:solidFill>
            <w14:prstDash w14:val="solid"/>
            <w14:miter w14:val="0"/>
          </w14:textOutline>
        </w:rPr>
        <w:t>第一部分</w:t>
      </w:r>
      <w:r>
        <w:rPr>
          <w:spacing w:val="7"/>
        </w:rPr>
        <w:t xml:space="preserve">  </w:t>
      </w:r>
      <w:r>
        <w:rPr>
          <w:rFonts w:hint="eastAsia"/>
          <w:spacing w:val="7"/>
          <w:lang w:eastAsia="zh-CN"/>
          <w14:textOutline w14:w="4064" w14:cap="flat" w14:cmpd="sng">
            <w14:solidFill>
              <w14:srgbClr w14:val="000000"/>
            </w14:solidFill>
            <w14:prstDash w14:val="solid"/>
            <w14:miter w14:val="0"/>
          </w14:textOutline>
        </w:rPr>
        <w:t>中共景德镇市珠山区委政法委员会</w:t>
      </w:r>
      <w:r>
        <w:rPr>
          <w:spacing w:val="7"/>
          <w14:textOutline w14:w="4064" w14:cap="flat" w14:cmpd="sng">
            <w14:solidFill>
              <w14:srgbClr w14:val="000000"/>
            </w14:solidFill>
            <w14:prstDash w14:val="solid"/>
            <w14:miter w14:val="0"/>
          </w14:textOutline>
        </w:rPr>
        <w:t>概况</w:t>
      </w:r>
    </w:p>
    <w:p w14:paraId="338559FC">
      <w:pPr>
        <w:pStyle w:val="2"/>
        <w:spacing w:before="239" w:line="228" w:lineRule="auto"/>
        <w:ind w:left="1319"/>
      </w:pPr>
      <w:r>
        <w:rPr>
          <w:spacing w:val="2"/>
        </w:rPr>
        <w:t>一、部门主要职责</w:t>
      </w:r>
    </w:p>
    <w:p w14:paraId="7F057253">
      <w:pPr>
        <w:pStyle w:val="2"/>
        <w:spacing w:before="242" w:line="228" w:lineRule="auto"/>
        <w:ind w:left="1324"/>
      </w:pPr>
      <w:r>
        <w:rPr>
          <w:spacing w:val="6"/>
        </w:rPr>
        <w:t>二、机构设置及人员情况</w:t>
      </w:r>
    </w:p>
    <w:p w14:paraId="246C358A">
      <w:pPr>
        <w:pStyle w:val="2"/>
        <w:spacing w:before="240" w:line="228" w:lineRule="auto"/>
        <w:ind w:left="687"/>
      </w:pPr>
      <w:r>
        <w:rPr>
          <w:spacing w:val="6"/>
          <w14:textOutline w14:w="4064" w14:cap="flat" w14:cmpd="sng">
            <w14:solidFill>
              <w14:srgbClr w14:val="000000"/>
            </w14:solidFill>
            <w14:prstDash w14:val="solid"/>
            <w14:miter w14:val="0"/>
          </w14:textOutline>
        </w:rPr>
        <w:t>第二部分</w:t>
      </w:r>
      <w:r>
        <w:rPr>
          <w:spacing w:val="6"/>
        </w:rPr>
        <w:t xml:space="preserve">  </w:t>
      </w:r>
      <w:r>
        <w:rPr>
          <w:rFonts w:hint="eastAsia"/>
          <w:spacing w:val="6"/>
          <w:lang w:eastAsia="zh-CN"/>
          <w14:textOutline w14:w="4064" w14:cap="flat" w14:cmpd="sng">
            <w14:solidFill>
              <w14:srgbClr w14:val="000000"/>
            </w14:solidFill>
            <w14:prstDash w14:val="solid"/>
            <w14:miter w14:val="0"/>
          </w14:textOutline>
        </w:rPr>
        <w:t>中共景德镇市珠山区委政法委员会</w:t>
      </w:r>
      <w:r>
        <w:rPr>
          <w:spacing w:val="-53"/>
        </w:rPr>
        <w:t xml:space="preserve"> </w:t>
      </w:r>
      <w:r>
        <w:rPr>
          <w:rFonts w:hint="eastAsia"/>
          <w:spacing w:val="6"/>
          <w:lang w:eastAsia="zh-CN"/>
          <w14:textOutline w14:w="4064" w14:cap="flat" w14:cmpd="sng">
            <w14:solidFill>
              <w14:srgbClr w14:val="000000"/>
            </w14:solidFill>
            <w14:prstDash w14:val="solid"/>
            <w14:miter w14:val="0"/>
          </w14:textOutline>
        </w:rPr>
        <w:t>2026</w:t>
      </w:r>
      <w:r>
        <w:rPr>
          <w:spacing w:val="-49"/>
        </w:rPr>
        <w:t xml:space="preserve"> </w:t>
      </w:r>
      <w:r>
        <w:rPr>
          <w:spacing w:val="6"/>
          <w14:textOutline w14:w="4064" w14:cap="flat" w14:cmpd="sng">
            <w14:solidFill>
              <w14:srgbClr w14:val="000000"/>
            </w14:solidFill>
            <w14:prstDash w14:val="solid"/>
            <w14:miter w14:val="0"/>
          </w14:textOutline>
        </w:rPr>
        <w:t>年部门预算表</w:t>
      </w:r>
    </w:p>
    <w:p w14:paraId="05391A05">
      <w:pPr>
        <w:pStyle w:val="2"/>
        <w:spacing w:before="242" w:line="624" w:lineRule="exact"/>
        <w:ind w:left="1319"/>
      </w:pPr>
      <w:r>
        <w:rPr>
          <w:spacing w:val="5"/>
          <w:position w:val="22"/>
        </w:rPr>
        <w:t>一、《收支预算总表》</w:t>
      </w:r>
    </w:p>
    <w:p w14:paraId="5407E938">
      <w:pPr>
        <w:pStyle w:val="2"/>
        <w:spacing w:before="1" w:line="227" w:lineRule="auto"/>
        <w:ind w:left="1324"/>
      </w:pPr>
      <w:r>
        <w:rPr>
          <w:spacing w:val="4"/>
        </w:rPr>
        <w:t>二、《部门收入总表》</w:t>
      </w:r>
    </w:p>
    <w:p w14:paraId="6A93DB87">
      <w:pPr>
        <w:pStyle w:val="2"/>
        <w:spacing w:before="241" w:line="228" w:lineRule="auto"/>
        <w:ind w:left="1323"/>
      </w:pPr>
      <w:r>
        <w:rPr>
          <w:spacing w:val="4"/>
        </w:rPr>
        <w:t>三、《部门支出总表》</w:t>
      </w:r>
    </w:p>
    <w:p w14:paraId="29604272">
      <w:pPr>
        <w:pStyle w:val="2"/>
        <w:spacing w:before="242" w:line="229" w:lineRule="auto"/>
        <w:ind w:left="1352"/>
      </w:pPr>
      <w:r>
        <w:rPr>
          <w:spacing w:val="3"/>
        </w:rPr>
        <w:t>四、《财政拨款收支总表》</w:t>
      </w:r>
    </w:p>
    <w:p w14:paraId="5FB845DE">
      <w:pPr>
        <w:pStyle w:val="2"/>
        <w:spacing w:before="239" w:line="228" w:lineRule="auto"/>
        <w:ind w:left="1319"/>
      </w:pPr>
      <w:r>
        <w:rPr>
          <w:spacing w:val="6"/>
        </w:rPr>
        <w:t>五、《一般公共预算支出表》</w:t>
      </w:r>
    </w:p>
    <w:p w14:paraId="45982118">
      <w:pPr>
        <w:pStyle w:val="2"/>
        <w:spacing w:before="241" w:line="228" w:lineRule="auto"/>
        <w:ind w:left="1317"/>
      </w:pPr>
      <w:r>
        <w:rPr>
          <w:spacing w:val="6"/>
        </w:rPr>
        <w:t>六、《一般公共预算基本支出表》</w:t>
      </w:r>
    </w:p>
    <w:p w14:paraId="4434F961">
      <w:pPr>
        <w:pStyle w:val="2"/>
        <w:spacing w:before="242" w:line="229" w:lineRule="auto"/>
        <w:ind w:left="1321"/>
      </w:pPr>
      <w:r>
        <w:rPr>
          <w:spacing w:val="7"/>
        </w:rPr>
        <w:t>七、《财政拨款“三公”经费支出表》</w:t>
      </w:r>
    </w:p>
    <w:p w14:paraId="2BB5DC22">
      <w:pPr>
        <w:pStyle w:val="2"/>
        <w:spacing w:before="239" w:line="226" w:lineRule="auto"/>
        <w:ind w:left="1313"/>
      </w:pPr>
      <w:r>
        <w:rPr>
          <w:spacing w:val="6"/>
        </w:rPr>
        <w:t>八、《政府性基金预算支出表》</w:t>
      </w:r>
    </w:p>
    <w:p w14:paraId="7E5E380B">
      <w:pPr>
        <w:pStyle w:val="2"/>
        <w:spacing w:before="244" w:line="624" w:lineRule="exact"/>
        <w:ind w:left="1326"/>
      </w:pPr>
      <w:r>
        <w:rPr>
          <w:spacing w:val="7"/>
          <w:position w:val="22"/>
        </w:rPr>
        <w:t>九、《国有资本经营预算支出表》</w:t>
      </w:r>
    </w:p>
    <w:p w14:paraId="7A2775F2">
      <w:pPr>
        <w:pStyle w:val="2"/>
        <w:spacing w:before="2" w:line="227" w:lineRule="auto"/>
        <w:ind w:left="1323"/>
      </w:pPr>
      <w:r>
        <w:rPr>
          <w:spacing w:val="7"/>
        </w:rPr>
        <w:t>十、《部门整体支出绩效目标表》</w:t>
      </w:r>
    </w:p>
    <w:p w14:paraId="10C025D8">
      <w:pPr>
        <w:pStyle w:val="2"/>
        <w:spacing w:before="242" w:line="228" w:lineRule="auto"/>
        <w:ind w:left="1323"/>
      </w:pPr>
      <w:r>
        <w:rPr>
          <w:spacing w:val="6"/>
        </w:rPr>
        <w:t>十一、《项目支出绩效目标表》</w:t>
      </w:r>
    </w:p>
    <w:p w14:paraId="61C5C496">
      <w:pPr>
        <w:pStyle w:val="2"/>
        <w:spacing w:before="240" w:line="228" w:lineRule="auto"/>
        <w:ind w:left="687"/>
      </w:pPr>
      <w:r>
        <w:rPr>
          <w:spacing w:val="7"/>
          <w14:textOutline w14:w="4064" w14:cap="flat" w14:cmpd="sng">
            <w14:solidFill>
              <w14:srgbClr w14:val="000000"/>
            </w14:solidFill>
            <w14:prstDash w14:val="solid"/>
            <w14:miter w14:val="0"/>
          </w14:textOutline>
        </w:rPr>
        <w:t>第三部分</w:t>
      </w:r>
      <w:r>
        <w:rPr>
          <w:spacing w:val="7"/>
        </w:rPr>
        <w:t xml:space="preserve"> </w:t>
      </w:r>
      <w:r>
        <w:rPr>
          <w:rFonts w:hint="eastAsia"/>
          <w:spacing w:val="7"/>
          <w:lang w:eastAsia="zh-CN"/>
          <w14:textOutline w14:w="4064" w14:cap="flat" w14:cmpd="sng">
            <w14:solidFill>
              <w14:srgbClr w14:val="000000"/>
            </w14:solidFill>
            <w14:prstDash w14:val="solid"/>
            <w14:miter w14:val="0"/>
          </w14:textOutline>
        </w:rPr>
        <w:t>中共景德镇市珠山区委政法委员会</w:t>
      </w:r>
      <w:r>
        <w:rPr>
          <w:spacing w:val="7"/>
        </w:rPr>
        <w:t xml:space="preserve"> </w:t>
      </w:r>
      <w:r>
        <w:rPr>
          <w:rFonts w:hint="eastAsia"/>
          <w:spacing w:val="7"/>
          <w:lang w:eastAsia="zh-CN"/>
          <w14:textOutline w14:w="4064" w14:cap="flat" w14:cmpd="sng">
            <w14:solidFill>
              <w14:srgbClr w14:val="000000"/>
            </w14:solidFill>
            <w14:prstDash w14:val="solid"/>
            <w14:miter w14:val="0"/>
          </w14:textOutline>
        </w:rPr>
        <w:t>2026</w:t>
      </w:r>
      <w:r>
        <w:rPr>
          <w:spacing w:val="-36"/>
        </w:rPr>
        <w:t xml:space="preserve"> </w:t>
      </w:r>
      <w:r>
        <w:rPr>
          <w:spacing w:val="7"/>
          <w14:textOutline w14:w="4064" w14:cap="flat" w14:cmpd="sng">
            <w14:solidFill>
              <w14:srgbClr w14:val="000000"/>
            </w14:solidFill>
            <w14:prstDash w14:val="solid"/>
            <w14:miter w14:val="0"/>
          </w14:textOutline>
        </w:rPr>
        <w:t>年部门预算情况说明</w:t>
      </w:r>
    </w:p>
    <w:p w14:paraId="6A2E06E3">
      <w:pPr>
        <w:pStyle w:val="2"/>
        <w:spacing w:before="241" w:line="228" w:lineRule="auto"/>
        <w:ind w:left="1319"/>
      </w:pPr>
      <w:r>
        <w:rPr>
          <w:spacing w:val="2"/>
        </w:rPr>
        <w:t>一、</w:t>
      </w:r>
      <w:r>
        <w:rPr>
          <w:rFonts w:hint="eastAsia"/>
          <w:spacing w:val="2"/>
          <w:lang w:eastAsia="zh-CN"/>
        </w:rPr>
        <w:t>2026</w:t>
      </w:r>
      <w:r>
        <w:rPr>
          <w:spacing w:val="-33"/>
        </w:rPr>
        <w:t xml:space="preserve"> </w:t>
      </w:r>
      <w:r>
        <w:rPr>
          <w:spacing w:val="2"/>
        </w:rPr>
        <w:t>年部门预算收支情况说明</w:t>
      </w:r>
    </w:p>
    <w:p w14:paraId="7C953B11">
      <w:pPr>
        <w:pStyle w:val="2"/>
        <w:spacing w:before="241" w:line="228" w:lineRule="auto"/>
        <w:ind w:left="1324"/>
        <w:rPr>
          <w:spacing w:val="5"/>
        </w:rPr>
      </w:pPr>
      <w:r>
        <w:rPr>
          <w:spacing w:val="5"/>
        </w:rPr>
        <w:t>二、</w:t>
      </w:r>
      <w:r>
        <w:rPr>
          <w:rFonts w:hint="eastAsia"/>
          <w:spacing w:val="5"/>
          <w:lang w:eastAsia="zh-CN"/>
        </w:rPr>
        <w:t>2026</w:t>
      </w:r>
      <w:r>
        <w:rPr>
          <w:spacing w:val="-35"/>
        </w:rPr>
        <w:t xml:space="preserve"> </w:t>
      </w:r>
      <w:r>
        <w:rPr>
          <w:spacing w:val="5"/>
        </w:rPr>
        <w:t>年“三公”经费预算情况</w:t>
      </w:r>
    </w:p>
    <w:p w14:paraId="3F0067D3">
      <w:pPr>
        <w:pStyle w:val="2"/>
        <w:spacing w:before="241" w:line="228" w:lineRule="auto"/>
        <w:ind w:left="1324"/>
      </w:pPr>
      <w:r>
        <w:rPr>
          <w:spacing w:val="5"/>
        </w:rPr>
        <w:t>说明</w:t>
      </w:r>
    </w:p>
    <w:p w14:paraId="0ACCA99A">
      <w:pPr>
        <w:spacing w:line="228" w:lineRule="auto"/>
        <w:sectPr>
          <w:pgSz w:w="11905" w:h="16840"/>
          <w:pgMar w:top="1431" w:right="1785" w:bottom="0" w:left="1785" w:header="0" w:footer="0" w:gutter="0"/>
          <w:cols w:space="720" w:num="1"/>
        </w:sectPr>
      </w:pPr>
    </w:p>
    <w:p w14:paraId="44A77703">
      <w:pPr>
        <w:pStyle w:val="2"/>
        <w:spacing w:before="161" w:line="228" w:lineRule="auto"/>
        <w:ind w:left="687"/>
      </w:pPr>
      <w:r>
        <w:rPr>
          <w:spacing w:val="3"/>
          <w14:textOutline w14:w="4064" w14:cap="flat" w14:cmpd="sng">
            <w14:solidFill>
              <w14:srgbClr w14:val="000000"/>
            </w14:solidFill>
            <w14:prstDash w14:val="solid"/>
            <w14:miter w14:val="0"/>
          </w14:textOutline>
        </w:rPr>
        <w:t>第四部分</w:t>
      </w:r>
      <w:r>
        <w:rPr>
          <w:spacing w:val="20"/>
        </w:rPr>
        <w:t xml:space="preserve">  </w:t>
      </w:r>
      <w:r>
        <w:rPr>
          <w:spacing w:val="3"/>
          <w14:textOutline w14:w="4064" w14:cap="flat" w14:cmpd="sng">
            <w14:solidFill>
              <w14:srgbClr w14:val="000000"/>
            </w14:solidFill>
            <w14:prstDash w14:val="solid"/>
            <w14:miter w14:val="0"/>
          </w14:textOutline>
        </w:rPr>
        <w:t>名词解释</w:t>
      </w:r>
    </w:p>
    <w:p w14:paraId="18F15EC0">
      <w:pPr>
        <w:spacing w:line="265" w:lineRule="auto"/>
        <w:rPr>
          <w:rFonts w:ascii="Arial"/>
          <w:sz w:val="21"/>
        </w:rPr>
      </w:pPr>
    </w:p>
    <w:p w14:paraId="316B5F0D">
      <w:pPr>
        <w:spacing w:line="265" w:lineRule="auto"/>
        <w:rPr>
          <w:rFonts w:ascii="Arial"/>
          <w:sz w:val="21"/>
        </w:rPr>
      </w:pPr>
    </w:p>
    <w:p w14:paraId="2FD7A449">
      <w:pPr>
        <w:spacing w:line="266" w:lineRule="auto"/>
        <w:rPr>
          <w:rFonts w:ascii="Arial"/>
          <w:sz w:val="21"/>
        </w:rPr>
      </w:pPr>
    </w:p>
    <w:p w14:paraId="0EA8BF96">
      <w:pPr>
        <w:spacing w:line="266" w:lineRule="auto"/>
        <w:rPr>
          <w:rFonts w:ascii="Arial"/>
          <w:sz w:val="21"/>
        </w:rPr>
      </w:pPr>
    </w:p>
    <w:p w14:paraId="08235E7E">
      <w:pPr>
        <w:spacing w:line="266" w:lineRule="auto"/>
        <w:rPr>
          <w:rFonts w:ascii="Arial"/>
          <w:sz w:val="21"/>
        </w:rPr>
      </w:pPr>
    </w:p>
    <w:p w14:paraId="4D901AD7">
      <w:pPr>
        <w:pStyle w:val="2"/>
        <w:spacing w:before="101" w:line="228" w:lineRule="auto"/>
        <w:ind w:firstLine="648" w:firstLineChars="200"/>
      </w:pPr>
      <w:r>
        <w:rPr>
          <w:spacing w:val="7"/>
          <w14:textOutline w14:w="4064" w14:cap="flat" w14:cmpd="sng">
            <w14:solidFill>
              <w14:srgbClr w14:val="000000"/>
            </w14:solidFill>
            <w14:prstDash w14:val="solid"/>
            <w14:miter w14:val="0"/>
          </w14:textOutline>
        </w:rPr>
        <w:t>第一部分</w:t>
      </w:r>
      <w:r>
        <w:rPr>
          <w:spacing w:val="7"/>
        </w:rPr>
        <w:t xml:space="preserve">  </w:t>
      </w:r>
      <w:r>
        <w:rPr>
          <w:rFonts w:hint="eastAsia"/>
          <w:spacing w:val="7"/>
          <w:lang w:eastAsia="zh-CN"/>
          <w14:textOutline w14:w="4064" w14:cap="flat" w14:cmpd="sng">
            <w14:solidFill>
              <w14:srgbClr w14:val="000000"/>
            </w14:solidFill>
            <w14:prstDash w14:val="solid"/>
            <w14:miter w14:val="0"/>
          </w14:textOutline>
        </w:rPr>
        <w:t>中共景德镇市珠山区委政法委员会</w:t>
      </w:r>
      <w:r>
        <w:rPr>
          <w:spacing w:val="7"/>
          <w14:textOutline w14:w="4064" w14:cap="flat" w14:cmpd="sng">
            <w14:solidFill>
              <w14:srgbClr w14:val="000000"/>
            </w14:solidFill>
            <w14:prstDash w14:val="solid"/>
            <w14:miter w14:val="0"/>
          </w14:textOutline>
        </w:rPr>
        <w:t>概况</w:t>
      </w:r>
    </w:p>
    <w:p w14:paraId="67474264">
      <w:pPr>
        <w:spacing w:line="335" w:lineRule="auto"/>
        <w:rPr>
          <w:rFonts w:ascii="Arial"/>
          <w:sz w:val="21"/>
        </w:rPr>
      </w:pPr>
    </w:p>
    <w:p w14:paraId="351EB97B">
      <w:pPr>
        <w:spacing w:line="336" w:lineRule="auto"/>
        <w:rPr>
          <w:rFonts w:ascii="Arial"/>
          <w:sz w:val="21"/>
        </w:rPr>
      </w:pPr>
    </w:p>
    <w:p w14:paraId="7D8133CE">
      <w:pPr>
        <w:spacing w:before="101" w:line="231" w:lineRule="auto"/>
        <w:ind w:left="30"/>
        <w:outlineLvl w:val="0"/>
        <w:rPr>
          <w:rFonts w:ascii="楷体" w:hAnsi="楷体" w:eastAsia="楷体" w:cs="楷体"/>
          <w:sz w:val="31"/>
          <w:szCs w:val="31"/>
        </w:rPr>
      </w:pPr>
      <w:r>
        <w:rPr>
          <w:rFonts w:ascii="楷体" w:hAnsi="楷体" w:eastAsia="楷体" w:cs="楷体"/>
          <w:spacing w:val="7"/>
          <w:sz w:val="31"/>
          <w:szCs w:val="31"/>
          <w14:textOutline w14:w="4064" w14:cap="flat" w14:cmpd="sng">
            <w14:solidFill>
              <w14:srgbClr w14:val="000000"/>
            </w14:solidFill>
            <w14:prstDash w14:val="solid"/>
            <w14:miter w14:val="0"/>
          </w14:textOutline>
        </w:rPr>
        <w:t>一、部门主要职责</w:t>
      </w:r>
    </w:p>
    <w:p w14:paraId="2F36ADF3">
      <w:pPr>
        <w:pStyle w:val="2"/>
        <w:keepNext w:val="0"/>
        <w:keepLines w:val="0"/>
        <w:pageBreakBefore w:val="0"/>
        <w:widowControl/>
        <w:kinsoku w:val="0"/>
        <w:wordWrap/>
        <w:overflowPunct/>
        <w:topLinePunct w:val="0"/>
        <w:autoSpaceDE w:val="0"/>
        <w:autoSpaceDN w:val="0"/>
        <w:bidi w:val="0"/>
        <w:adjustRightInd w:val="0"/>
        <w:snapToGrid w:val="0"/>
        <w:spacing w:before="1" w:line="460" w:lineRule="exact"/>
        <w:ind w:left="48" w:firstLine="600" w:firstLineChars="200"/>
        <w:textAlignment w:val="baseline"/>
        <w:rPr>
          <w:rFonts w:hint="eastAsia" w:ascii="仿宋" w:hAnsi="仿宋" w:eastAsia="仿宋" w:cs="仿宋"/>
          <w:caps w:val="0"/>
          <w:snapToGrid w:val="0"/>
          <w:color w:val="333333"/>
          <w:spacing w:val="0"/>
          <w:kern w:val="2"/>
          <w:sz w:val="30"/>
          <w:szCs w:val="30"/>
          <w:shd w:val="clear" w:color="auto" w:fill="FFFFFF"/>
          <w:lang w:val="en-US" w:eastAsia="zh-CN" w:bidi="ar-SA"/>
        </w:rPr>
      </w:pPr>
      <w:r>
        <w:rPr>
          <w:rFonts w:hint="eastAsia" w:ascii="仿宋" w:hAnsi="仿宋" w:eastAsia="仿宋" w:cs="仿宋"/>
          <w:caps w:val="0"/>
          <w:snapToGrid w:val="0"/>
          <w:color w:val="333333"/>
          <w:spacing w:val="0"/>
          <w:kern w:val="2"/>
          <w:sz w:val="30"/>
          <w:szCs w:val="30"/>
          <w:shd w:val="clear" w:color="auto" w:fill="FFFFFF"/>
          <w:lang w:val="en-US" w:eastAsia="zh-CN" w:bidi="ar-SA"/>
        </w:rPr>
        <w:t xml:space="preserve">（一）贯彻执行中央和上级部门有关政法工作的方针、政策和工作部署，统一政法各部门的思想和行动。 </w:t>
      </w:r>
    </w:p>
    <w:p w14:paraId="1812824E">
      <w:pPr>
        <w:pStyle w:val="2"/>
        <w:keepNext w:val="0"/>
        <w:keepLines w:val="0"/>
        <w:pageBreakBefore w:val="0"/>
        <w:widowControl/>
        <w:kinsoku w:val="0"/>
        <w:wordWrap/>
        <w:overflowPunct/>
        <w:topLinePunct w:val="0"/>
        <w:autoSpaceDE w:val="0"/>
        <w:autoSpaceDN w:val="0"/>
        <w:bidi w:val="0"/>
        <w:adjustRightInd w:val="0"/>
        <w:snapToGrid w:val="0"/>
        <w:spacing w:before="1" w:line="460" w:lineRule="exact"/>
        <w:ind w:left="48" w:firstLine="600" w:firstLineChars="200"/>
        <w:textAlignment w:val="baseline"/>
        <w:rPr>
          <w:rFonts w:hint="eastAsia" w:ascii="仿宋" w:hAnsi="仿宋" w:eastAsia="仿宋" w:cs="仿宋"/>
          <w:caps w:val="0"/>
          <w:snapToGrid w:val="0"/>
          <w:color w:val="333333"/>
          <w:spacing w:val="0"/>
          <w:kern w:val="2"/>
          <w:sz w:val="30"/>
          <w:szCs w:val="30"/>
          <w:shd w:val="clear" w:color="auto" w:fill="FFFFFF"/>
          <w:lang w:val="en-US" w:eastAsia="zh-CN" w:bidi="ar-SA"/>
        </w:rPr>
      </w:pPr>
      <w:r>
        <w:rPr>
          <w:rFonts w:hint="eastAsia" w:ascii="仿宋" w:hAnsi="仿宋" w:eastAsia="仿宋" w:cs="仿宋"/>
          <w:caps w:val="0"/>
          <w:snapToGrid w:val="0"/>
          <w:color w:val="333333"/>
          <w:spacing w:val="0"/>
          <w:kern w:val="2"/>
          <w:sz w:val="30"/>
          <w:szCs w:val="30"/>
          <w:shd w:val="clear" w:color="auto" w:fill="FFFFFF"/>
          <w:lang w:val="en-US" w:eastAsia="zh-CN" w:bidi="ar-SA"/>
        </w:rPr>
        <w:t xml:space="preserve">（二）组织推动依法治区方略的实施，调整研究实施中存在的问题，向区委提出建议。 </w:t>
      </w:r>
    </w:p>
    <w:p w14:paraId="36F795AF">
      <w:pPr>
        <w:pStyle w:val="2"/>
        <w:keepNext w:val="0"/>
        <w:keepLines w:val="0"/>
        <w:pageBreakBefore w:val="0"/>
        <w:widowControl/>
        <w:kinsoku w:val="0"/>
        <w:wordWrap/>
        <w:overflowPunct/>
        <w:topLinePunct w:val="0"/>
        <w:autoSpaceDE w:val="0"/>
        <w:autoSpaceDN w:val="0"/>
        <w:bidi w:val="0"/>
        <w:adjustRightInd w:val="0"/>
        <w:snapToGrid w:val="0"/>
        <w:spacing w:before="1" w:line="460" w:lineRule="exact"/>
        <w:ind w:left="48" w:firstLine="600" w:firstLineChars="200"/>
        <w:textAlignment w:val="baseline"/>
        <w:rPr>
          <w:rFonts w:hint="eastAsia" w:ascii="仿宋" w:hAnsi="仿宋" w:eastAsia="仿宋" w:cs="仿宋"/>
          <w:caps w:val="0"/>
          <w:snapToGrid w:val="0"/>
          <w:color w:val="333333"/>
          <w:spacing w:val="0"/>
          <w:kern w:val="2"/>
          <w:sz w:val="30"/>
          <w:szCs w:val="30"/>
          <w:shd w:val="clear" w:color="auto" w:fill="FFFFFF"/>
          <w:lang w:val="en-US" w:eastAsia="zh-CN" w:bidi="ar-SA"/>
        </w:rPr>
      </w:pPr>
      <w:r>
        <w:rPr>
          <w:rFonts w:hint="eastAsia" w:ascii="仿宋" w:hAnsi="仿宋" w:eastAsia="仿宋" w:cs="仿宋"/>
          <w:caps w:val="0"/>
          <w:snapToGrid w:val="0"/>
          <w:color w:val="333333"/>
          <w:spacing w:val="0"/>
          <w:kern w:val="2"/>
          <w:sz w:val="30"/>
          <w:szCs w:val="30"/>
          <w:shd w:val="clear" w:color="auto" w:fill="FFFFFF"/>
          <w:lang w:val="en-US" w:eastAsia="zh-CN" w:bidi="ar-SA"/>
        </w:rPr>
        <w:t xml:space="preserve">（三）根据中央精神和区委、 区政府总体要求对一定时期内的政法工作作出全局性部署，并督促贯彻落实。 </w:t>
      </w:r>
    </w:p>
    <w:p w14:paraId="0222D7A7">
      <w:pPr>
        <w:pStyle w:val="2"/>
        <w:keepNext w:val="0"/>
        <w:keepLines w:val="0"/>
        <w:pageBreakBefore w:val="0"/>
        <w:widowControl/>
        <w:kinsoku w:val="0"/>
        <w:wordWrap/>
        <w:overflowPunct/>
        <w:topLinePunct w:val="0"/>
        <w:autoSpaceDE w:val="0"/>
        <w:autoSpaceDN w:val="0"/>
        <w:bidi w:val="0"/>
        <w:adjustRightInd w:val="0"/>
        <w:snapToGrid w:val="0"/>
        <w:spacing w:before="1" w:line="460" w:lineRule="exact"/>
        <w:ind w:left="48" w:firstLine="600" w:firstLineChars="200"/>
        <w:textAlignment w:val="baseline"/>
        <w:rPr>
          <w:rFonts w:hint="eastAsia" w:ascii="仿宋" w:hAnsi="仿宋" w:eastAsia="仿宋" w:cs="仿宋"/>
          <w:caps w:val="0"/>
          <w:snapToGrid w:val="0"/>
          <w:color w:val="333333"/>
          <w:spacing w:val="0"/>
          <w:kern w:val="2"/>
          <w:sz w:val="30"/>
          <w:szCs w:val="30"/>
          <w:shd w:val="clear" w:color="auto" w:fill="FFFFFF"/>
          <w:lang w:val="en-US" w:eastAsia="zh-CN" w:bidi="ar-SA"/>
        </w:rPr>
      </w:pPr>
      <w:r>
        <w:rPr>
          <w:rFonts w:hint="eastAsia" w:ascii="仿宋" w:hAnsi="仿宋" w:eastAsia="仿宋" w:cs="仿宋"/>
          <w:caps w:val="0"/>
          <w:snapToGrid w:val="0"/>
          <w:color w:val="333333"/>
          <w:spacing w:val="0"/>
          <w:kern w:val="2"/>
          <w:sz w:val="30"/>
          <w:szCs w:val="30"/>
          <w:shd w:val="clear" w:color="auto" w:fill="FFFFFF"/>
          <w:lang w:val="en-US" w:eastAsia="zh-CN" w:bidi="ar-SA"/>
        </w:rPr>
        <w:t xml:space="preserve">（四）组织、协调、指导维护社会稳定的工作。 </w:t>
      </w:r>
    </w:p>
    <w:p w14:paraId="0B5A2EE9">
      <w:pPr>
        <w:pStyle w:val="2"/>
        <w:keepNext w:val="0"/>
        <w:keepLines w:val="0"/>
        <w:pageBreakBefore w:val="0"/>
        <w:widowControl/>
        <w:kinsoku w:val="0"/>
        <w:wordWrap/>
        <w:overflowPunct/>
        <w:topLinePunct w:val="0"/>
        <w:autoSpaceDE w:val="0"/>
        <w:autoSpaceDN w:val="0"/>
        <w:bidi w:val="0"/>
        <w:adjustRightInd w:val="0"/>
        <w:snapToGrid w:val="0"/>
        <w:spacing w:before="1" w:line="460" w:lineRule="exact"/>
        <w:ind w:left="48" w:firstLine="600" w:firstLineChars="200"/>
        <w:textAlignment w:val="baseline"/>
        <w:rPr>
          <w:rFonts w:hint="eastAsia" w:ascii="仿宋" w:hAnsi="仿宋" w:eastAsia="仿宋" w:cs="仿宋"/>
          <w:caps w:val="0"/>
          <w:snapToGrid w:val="0"/>
          <w:color w:val="333333"/>
          <w:spacing w:val="0"/>
          <w:kern w:val="2"/>
          <w:sz w:val="30"/>
          <w:szCs w:val="30"/>
          <w:shd w:val="clear" w:color="auto" w:fill="FFFFFF"/>
          <w:lang w:val="en-US" w:eastAsia="zh-CN" w:bidi="ar-SA"/>
        </w:rPr>
      </w:pPr>
      <w:r>
        <w:rPr>
          <w:rFonts w:hint="eastAsia" w:ascii="仿宋" w:hAnsi="仿宋" w:eastAsia="仿宋" w:cs="仿宋"/>
          <w:caps w:val="0"/>
          <w:snapToGrid w:val="0"/>
          <w:color w:val="333333"/>
          <w:spacing w:val="0"/>
          <w:kern w:val="2"/>
          <w:sz w:val="30"/>
          <w:szCs w:val="30"/>
          <w:shd w:val="clear" w:color="auto" w:fill="FFFFFF"/>
          <w:lang w:val="en-US" w:eastAsia="zh-CN" w:bidi="ar-SA"/>
        </w:rPr>
        <w:t xml:space="preserve">（五）组织、协调、指导防范和处理法轮功及其他邪教和对社会有危害气功组织问题的工作。 </w:t>
      </w:r>
    </w:p>
    <w:p w14:paraId="677858CD">
      <w:pPr>
        <w:pStyle w:val="2"/>
        <w:keepNext w:val="0"/>
        <w:keepLines w:val="0"/>
        <w:pageBreakBefore w:val="0"/>
        <w:widowControl/>
        <w:kinsoku w:val="0"/>
        <w:wordWrap/>
        <w:overflowPunct/>
        <w:topLinePunct w:val="0"/>
        <w:autoSpaceDE w:val="0"/>
        <w:autoSpaceDN w:val="0"/>
        <w:bidi w:val="0"/>
        <w:adjustRightInd w:val="0"/>
        <w:snapToGrid w:val="0"/>
        <w:spacing w:before="1" w:line="460" w:lineRule="exact"/>
        <w:ind w:left="48" w:firstLine="600" w:firstLineChars="200"/>
        <w:textAlignment w:val="baseline"/>
        <w:rPr>
          <w:rFonts w:hint="eastAsia" w:ascii="仿宋" w:hAnsi="仿宋" w:eastAsia="仿宋" w:cs="仿宋"/>
          <w:caps w:val="0"/>
          <w:snapToGrid w:val="0"/>
          <w:color w:val="333333"/>
          <w:spacing w:val="0"/>
          <w:kern w:val="2"/>
          <w:sz w:val="30"/>
          <w:szCs w:val="30"/>
          <w:shd w:val="clear" w:color="auto" w:fill="FFFFFF"/>
          <w:lang w:val="en-US" w:eastAsia="zh-CN" w:bidi="ar-SA"/>
        </w:rPr>
      </w:pPr>
      <w:r>
        <w:rPr>
          <w:rFonts w:hint="eastAsia" w:ascii="仿宋" w:hAnsi="仿宋" w:eastAsia="仿宋" w:cs="仿宋"/>
          <w:caps w:val="0"/>
          <w:snapToGrid w:val="0"/>
          <w:color w:val="333333"/>
          <w:spacing w:val="0"/>
          <w:kern w:val="2"/>
          <w:sz w:val="30"/>
          <w:szCs w:val="30"/>
          <w:shd w:val="clear" w:color="auto" w:fill="FFFFFF"/>
          <w:lang w:val="en-US" w:eastAsia="zh-CN" w:bidi="ar-SA"/>
        </w:rPr>
        <w:t xml:space="preserve">（六）组织、协调社会治安综合治理工作，推动各项措施的落实。 </w:t>
      </w:r>
    </w:p>
    <w:p w14:paraId="1842A4D6">
      <w:pPr>
        <w:pStyle w:val="2"/>
        <w:keepNext w:val="0"/>
        <w:keepLines w:val="0"/>
        <w:pageBreakBefore w:val="0"/>
        <w:widowControl/>
        <w:kinsoku w:val="0"/>
        <w:wordWrap/>
        <w:overflowPunct/>
        <w:topLinePunct w:val="0"/>
        <w:autoSpaceDE w:val="0"/>
        <w:autoSpaceDN w:val="0"/>
        <w:bidi w:val="0"/>
        <w:adjustRightInd w:val="0"/>
        <w:snapToGrid w:val="0"/>
        <w:spacing w:before="1" w:line="460" w:lineRule="exact"/>
        <w:ind w:left="48" w:firstLine="600" w:firstLineChars="200"/>
        <w:textAlignment w:val="baseline"/>
        <w:rPr>
          <w:rFonts w:hint="eastAsia" w:ascii="仿宋" w:hAnsi="仿宋" w:eastAsia="仿宋" w:cs="仿宋"/>
          <w:caps w:val="0"/>
          <w:snapToGrid w:val="0"/>
          <w:color w:val="333333"/>
          <w:spacing w:val="0"/>
          <w:kern w:val="2"/>
          <w:sz w:val="30"/>
          <w:szCs w:val="30"/>
          <w:shd w:val="clear" w:color="auto" w:fill="FFFFFF"/>
          <w:lang w:val="en-US" w:eastAsia="zh-CN" w:bidi="ar-SA"/>
        </w:rPr>
      </w:pPr>
      <w:r>
        <w:rPr>
          <w:rFonts w:hint="eastAsia" w:ascii="仿宋" w:hAnsi="仿宋" w:eastAsia="仿宋" w:cs="仿宋"/>
          <w:caps w:val="0"/>
          <w:snapToGrid w:val="0"/>
          <w:color w:val="333333"/>
          <w:spacing w:val="0"/>
          <w:kern w:val="2"/>
          <w:sz w:val="30"/>
          <w:szCs w:val="30"/>
          <w:shd w:val="clear" w:color="auto" w:fill="FFFFFF"/>
          <w:lang w:val="en-US" w:eastAsia="zh-CN" w:bidi="ar-SA"/>
        </w:rPr>
        <w:t xml:space="preserve">（七）检查政法部门执行法律法规和党的方针政策的情况。结合我区实际，研究制定严肃执法、落实党的方针政策的具体措施。 </w:t>
      </w:r>
    </w:p>
    <w:p w14:paraId="6CD1D1D1">
      <w:pPr>
        <w:pStyle w:val="2"/>
        <w:keepNext w:val="0"/>
        <w:keepLines w:val="0"/>
        <w:pageBreakBefore w:val="0"/>
        <w:widowControl/>
        <w:kinsoku w:val="0"/>
        <w:wordWrap/>
        <w:overflowPunct/>
        <w:topLinePunct w:val="0"/>
        <w:autoSpaceDE w:val="0"/>
        <w:autoSpaceDN w:val="0"/>
        <w:bidi w:val="0"/>
        <w:adjustRightInd w:val="0"/>
        <w:snapToGrid w:val="0"/>
        <w:spacing w:before="1" w:line="460" w:lineRule="exact"/>
        <w:ind w:left="48" w:firstLine="600" w:firstLineChars="200"/>
        <w:textAlignment w:val="baseline"/>
        <w:rPr>
          <w:rFonts w:hint="eastAsia" w:ascii="仿宋" w:hAnsi="仿宋" w:eastAsia="仿宋" w:cs="仿宋"/>
          <w:caps w:val="0"/>
          <w:snapToGrid w:val="0"/>
          <w:color w:val="333333"/>
          <w:spacing w:val="0"/>
          <w:kern w:val="2"/>
          <w:sz w:val="30"/>
          <w:szCs w:val="30"/>
          <w:shd w:val="clear" w:color="auto" w:fill="FFFFFF"/>
          <w:lang w:val="en-US" w:eastAsia="zh-CN" w:bidi="ar-SA"/>
        </w:rPr>
      </w:pPr>
      <w:r>
        <w:rPr>
          <w:rFonts w:hint="eastAsia" w:ascii="仿宋" w:hAnsi="仿宋" w:eastAsia="仿宋" w:cs="仿宋"/>
          <w:caps w:val="0"/>
          <w:snapToGrid w:val="0"/>
          <w:color w:val="333333"/>
          <w:spacing w:val="0"/>
          <w:kern w:val="2"/>
          <w:sz w:val="30"/>
          <w:szCs w:val="30"/>
          <w:shd w:val="clear" w:color="auto" w:fill="FFFFFF"/>
          <w:lang w:val="en-US" w:eastAsia="zh-CN" w:bidi="ar-SA"/>
        </w:rPr>
        <w:t xml:space="preserve">（八）大力支持和严格监督政法各部门依法行使职权，指导和协调政法各部门各负其责，密切配合、相互制约，督促、推动大案要案的查处工作，研究、协调有争议的重大、疑难案件。 </w:t>
      </w:r>
    </w:p>
    <w:p w14:paraId="6D79987E">
      <w:pPr>
        <w:pStyle w:val="2"/>
        <w:keepNext w:val="0"/>
        <w:keepLines w:val="0"/>
        <w:pageBreakBefore w:val="0"/>
        <w:widowControl/>
        <w:kinsoku w:val="0"/>
        <w:wordWrap/>
        <w:overflowPunct/>
        <w:topLinePunct w:val="0"/>
        <w:autoSpaceDE w:val="0"/>
        <w:autoSpaceDN w:val="0"/>
        <w:bidi w:val="0"/>
        <w:adjustRightInd w:val="0"/>
        <w:snapToGrid w:val="0"/>
        <w:spacing w:before="1" w:line="460" w:lineRule="exact"/>
        <w:ind w:left="48" w:firstLine="600" w:firstLineChars="200"/>
        <w:textAlignment w:val="baseline"/>
        <w:rPr>
          <w:rFonts w:hint="eastAsia" w:ascii="仿宋" w:hAnsi="仿宋" w:eastAsia="仿宋" w:cs="仿宋"/>
          <w:caps w:val="0"/>
          <w:snapToGrid w:val="0"/>
          <w:color w:val="333333"/>
          <w:spacing w:val="0"/>
          <w:kern w:val="2"/>
          <w:sz w:val="30"/>
          <w:szCs w:val="30"/>
          <w:shd w:val="clear" w:color="auto" w:fill="FFFFFF"/>
          <w:lang w:val="en-US" w:eastAsia="zh-CN" w:bidi="ar-SA"/>
        </w:rPr>
      </w:pPr>
      <w:r>
        <w:rPr>
          <w:rFonts w:hint="eastAsia" w:ascii="仿宋" w:hAnsi="仿宋" w:eastAsia="仿宋" w:cs="仿宋"/>
          <w:caps w:val="0"/>
          <w:snapToGrid w:val="0"/>
          <w:color w:val="333333"/>
          <w:spacing w:val="0"/>
          <w:kern w:val="2"/>
          <w:sz w:val="30"/>
          <w:szCs w:val="30"/>
          <w:shd w:val="clear" w:color="auto" w:fill="FFFFFF"/>
          <w:lang w:val="en-US" w:eastAsia="zh-CN" w:bidi="ar-SA"/>
        </w:rPr>
        <w:t xml:space="preserve">（九）针对新时期政法工作出现的新情况、新问题，组织推动政法战线的调查研究工作，提出解决问题的对策。 </w:t>
      </w:r>
    </w:p>
    <w:p w14:paraId="534D0273">
      <w:pPr>
        <w:pStyle w:val="2"/>
        <w:keepNext w:val="0"/>
        <w:keepLines w:val="0"/>
        <w:pageBreakBefore w:val="0"/>
        <w:widowControl/>
        <w:kinsoku w:val="0"/>
        <w:wordWrap/>
        <w:overflowPunct/>
        <w:topLinePunct w:val="0"/>
        <w:autoSpaceDE w:val="0"/>
        <w:autoSpaceDN w:val="0"/>
        <w:bidi w:val="0"/>
        <w:adjustRightInd w:val="0"/>
        <w:snapToGrid w:val="0"/>
        <w:spacing w:before="1" w:line="460" w:lineRule="exact"/>
        <w:ind w:left="48" w:firstLine="600" w:firstLineChars="200"/>
        <w:textAlignment w:val="baseline"/>
        <w:rPr>
          <w:rFonts w:hint="eastAsia" w:ascii="仿宋" w:hAnsi="仿宋" w:eastAsia="仿宋" w:cs="仿宋"/>
          <w:caps w:val="0"/>
          <w:snapToGrid w:val="0"/>
          <w:color w:val="333333"/>
          <w:spacing w:val="0"/>
          <w:kern w:val="2"/>
          <w:sz w:val="30"/>
          <w:szCs w:val="30"/>
          <w:shd w:val="clear" w:color="auto" w:fill="FFFFFF"/>
          <w:lang w:val="en-US" w:eastAsia="zh-CN" w:bidi="ar-SA"/>
        </w:rPr>
      </w:pPr>
      <w:r>
        <w:rPr>
          <w:rFonts w:hint="eastAsia" w:ascii="仿宋" w:hAnsi="仿宋" w:eastAsia="仿宋" w:cs="仿宋"/>
          <w:caps w:val="0"/>
          <w:snapToGrid w:val="0"/>
          <w:color w:val="333333"/>
          <w:spacing w:val="0"/>
          <w:kern w:val="2"/>
          <w:sz w:val="30"/>
          <w:szCs w:val="30"/>
          <w:shd w:val="clear" w:color="auto" w:fill="FFFFFF"/>
          <w:lang w:val="en-US" w:eastAsia="zh-CN" w:bidi="ar-SA"/>
        </w:rPr>
        <w:t xml:space="preserve">（十）协调、推动政法工作改革，通过改革进一步加强政法工作。 </w:t>
      </w:r>
    </w:p>
    <w:p w14:paraId="0A783E0C">
      <w:pPr>
        <w:pStyle w:val="2"/>
        <w:keepNext w:val="0"/>
        <w:keepLines w:val="0"/>
        <w:pageBreakBefore w:val="0"/>
        <w:widowControl/>
        <w:kinsoku w:val="0"/>
        <w:wordWrap/>
        <w:overflowPunct/>
        <w:topLinePunct w:val="0"/>
        <w:autoSpaceDE w:val="0"/>
        <w:autoSpaceDN w:val="0"/>
        <w:bidi w:val="0"/>
        <w:adjustRightInd w:val="0"/>
        <w:snapToGrid w:val="0"/>
        <w:spacing w:before="1" w:line="460" w:lineRule="exact"/>
        <w:ind w:left="48" w:firstLine="600" w:firstLineChars="200"/>
        <w:textAlignment w:val="baseline"/>
        <w:rPr>
          <w:rFonts w:hint="eastAsia" w:ascii="仿宋" w:hAnsi="仿宋" w:eastAsia="仿宋" w:cs="仿宋"/>
          <w:caps w:val="0"/>
          <w:snapToGrid w:val="0"/>
          <w:color w:val="333333"/>
          <w:spacing w:val="0"/>
          <w:kern w:val="2"/>
          <w:sz w:val="30"/>
          <w:szCs w:val="30"/>
          <w:shd w:val="clear" w:color="auto" w:fill="FFFFFF"/>
          <w:lang w:val="en-US" w:eastAsia="zh-CN" w:bidi="ar-SA"/>
        </w:rPr>
      </w:pPr>
      <w:r>
        <w:rPr>
          <w:rFonts w:hint="eastAsia" w:ascii="仿宋" w:hAnsi="仿宋" w:eastAsia="仿宋" w:cs="仿宋"/>
          <w:caps w:val="0"/>
          <w:snapToGrid w:val="0"/>
          <w:color w:val="333333"/>
          <w:spacing w:val="0"/>
          <w:kern w:val="2"/>
          <w:sz w:val="30"/>
          <w:szCs w:val="30"/>
          <w:shd w:val="clear" w:color="auto" w:fill="FFFFFF"/>
          <w:lang w:val="en-US" w:eastAsia="zh-CN" w:bidi="ar-SA"/>
        </w:rPr>
        <w:t xml:space="preserve">（十一）加强政法干部队伍建设和政法各部门领导班子建设，协助党委及其组织部门考察、管理政法部门的领导干部。 </w:t>
      </w:r>
    </w:p>
    <w:p w14:paraId="6C87F1C4">
      <w:pPr>
        <w:pStyle w:val="2"/>
        <w:keepNext w:val="0"/>
        <w:keepLines w:val="0"/>
        <w:pageBreakBefore w:val="0"/>
        <w:widowControl/>
        <w:kinsoku w:val="0"/>
        <w:wordWrap/>
        <w:overflowPunct/>
        <w:topLinePunct w:val="0"/>
        <w:autoSpaceDE w:val="0"/>
        <w:autoSpaceDN w:val="0"/>
        <w:bidi w:val="0"/>
        <w:adjustRightInd w:val="0"/>
        <w:snapToGrid w:val="0"/>
        <w:spacing w:before="1" w:line="460" w:lineRule="exact"/>
        <w:ind w:left="48" w:firstLine="600" w:firstLineChars="200"/>
        <w:textAlignment w:val="baseline"/>
        <w:rPr>
          <w:rFonts w:hint="eastAsia" w:ascii="仿宋" w:hAnsi="仿宋" w:eastAsia="仿宋" w:cs="仿宋"/>
          <w:caps w:val="0"/>
          <w:snapToGrid w:val="0"/>
          <w:color w:val="333333"/>
          <w:spacing w:val="0"/>
          <w:kern w:val="2"/>
          <w:sz w:val="30"/>
          <w:szCs w:val="30"/>
          <w:shd w:val="clear" w:color="auto" w:fill="FFFFFF"/>
          <w:lang w:val="en-US" w:eastAsia="zh-CN" w:bidi="ar-SA"/>
        </w:rPr>
      </w:pPr>
      <w:r>
        <w:rPr>
          <w:rFonts w:hint="eastAsia" w:ascii="仿宋" w:hAnsi="仿宋" w:eastAsia="仿宋" w:cs="仿宋"/>
          <w:caps w:val="0"/>
          <w:snapToGrid w:val="0"/>
          <w:color w:val="333333"/>
          <w:spacing w:val="0"/>
          <w:kern w:val="2"/>
          <w:sz w:val="30"/>
          <w:szCs w:val="30"/>
          <w:shd w:val="clear" w:color="auto" w:fill="FFFFFF"/>
          <w:lang w:val="en-US" w:eastAsia="zh-CN" w:bidi="ar-SA"/>
        </w:rPr>
        <w:t>（十二）完成区委交办的其他任务。</w:t>
      </w:r>
    </w:p>
    <w:p w14:paraId="55CD264B">
      <w:pPr>
        <w:spacing w:before="277" w:line="227" w:lineRule="auto"/>
        <w:ind w:left="30"/>
        <w:outlineLvl w:val="0"/>
        <w:rPr>
          <w:rFonts w:ascii="楷体" w:hAnsi="楷体" w:eastAsia="楷体" w:cs="楷体"/>
          <w:sz w:val="32"/>
          <w:szCs w:val="32"/>
        </w:rPr>
      </w:pPr>
      <w:r>
        <w:rPr>
          <w:rFonts w:ascii="楷体" w:hAnsi="楷体" w:eastAsia="楷体" w:cs="楷体"/>
          <w:spacing w:val="-2"/>
          <w:sz w:val="32"/>
          <w:szCs w:val="32"/>
          <w14:textOutline w14:w="4064" w14:cap="flat" w14:cmpd="sng">
            <w14:solidFill>
              <w14:srgbClr w14:val="000000"/>
            </w14:solidFill>
            <w14:prstDash w14:val="solid"/>
            <w14:miter w14:val="0"/>
          </w14:textOutline>
        </w:rPr>
        <w:t>二、机构设置及人员情况</w:t>
      </w:r>
    </w:p>
    <w:p w14:paraId="4A29CDA3">
      <w:pPr>
        <w:pStyle w:val="2"/>
        <w:keepNext w:val="0"/>
        <w:keepLines w:val="0"/>
        <w:pageBreakBefore w:val="0"/>
        <w:widowControl/>
        <w:kinsoku w:val="0"/>
        <w:wordWrap/>
        <w:overflowPunct/>
        <w:topLinePunct w:val="0"/>
        <w:autoSpaceDE w:val="0"/>
        <w:autoSpaceDN w:val="0"/>
        <w:bidi w:val="0"/>
        <w:adjustRightInd w:val="0"/>
        <w:snapToGrid w:val="0"/>
        <w:spacing w:before="1" w:line="460" w:lineRule="exact"/>
        <w:ind w:left="48" w:firstLine="600" w:firstLineChars="200"/>
        <w:textAlignment w:val="baseline"/>
        <w:rPr>
          <w:rFonts w:hint="eastAsia" w:cs="仿宋"/>
          <w:caps w:val="0"/>
          <w:snapToGrid w:val="0"/>
          <w:color w:val="333333"/>
          <w:spacing w:val="0"/>
          <w:kern w:val="2"/>
          <w:sz w:val="30"/>
          <w:szCs w:val="30"/>
          <w:shd w:val="clear" w:color="auto" w:fill="FFFFFF"/>
          <w:lang w:val="en-US" w:eastAsia="zh-CN" w:bidi="ar-SA"/>
        </w:rPr>
      </w:pPr>
      <w:r>
        <w:rPr>
          <w:rFonts w:hint="eastAsia" w:cs="仿宋"/>
          <w:caps w:val="0"/>
          <w:snapToGrid w:val="0"/>
          <w:color w:val="333333"/>
          <w:spacing w:val="0"/>
          <w:kern w:val="2"/>
          <w:sz w:val="30"/>
          <w:szCs w:val="30"/>
          <w:shd w:val="clear" w:color="auto" w:fill="FFFFFF"/>
          <w:lang w:val="en-US" w:eastAsia="zh-CN" w:bidi="ar-SA"/>
        </w:rPr>
        <w:t>2026年中共景德镇市珠山区委政法委员会共有预算单位1个，即部门本级。编制数为15人，其中行政编制7人， 全额补助事业编制8人。</w:t>
      </w:r>
    </w:p>
    <w:p w14:paraId="32080EA0">
      <w:pPr>
        <w:pStyle w:val="2"/>
        <w:keepNext w:val="0"/>
        <w:keepLines w:val="0"/>
        <w:pageBreakBefore w:val="0"/>
        <w:widowControl/>
        <w:kinsoku w:val="0"/>
        <w:wordWrap/>
        <w:overflowPunct/>
        <w:topLinePunct w:val="0"/>
        <w:autoSpaceDE w:val="0"/>
        <w:autoSpaceDN w:val="0"/>
        <w:bidi w:val="0"/>
        <w:adjustRightInd w:val="0"/>
        <w:snapToGrid w:val="0"/>
        <w:spacing w:before="1" w:line="460" w:lineRule="exact"/>
        <w:ind w:left="48" w:firstLine="600" w:firstLineChars="200"/>
        <w:textAlignment w:val="baseline"/>
        <w:rPr>
          <w:rFonts w:hint="eastAsia" w:ascii="仿宋" w:hAnsi="仿宋" w:eastAsia="仿宋" w:cs="仿宋"/>
          <w:caps w:val="0"/>
          <w:snapToGrid w:val="0"/>
          <w:color w:val="333333"/>
          <w:spacing w:val="0"/>
          <w:kern w:val="2"/>
          <w:sz w:val="30"/>
          <w:szCs w:val="30"/>
          <w:shd w:val="clear" w:color="auto" w:fill="FFFFFF"/>
          <w:lang w:val="en-US" w:eastAsia="zh-CN" w:bidi="ar-SA"/>
        </w:rPr>
      </w:pPr>
      <w:r>
        <w:rPr>
          <w:rFonts w:hint="eastAsia" w:cs="仿宋"/>
          <w:caps w:val="0"/>
          <w:snapToGrid w:val="0"/>
          <w:color w:val="333333"/>
          <w:spacing w:val="0"/>
          <w:kern w:val="2"/>
          <w:sz w:val="30"/>
          <w:szCs w:val="30"/>
          <w:shd w:val="clear" w:color="auto" w:fill="FFFFFF"/>
          <w:lang w:val="en-US" w:eastAsia="zh-CN" w:bidi="ar-SA"/>
        </w:rPr>
        <w:t>实有人数小计28人, 其中： 在职人数小计 14人,行政在职人数6 人,全部补助事业在职人数8人。长期聘用人员2人，离休人数小计0人,退休人数小计 16人。</w:t>
      </w:r>
    </w:p>
    <w:p w14:paraId="22207490">
      <w:pPr>
        <w:pStyle w:val="2"/>
        <w:spacing w:before="237" w:line="372" w:lineRule="auto"/>
        <w:ind w:left="34" w:right="12" w:firstLine="633"/>
        <w:jc w:val="both"/>
        <w:rPr>
          <w:sz w:val="32"/>
          <w:szCs w:val="32"/>
        </w:rPr>
      </w:pPr>
      <w:r>
        <w:rPr>
          <w:spacing w:val="-4"/>
          <w:sz w:val="32"/>
          <w:szCs w:val="32"/>
          <w14:textOutline w14:w="4064" w14:cap="flat" w14:cmpd="sng">
            <w14:solidFill>
              <w14:srgbClr w14:val="000000"/>
            </w14:solidFill>
            <w14:prstDash w14:val="solid"/>
            <w14:miter w14:val="0"/>
          </w14:textOutline>
        </w:rPr>
        <w:t>第二部分</w:t>
      </w:r>
      <w:r>
        <w:rPr>
          <w:spacing w:val="-4"/>
          <w:sz w:val="32"/>
          <w:szCs w:val="32"/>
        </w:rPr>
        <w:t xml:space="preserve">  </w:t>
      </w:r>
      <w:r>
        <w:rPr>
          <w:rFonts w:hint="eastAsia"/>
          <w:spacing w:val="-4"/>
          <w:sz w:val="32"/>
          <w:szCs w:val="32"/>
          <w:lang w:eastAsia="zh-CN"/>
          <w14:textOutline w14:w="4064" w14:cap="flat" w14:cmpd="sng">
            <w14:solidFill>
              <w14:srgbClr w14:val="000000"/>
            </w14:solidFill>
            <w14:prstDash w14:val="solid"/>
            <w14:miter w14:val="0"/>
          </w14:textOutline>
        </w:rPr>
        <w:t>中共景德镇市珠山区委政法委员会</w:t>
      </w:r>
      <w:r>
        <w:rPr>
          <w:spacing w:val="-59"/>
          <w:sz w:val="32"/>
          <w:szCs w:val="32"/>
        </w:rPr>
        <w:t xml:space="preserve"> </w:t>
      </w:r>
      <w:r>
        <w:rPr>
          <w:rFonts w:hint="eastAsia"/>
          <w:spacing w:val="-4"/>
          <w:sz w:val="32"/>
          <w:szCs w:val="32"/>
          <w:lang w:eastAsia="zh-CN"/>
          <w14:textOutline w14:w="4064" w14:cap="flat" w14:cmpd="sng">
            <w14:solidFill>
              <w14:srgbClr w14:val="000000"/>
            </w14:solidFill>
            <w14:prstDash w14:val="solid"/>
            <w14:miter w14:val="0"/>
          </w14:textOutline>
        </w:rPr>
        <w:t>2026</w:t>
      </w:r>
      <w:r>
        <w:rPr>
          <w:spacing w:val="-52"/>
          <w:sz w:val="32"/>
          <w:szCs w:val="32"/>
        </w:rPr>
        <w:t xml:space="preserve"> </w:t>
      </w:r>
      <w:r>
        <w:rPr>
          <w:spacing w:val="-4"/>
          <w:sz w:val="32"/>
          <w:szCs w:val="32"/>
          <w14:textOutline w14:w="4064" w14:cap="flat" w14:cmpd="sng">
            <w14:solidFill>
              <w14:srgbClr w14:val="000000"/>
            </w14:solidFill>
            <w14:prstDash w14:val="solid"/>
            <w14:miter w14:val="0"/>
          </w14:textOutline>
        </w:rPr>
        <w:t>年部门预算表</w:t>
      </w:r>
    </w:p>
    <w:p w14:paraId="33B4B4C8">
      <w:pPr>
        <w:spacing w:line="222" w:lineRule="auto"/>
        <w:rPr>
          <w:sz w:val="32"/>
          <w:szCs w:val="32"/>
        </w:rPr>
        <w:sectPr>
          <w:pgSz w:w="11905" w:h="16840"/>
          <w:pgMar w:top="1431" w:right="1774" w:bottom="0" w:left="1785" w:header="0" w:footer="0" w:gutter="0"/>
          <w:cols w:space="720" w:num="1"/>
        </w:sectPr>
      </w:pPr>
    </w:p>
    <w:p w14:paraId="3B465D7E">
      <w:pPr>
        <w:pStyle w:val="3"/>
        <w:rPr>
          <w:rFonts w:ascii="Arial" w:hAnsi="Arial" w:eastAsia="Arial" w:cs="Arial"/>
          <w:sz w:val="2"/>
          <w:szCs w:val="2"/>
        </w:rPr>
      </w:pPr>
    </w:p>
    <w:p w14:paraId="422A6A3E">
      <w:pPr>
        <w:bidi w:val="0"/>
      </w:pPr>
    </w:p>
    <w:p w14:paraId="5911F99F">
      <w:pPr>
        <w:bidi w:val="0"/>
      </w:pPr>
    </w:p>
    <w:p w14:paraId="5235394A">
      <w:pPr>
        <w:bidi w:val="0"/>
      </w:pPr>
    </w:p>
    <w:p w14:paraId="4095AF6C">
      <w:pPr>
        <w:bidi w:val="0"/>
      </w:pPr>
    </w:p>
    <w:p w14:paraId="24AD7282">
      <w:pPr>
        <w:bidi w:val="0"/>
      </w:pPr>
    </w:p>
    <w:p w14:paraId="400DBECB">
      <w:pPr>
        <w:bidi w:val="0"/>
      </w:pPr>
    </w:p>
    <w:p w14:paraId="1D2B9CCD">
      <w:pPr>
        <w:bidi w:val="0"/>
      </w:pPr>
    </w:p>
    <w:p w14:paraId="189084A2">
      <w:pPr>
        <w:tabs>
          <w:tab w:val="left" w:pos="2241"/>
        </w:tabs>
        <w:bidi w:val="0"/>
        <w:jc w:val="left"/>
        <w:rPr>
          <w:rFonts w:hint="eastAsia" w:eastAsia="宋体"/>
          <w:lang w:eastAsia="zh-CN"/>
        </w:rPr>
        <w:sectPr>
          <w:type w:val="continuous"/>
          <w:pgSz w:w="16839" w:h="11907"/>
          <w:pgMar w:top="1012" w:right="1008" w:bottom="0" w:left="996" w:header="0" w:footer="0" w:gutter="0"/>
          <w:cols w:equalWidth="0" w:num="1">
            <w:col w:w="14835"/>
          </w:cols>
        </w:sectPr>
      </w:pPr>
      <w:r>
        <w:drawing>
          <wp:inline distT="0" distB="0" distL="114300" distR="114300">
            <wp:extent cx="9418955" cy="4505325"/>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9418955" cy="4505325"/>
                    </a:xfrm>
                    <a:prstGeom prst="rect">
                      <a:avLst/>
                    </a:prstGeom>
                    <a:noFill/>
                    <a:ln>
                      <a:noFill/>
                    </a:ln>
                  </pic:spPr>
                </pic:pic>
              </a:graphicData>
            </a:graphic>
          </wp:inline>
        </w:drawing>
      </w:r>
      <w:r>
        <w:rPr>
          <w:rFonts w:hint="eastAsia" w:eastAsia="宋体"/>
          <w:lang w:eastAsia="zh-CN"/>
        </w:rPr>
        <w:tab/>
      </w:r>
    </w:p>
    <w:p w14:paraId="10DEDE5B">
      <w:pPr>
        <w:spacing w:before="183" w:line="221" w:lineRule="auto"/>
      </w:pPr>
    </w:p>
    <w:p w14:paraId="6E528FCA">
      <w:pPr>
        <w:spacing w:before="183" w:line="221" w:lineRule="auto"/>
      </w:pPr>
      <w:r>
        <w:drawing>
          <wp:inline distT="0" distB="0" distL="114300" distR="114300">
            <wp:extent cx="9404985" cy="3507740"/>
            <wp:effectExtent l="0" t="0" r="571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9404985" cy="3507740"/>
                    </a:xfrm>
                    <a:prstGeom prst="rect">
                      <a:avLst/>
                    </a:prstGeom>
                    <a:noFill/>
                    <a:ln>
                      <a:noFill/>
                    </a:ln>
                  </pic:spPr>
                </pic:pic>
              </a:graphicData>
            </a:graphic>
          </wp:inline>
        </w:drawing>
      </w:r>
    </w:p>
    <w:p w14:paraId="5973AB74">
      <w:pPr>
        <w:spacing w:before="183" w:line="221" w:lineRule="auto"/>
      </w:pPr>
    </w:p>
    <w:p w14:paraId="3DC19E0D">
      <w:pPr>
        <w:spacing w:before="183" w:line="221" w:lineRule="auto"/>
        <w:sectPr>
          <w:type w:val="continuous"/>
          <w:pgSz w:w="16839" w:h="11907"/>
          <w:pgMar w:top="1012" w:right="1008" w:bottom="0" w:left="996" w:header="0" w:footer="0" w:gutter="0"/>
          <w:cols w:equalWidth="0" w:num="1">
            <w:col w:w="14835"/>
          </w:cols>
        </w:sectPr>
      </w:pPr>
      <w:r>
        <w:drawing>
          <wp:inline distT="0" distB="0" distL="114300" distR="114300">
            <wp:extent cx="9414510" cy="5423535"/>
            <wp:effectExtent l="0" t="0" r="5715"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9414510" cy="5423535"/>
                    </a:xfrm>
                    <a:prstGeom prst="rect">
                      <a:avLst/>
                    </a:prstGeom>
                    <a:noFill/>
                    <a:ln>
                      <a:noFill/>
                    </a:ln>
                  </pic:spPr>
                </pic:pic>
              </a:graphicData>
            </a:graphic>
          </wp:inline>
        </w:drawing>
      </w:r>
      <w:r>
        <w:drawing>
          <wp:inline distT="0" distB="0" distL="114300" distR="114300">
            <wp:extent cx="9415145" cy="4020820"/>
            <wp:effectExtent l="0" t="0" r="508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9415145" cy="4020820"/>
                    </a:xfrm>
                    <a:prstGeom prst="rect">
                      <a:avLst/>
                    </a:prstGeom>
                    <a:noFill/>
                    <a:ln>
                      <a:noFill/>
                    </a:ln>
                  </pic:spPr>
                </pic:pic>
              </a:graphicData>
            </a:graphic>
          </wp:inline>
        </w:drawing>
      </w:r>
      <w:r>
        <w:drawing>
          <wp:inline distT="0" distB="0" distL="114300" distR="114300">
            <wp:extent cx="9413875" cy="5836285"/>
            <wp:effectExtent l="0" t="0" r="635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9413875" cy="5836285"/>
                    </a:xfrm>
                    <a:prstGeom prst="rect">
                      <a:avLst/>
                    </a:prstGeom>
                    <a:noFill/>
                    <a:ln>
                      <a:noFill/>
                    </a:ln>
                  </pic:spPr>
                </pic:pic>
              </a:graphicData>
            </a:graphic>
          </wp:inline>
        </w:drawing>
      </w:r>
    </w:p>
    <w:p w14:paraId="2D3C51D5">
      <w:pPr>
        <w:spacing w:before="183" w:line="221" w:lineRule="auto"/>
      </w:pPr>
    </w:p>
    <w:p w14:paraId="694D7EC3">
      <w:pPr>
        <w:spacing w:before="183" w:line="221" w:lineRule="auto"/>
      </w:pPr>
      <w:r>
        <w:drawing>
          <wp:inline distT="0" distB="0" distL="114300" distR="114300">
            <wp:extent cx="6908800" cy="5290820"/>
            <wp:effectExtent l="0" t="0" r="635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6908800" cy="5290820"/>
                    </a:xfrm>
                    <a:prstGeom prst="rect">
                      <a:avLst/>
                    </a:prstGeom>
                    <a:noFill/>
                    <a:ln>
                      <a:noFill/>
                    </a:ln>
                  </pic:spPr>
                </pic:pic>
              </a:graphicData>
            </a:graphic>
          </wp:inline>
        </w:drawing>
      </w:r>
    </w:p>
    <w:p w14:paraId="7C363386">
      <w:pPr>
        <w:spacing w:before="183" w:line="221" w:lineRule="auto"/>
      </w:pPr>
    </w:p>
    <w:p w14:paraId="584430F2">
      <w:pPr>
        <w:spacing w:before="183" w:line="221" w:lineRule="auto"/>
      </w:pPr>
    </w:p>
    <w:p w14:paraId="4E156745">
      <w:pPr>
        <w:spacing w:before="183" w:line="221" w:lineRule="auto"/>
      </w:pPr>
    </w:p>
    <w:p w14:paraId="7ABAEC7C">
      <w:pPr>
        <w:spacing w:before="183" w:line="221" w:lineRule="auto"/>
      </w:pPr>
    </w:p>
    <w:p w14:paraId="724575E1">
      <w:pPr>
        <w:spacing w:before="183" w:line="221" w:lineRule="auto"/>
      </w:pPr>
    </w:p>
    <w:p w14:paraId="1405F485">
      <w:pPr>
        <w:spacing w:before="183" w:line="221" w:lineRule="auto"/>
      </w:pPr>
    </w:p>
    <w:p w14:paraId="05C0D5F4">
      <w:pPr>
        <w:spacing w:before="183" w:line="221" w:lineRule="auto"/>
      </w:pPr>
    </w:p>
    <w:p w14:paraId="0A37A533">
      <w:pPr>
        <w:spacing w:before="183" w:line="221" w:lineRule="auto"/>
      </w:pPr>
    </w:p>
    <w:p w14:paraId="374C4B37">
      <w:pPr>
        <w:spacing w:before="183" w:line="221" w:lineRule="auto"/>
      </w:pPr>
    </w:p>
    <w:p w14:paraId="445FB53B">
      <w:pPr>
        <w:spacing w:before="183" w:line="221" w:lineRule="auto"/>
      </w:pPr>
    </w:p>
    <w:p w14:paraId="15448FD1">
      <w:pPr>
        <w:spacing w:before="183" w:line="221" w:lineRule="auto"/>
      </w:pPr>
    </w:p>
    <w:p w14:paraId="3311C8D1">
      <w:pPr>
        <w:spacing w:before="183" w:line="221" w:lineRule="auto"/>
      </w:pPr>
    </w:p>
    <w:p w14:paraId="69E1EADC">
      <w:pPr>
        <w:spacing w:before="183" w:line="221" w:lineRule="auto"/>
        <w:sectPr>
          <w:pgSz w:w="11907" w:h="16839"/>
          <w:pgMar w:top="1008" w:right="0" w:bottom="996" w:left="1012" w:header="0" w:footer="0" w:gutter="0"/>
          <w:cols w:equalWidth="0" w:num="1">
            <w:col w:w="14835"/>
          </w:cols>
        </w:sectPr>
      </w:pPr>
    </w:p>
    <w:p w14:paraId="230CAF31">
      <w:pPr>
        <w:spacing w:before="183" w:line="221" w:lineRule="auto"/>
      </w:pPr>
      <w:r>
        <w:drawing>
          <wp:inline distT="0" distB="0" distL="114300" distR="114300">
            <wp:extent cx="9411970" cy="1362710"/>
            <wp:effectExtent l="0" t="0" r="8255"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9411970" cy="1362710"/>
                    </a:xfrm>
                    <a:prstGeom prst="rect">
                      <a:avLst/>
                    </a:prstGeom>
                    <a:noFill/>
                    <a:ln>
                      <a:noFill/>
                    </a:ln>
                  </pic:spPr>
                </pic:pic>
              </a:graphicData>
            </a:graphic>
          </wp:inline>
        </w:drawing>
      </w:r>
    </w:p>
    <w:p w14:paraId="100CEB78">
      <w:pPr>
        <w:spacing w:before="183" w:line="221" w:lineRule="auto"/>
      </w:pPr>
    </w:p>
    <w:p w14:paraId="5399BF29">
      <w:pPr>
        <w:spacing w:before="183" w:line="221" w:lineRule="auto"/>
      </w:pPr>
    </w:p>
    <w:p w14:paraId="435DBCDF">
      <w:pPr>
        <w:spacing w:before="183" w:line="221" w:lineRule="auto"/>
      </w:pPr>
    </w:p>
    <w:p w14:paraId="68407458">
      <w:pPr>
        <w:spacing w:before="183" w:line="221" w:lineRule="auto"/>
      </w:pPr>
    </w:p>
    <w:p w14:paraId="0BD12D27">
      <w:pPr>
        <w:spacing w:before="183" w:line="221" w:lineRule="auto"/>
      </w:pPr>
    </w:p>
    <w:p w14:paraId="01D5AB13">
      <w:pPr>
        <w:spacing w:before="183" w:line="221" w:lineRule="auto"/>
      </w:pPr>
      <w:r>
        <w:drawing>
          <wp:inline distT="0" distB="0" distL="114300" distR="114300">
            <wp:extent cx="9410065" cy="1270000"/>
            <wp:effectExtent l="0" t="0" r="635"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9410065" cy="1270000"/>
                    </a:xfrm>
                    <a:prstGeom prst="rect">
                      <a:avLst/>
                    </a:prstGeom>
                    <a:noFill/>
                    <a:ln>
                      <a:noFill/>
                    </a:ln>
                  </pic:spPr>
                </pic:pic>
              </a:graphicData>
            </a:graphic>
          </wp:inline>
        </w:drawing>
      </w:r>
    </w:p>
    <w:p w14:paraId="26D3A0C3">
      <w:pPr>
        <w:spacing w:before="183" w:line="221" w:lineRule="auto"/>
      </w:pPr>
    </w:p>
    <w:p w14:paraId="7C317B04">
      <w:pPr>
        <w:spacing w:before="183" w:line="221" w:lineRule="auto"/>
      </w:pPr>
    </w:p>
    <w:p w14:paraId="6350C1F3">
      <w:pPr>
        <w:spacing w:before="183" w:line="221" w:lineRule="auto"/>
      </w:pPr>
    </w:p>
    <w:p w14:paraId="2D24C08E">
      <w:pPr>
        <w:spacing w:before="183" w:line="221" w:lineRule="auto"/>
      </w:pPr>
    </w:p>
    <w:p w14:paraId="21239405">
      <w:pPr>
        <w:spacing w:before="183" w:line="221" w:lineRule="auto"/>
      </w:pPr>
    </w:p>
    <w:p w14:paraId="6621412C">
      <w:pPr>
        <w:spacing w:before="183" w:line="221" w:lineRule="auto"/>
      </w:pPr>
    </w:p>
    <w:p w14:paraId="4F4191C8">
      <w:pPr>
        <w:spacing w:before="183" w:line="221" w:lineRule="auto"/>
      </w:pPr>
    </w:p>
    <w:p w14:paraId="3B3B636B">
      <w:pPr>
        <w:spacing w:before="183" w:line="221" w:lineRule="auto"/>
      </w:pPr>
    </w:p>
    <w:p w14:paraId="5A280812">
      <w:pPr>
        <w:spacing w:before="183" w:line="221" w:lineRule="auto"/>
      </w:pPr>
    </w:p>
    <w:p w14:paraId="1941BF61">
      <w:pPr>
        <w:spacing w:before="183" w:line="221" w:lineRule="auto"/>
      </w:pPr>
    </w:p>
    <w:p w14:paraId="5AAC454D">
      <w:pPr>
        <w:spacing w:before="183" w:line="221" w:lineRule="auto"/>
      </w:pPr>
    </w:p>
    <w:p w14:paraId="0C83861D">
      <w:pPr>
        <w:spacing w:before="183" w:line="221" w:lineRule="auto"/>
      </w:pPr>
    </w:p>
    <w:p w14:paraId="4A81DFF2">
      <w:pPr>
        <w:spacing w:before="183" w:line="221" w:lineRule="auto"/>
      </w:pPr>
      <w:r>
        <w:drawing>
          <wp:inline distT="0" distB="0" distL="114300" distR="114300">
            <wp:extent cx="9410065" cy="1359535"/>
            <wp:effectExtent l="0" t="0" r="635"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9410065" cy="1359535"/>
                    </a:xfrm>
                    <a:prstGeom prst="rect">
                      <a:avLst/>
                    </a:prstGeom>
                    <a:noFill/>
                    <a:ln>
                      <a:noFill/>
                    </a:ln>
                  </pic:spPr>
                </pic:pic>
              </a:graphicData>
            </a:graphic>
          </wp:inline>
        </w:drawing>
      </w:r>
    </w:p>
    <w:p w14:paraId="4083A078">
      <w:pPr>
        <w:spacing w:before="183" w:line="221" w:lineRule="auto"/>
      </w:pPr>
    </w:p>
    <w:p w14:paraId="5B7E40D9">
      <w:pPr>
        <w:spacing w:before="183" w:line="221" w:lineRule="auto"/>
      </w:pPr>
    </w:p>
    <w:p w14:paraId="16B06CE9">
      <w:pPr>
        <w:spacing w:before="183" w:line="221" w:lineRule="auto"/>
      </w:pPr>
    </w:p>
    <w:p w14:paraId="59F5C251">
      <w:pPr>
        <w:spacing w:before="183" w:line="221" w:lineRule="auto"/>
      </w:pPr>
    </w:p>
    <w:p w14:paraId="5BD11A53">
      <w:pPr>
        <w:spacing w:before="183" w:line="221" w:lineRule="auto"/>
      </w:pPr>
    </w:p>
    <w:p w14:paraId="05964E27">
      <w:pPr>
        <w:spacing w:before="183" w:line="221" w:lineRule="auto"/>
        <w:jc w:val="center"/>
      </w:pPr>
    </w:p>
    <w:p w14:paraId="6A5866C9">
      <w:pPr>
        <w:spacing w:before="183" w:line="221" w:lineRule="auto"/>
      </w:pPr>
    </w:p>
    <w:p w14:paraId="1D7EC740">
      <w:pPr>
        <w:spacing w:before="183" w:line="221" w:lineRule="auto"/>
      </w:pPr>
    </w:p>
    <w:p w14:paraId="64E4CBEF">
      <w:pPr>
        <w:spacing w:before="183" w:line="221" w:lineRule="auto"/>
        <w:jc w:val="center"/>
        <w:sectPr>
          <w:pgSz w:w="16839" w:h="11907" w:orient="landscape"/>
          <w:pgMar w:top="1012" w:right="1008" w:bottom="0" w:left="996" w:header="0" w:footer="0" w:gutter="0"/>
          <w:cols w:equalWidth="0" w:num="1">
            <w:col w:w="14835"/>
          </w:cols>
        </w:sectPr>
      </w:pPr>
    </w:p>
    <w:p w14:paraId="416FDCCC">
      <w:pPr>
        <w:spacing w:before="183" w:line="221" w:lineRule="auto"/>
        <w:jc w:val="center"/>
        <w:sectPr>
          <w:pgSz w:w="11907" w:h="16839"/>
          <w:pgMar w:top="1008" w:right="0" w:bottom="996" w:left="1012" w:header="0" w:footer="0" w:gutter="0"/>
          <w:cols w:equalWidth="0" w:num="1">
            <w:col w:w="14835"/>
          </w:cols>
        </w:sectPr>
      </w:pPr>
      <w:r>
        <w:drawing>
          <wp:inline distT="0" distB="0" distL="114300" distR="114300">
            <wp:extent cx="6891655" cy="7053580"/>
            <wp:effectExtent l="0" t="0" r="4445"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6891655" cy="7053580"/>
                    </a:xfrm>
                    <a:prstGeom prst="rect">
                      <a:avLst/>
                    </a:prstGeom>
                    <a:noFill/>
                    <a:ln>
                      <a:noFill/>
                    </a:ln>
                  </pic:spPr>
                </pic:pic>
              </a:graphicData>
            </a:graphic>
          </wp:inline>
        </w:drawing>
      </w:r>
    </w:p>
    <w:p w14:paraId="1916255D">
      <w:pPr>
        <w:spacing w:before="183" w:line="221" w:lineRule="auto"/>
        <w:jc w:val="center"/>
        <w:rPr>
          <w:rFonts w:hint="eastAsia" w:eastAsia="宋体"/>
          <w:lang w:eastAsia="zh-CN"/>
        </w:rPr>
      </w:pPr>
    </w:p>
    <w:tbl>
      <w:tblPr>
        <w:tblW w:w="10153"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1416"/>
        <w:gridCol w:w="2376"/>
        <w:gridCol w:w="5256"/>
        <w:gridCol w:w="1156"/>
      </w:tblGrid>
      <w:tr w14:paraId="7092B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10158" w:type="dxa"/>
            <w:gridSpan w:val="4"/>
            <w:tcBorders>
              <w:top w:val="nil"/>
              <w:left w:val="nil"/>
              <w:bottom w:val="nil"/>
              <w:right w:val="nil"/>
            </w:tcBorders>
            <w:shd w:val="clear"/>
            <w:noWrap/>
            <w:vAlign w:val="center"/>
          </w:tcPr>
          <w:p w14:paraId="6DA0BA31">
            <w:pPr>
              <w:keepNext w:val="0"/>
              <w:keepLines w:val="0"/>
              <w:widowControl/>
              <w:suppressLineNumbers w:val="0"/>
              <w:jc w:val="center"/>
              <w:textAlignment w:val="center"/>
              <w:rPr>
                <w:rFonts w:ascii="微软雅黑" w:hAnsi="微软雅黑" w:eastAsia="微软雅黑" w:cs="微软雅黑"/>
                <w:i w:val="0"/>
                <w:iCs w:val="0"/>
                <w:color w:val="000000"/>
                <w:sz w:val="24"/>
                <w:szCs w:val="24"/>
                <w:u w:val="none"/>
              </w:rPr>
            </w:pPr>
            <w:r>
              <w:rPr>
                <w:rFonts w:hint="default" w:ascii="微软雅黑" w:hAnsi="微软雅黑" w:eastAsia="微软雅黑" w:cs="微软雅黑"/>
                <w:i w:val="0"/>
                <w:iCs w:val="0"/>
                <w:snapToGrid w:val="0"/>
                <w:color w:val="000000"/>
                <w:kern w:val="0"/>
                <w:sz w:val="24"/>
                <w:szCs w:val="24"/>
                <w:u w:val="none"/>
                <w:bdr w:val="none" w:color="auto" w:sz="0" w:space="0"/>
                <w:lang w:val="en-US" w:eastAsia="zh-CN" w:bidi="ar"/>
              </w:rPr>
              <w:t>肇事肇祸救助有奖监护项目支出绩效目标表</w:t>
            </w:r>
          </w:p>
        </w:tc>
      </w:tr>
      <w:tr w14:paraId="338E5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0" w:type="auto"/>
            <w:gridSpan w:val="4"/>
            <w:tcBorders>
              <w:top w:val="single" w:color="000000" w:sz="4" w:space="0"/>
              <w:left w:val="single" w:color="000000" w:sz="4" w:space="0"/>
              <w:bottom w:val="single" w:color="000000" w:sz="4" w:space="0"/>
              <w:right w:val="single" w:color="000000" w:sz="4" w:space="0"/>
            </w:tcBorders>
            <w:shd w:val="clear"/>
            <w:noWrap/>
            <w:vAlign w:val="center"/>
          </w:tcPr>
          <w:p w14:paraId="324237CE">
            <w:pPr>
              <w:keepNext w:val="0"/>
              <w:keepLines w:val="0"/>
              <w:widowControl/>
              <w:suppressLineNumbers w:val="0"/>
              <w:jc w:val="center"/>
              <w:textAlignment w:val="center"/>
              <w:rPr>
                <w:rFonts w:hint="default" w:ascii="微软雅黑" w:hAnsi="微软雅黑" w:eastAsia="微软雅黑" w:cs="微软雅黑"/>
                <w:i w:val="0"/>
                <w:iCs w:val="0"/>
                <w:color w:val="000000"/>
                <w:sz w:val="24"/>
                <w:szCs w:val="24"/>
                <w:u w:val="none"/>
              </w:rPr>
            </w:pPr>
            <w:r>
              <w:rPr>
                <w:rFonts w:hint="default" w:ascii="微软雅黑" w:hAnsi="微软雅黑" w:eastAsia="微软雅黑" w:cs="微软雅黑"/>
                <w:i w:val="0"/>
                <w:iCs w:val="0"/>
                <w:snapToGrid w:val="0"/>
                <w:color w:val="000000"/>
                <w:kern w:val="0"/>
                <w:sz w:val="24"/>
                <w:szCs w:val="24"/>
                <w:u w:val="none"/>
                <w:bdr w:val="none" w:color="auto" w:sz="0" w:space="0"/>
                <w:lang w:val="en-US" w:eastAsia="zh-CN" w:bidi="ar"/>
              </w:rPr>
              <w:t>绩效目标</w:t>
            </w:r>
          </w:p>
        </w:tc>
      </w:tr>
      <w:tr w14:paraId="50ED2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gridSpan w:val="4"/>
            <w:tcBorders>
              <w:top w:val="nil"/>
              <w:left w:val="single" w:color="000000" w:sz="4" w:space="0"/>
              <w:bottom w:val="single" w:color="000000" w:sz="4" w:space="0"/>
              <w:right w:val="single" w:color="000000" w:sz="4" w:space="0"/>
            </w:tcBorders>
            <w:shd w:val="clear"/>
            <w:noWrap/>
            <w:vAlign w:val="center"/>
          </w:tcPr>
          <w:p w14:paraId="1ECA8631">
            <w:pPr>
              <w:keepNext w:val="0"/>
              <w:keepLines w:val="0"/>
              <w:widowControl/>
              <w:suppressLineNumbers w:val="0"/>
              <w:jc w:val="center"/>
              <w:textAlignment w:val="center"/>
              <w:rPr>
                <w:rFonts w:hint="default" w:ascii="微软雅黑" w:hAnsi="微软雅黑" w:eastAsia="微软雅黑" w:cs="微软雅黑"/>
                <w:i w:val="0"/>
                <w:iCs w:val="0"/>
                <w:color w:val="000000"/>
                <w:sz w:val="24"/>
                <w:szCs w:val="24"/>
                <w:u w:val="none"/>
              </w:rPr>
            </w:pPr>
            <w:r>
              <w:rPr>
                <w:rFonts w:hint="default" w:ascii="微软雅黑" w:hAnsi="微软雅黑" w:eastAsia="微软雅黑" w:cs="微软雅黑"/>
                <w:i w:val="0"/>
                <w:iCs w:val="0"/>
                <w:snapToGrid w:val="0"/>
                <w:color w:val="000000"/>
                <w:kern w:val="0"/>
                <w:sz w:val="24"/>
                <w:szCs w:val="24"/>
                <w:u w:val="none"/>
                <w:bdr w:val="none" w:color="auto" w:sz="0" w:space="0"/>
                <w:lang w:val="en-US" w:eastAsia="zh-CN" w:bidi="ar"/>
              </w:rPr>
              <w:t>激励监护人积极履责，降低肇事肇祸事件发生概率，维护社会和谐稳定。</w:t>
            </w:r>
          </w:p>
        </w:tc>
      </w:tr>
      <w:tr w14:paraId="3FDF5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498E696">
            <w:pPr>
              <w:keepNext w:val="0"/>
              <w:keepLines w:val="0"/>
              <w:widowControl/>
              <w:suppressLineNumbers w:val="0"/>
              <w:jc w:val="center"/>
              <w:textAlignment w:val="center"/>
              <w:rPr>
                <w:rFonts w:hint="default" w:ascii="微软雅黑" w:hAnsi="微软雅黑" w:eastAsia="微软雅黑" w:cs="微软雅黑"/>
                <w:i w:val="0"/>
                <w:iCs w:val="0"/>
                <w:color w:val="000000"/>
                <w:sz w:val="24"/>
                <w:szCs w:val="24"/>
                <w:u w:val="none"/>
              </w:rPr>
            </w:pPr>
            <w:r>
              <w:rPr>
                <w:rFonts w:hint="default" w:ascii="微软雅黑" w:hAnsi="微软雅黑" w:eastAsia="微软雅黑" w:cs="微软雅黑"/>
                <w:i w:val="0"/>
                <w:iCs w:val="0"/>
                <w:snapToGrid w:val="0"/>
                <w:color w:val="000000"/>
                <w:kern w:val="0"/>
                <w:sz w:val="24"/>
                <w:szCs w:val="24"/>
                <w:u w:val="none"/>
                <w:bdr w:val="none" w:color="auto" w:sz="0" w:space="0"/>
                <w:lang w:val="en-US" w:eastAsia="zh-CN" w:bidi="ar"/>
              </w:rPr>
              <w:t>一级指标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27763C2">
            <w:pPr>
              <w:keepNext w:val="0"/>
              <w:keepLines w:val="0"/>
              <w:widowControl/>
              <w:suppressLineNumbers w:val="0"/>
              <w:jc w:val="center"/>
              <w:textAlignment w:val="center"/>
              <w:rPr>
                <w:rFonts w:hint="default" w:ascii="微软雅黑" w:hAnsi="微软雅黑" w:eastAsia="微软雅黑" w:cs="微软雅黑"/>
                <w:i w:val="0"/>
                <w:iCs w:val="0"/>
                <w:color w:val="000000"/>
                <w:sz w:val="24"/>
                <w:szCs w:val="24"/>
                <w:u w:val="none"/>
              </w:rPr>
            </w:pPr>
            <w:r>
              <w:rPr>
                <w:rFonts w:hint="default" w:ascii="微软雅黑" w:hAnsi="微软雅黑" w:eastAsia="微软雅黑" w:cs="微软雅黑"/>
                <w:i w:val="0"/>
                <w:iCs w:val="0"/>
                <w:snapToGrid w:val="0"/>
                <w:color w:val="000000"/>
                <w:kern w:val="0"/>
                <w:sz w:val="24"/>
                <w:szCs w:val="24"/>
                <w:u w:val="none"/>
                <w:bdr w:val="none" w:color="auto" w:sz="0" w:space="0"/>
                <w:lang w:val="en-US" w:eastAsia="zh-CN" w:bidi="ar"/>
              </w:rPr>
              <w:t>二级指标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989F8B0">
            <w:pPr>
              <w:keepNext w:val="0"/>
              <w:keepLines w:val="0"/>
              <w:widowControl/>
              <w:suppressLineNumbers w:val="0"/>
              <w:jc w:val="center"/>
              <w:textAlignment w:val="center"/>
              <w:rPr>
                <w:rFonts w:hint="default" w:ascii="微软雅黑" w:hAnsi="微软雅黑" w:eastAsia="微软雅黑" w:cs="微软雅黑"/>
                <w:i w:val="0"/>
                <w:iCs w:val="0"/>
                <w:color w:val="000000"/>
                <w:sz w:val="24"/>
                <w:szCs w:val="24"/>
                <w:u w:val="none"/>
              </w:rPr>
            </w:pPr>
            <w:r>
              <w:rPr>
                <w:rFonts w:hint="default" w:ascii="微软雅黑" w:hAnsi="微软雅黑" w:eastAsia="微软雅黑" w:cs="微软雅黑"/>
                <w:i w:val="0"/>
                <w:iCs w:val="0"/>
                <w:snapToGrid w:val="0"/>
                <w:color w:val="000000"/>
                <w:kern w:val="0"/>
                <w:sz w:val="24"/>
                <w:szCs w:val="24"/>
                <w:u w:val="none"/>
                <w:bdr w:val="none" w:color="auto" w:sz="0" w:space="0"/>
                <w:lang w:val="en-US" w:eastAsia="zh-CN" w:bidi="ar"/>
              </w:rPr>
              <w:t>三级指标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5E39AEC">
            <w:pPr>
              <w:keepNext w:val="0"/>
              <w:keepLines w:val="0"/>
              <w:widowControl/>
              <w:suppressLineNumbers w:val="0"/>
              <w:jc w:val="center"/>
              <w:textAlignment w:val="center"/>
              <w:rPr>
                <w:rFonts w:hint="default" w:ascii="微软雅黑" w:hAnsi="微软雅黑" w:eastAsia="微软雅黑" w:cs="微软雅黑"/>
                <w:i w:val="0"/>
                <w:iCs w:val="0"/>
                <w:color w:val="000000"/>
                <w:sz w:val="24"/>
                <w:szCs w:val="24"/>
                <w:u w:val="none"/>
              </w:rPr>
            </w:pPr>
            <w:r>
              <w:rPr>
                <w:rFonts w:hint="default" w:ascii="微软雅黑" w:hAnsi="微软雅黑" w:eastAsia="微软雅黑" w:cs="微软雅黑"/>
                <w:i w:val="0"/>
                <w:iCs w:val="0"/>
                <w:snapToGrid w:val="0"/>
                <w:color w:val="000000"/>
                <w:kern w:val="0"/>
                <w:sz w:val="24"/>
                <w:szCs w:val="24"/>
                <w:u w:val="none"/>
                <w:bdr w:val="none" w:color="auto" w:sz="0" w:space="0"/>
                <w:lang w:val="en-US" w:eastAsia="zh-CN" w:bidi="ar"/>
              </w:rPr>
              <w:t>指标值</w:t>
            </w:r>
          </w:p>
        </w:tc>
      </w:tr>
      <w:tr w14:paraId="52830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3BEB9FF4">
            <w:pPr>
              <w:keepNext w:val="0"/>
              <w:keepLines w:val="0"/>
              <w:widowControl/>
              <w:suppressLineNumbers w:val="0"/>
              <w:jc w:val="center"/>
              <w:textAlignment w:val="center"/>
              <w:rPr>
                <w:rFonts w:hint="default" w:ascii="微软雅黑" w:hAnsi="微软雅黑" w:eastAsia="微软雅黑" w:cs="微软雅黑"/>
                <w:i w:val="0"/>
                <w:iCs w:val="0"/>
                <w:color w:val="000000"/>
                <w:sz w:val="24"/>
                <w:szCs w:val="24"/>
                <w:u w:val="none"/>
              </w:rPr>
            </w:pPr>
            <w:r>
              <w:rPr>
                <w:rFonts w:hint="default" w:ascii="微软雅黑" w:hAnsi="微软雅黑" w:eastAsia="微软雅黑" w:cs="微软雅黑"/>
                <w:i w:val="0"/>
                <w:iCs w:val="0"/>
                <w:snapToGrid w:val="0"/>
                <w:color w:val="000000"/>
                <w:kern w:val="0"/>
                <w:sz w:val="24"/>
                <w:szCs w:val="24"/>
                <w:u w:val="none"/>
                <w:bdr w:val="none" w:color="auto" w:sz="0" w:space="0"/>
                <w:lang w:val="en-US" w:eastAsia="zh-CN" w:bidi="ar"/>
              </w:rPr>
              <w:t>成本指标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3BDF7F11">
            <w:pPr>
              <w:keepNext w:val="0"/>
              <w:keepLines w:val="0"/>
              <w:widowControl/>
              <w:suppressLineNumbers w:val="0"/>
              <w:jc w:val="center"/>
              <w:textAlignment w:val="center"/>
              <w:rPr>
                <w:rFonts w:hint="default" w:ascii="微软雅黑" w:hAnsi="微软雅黑" w:eastAsia="微软雅黑" w:cs="微软雅黑"/>
                <w:i w:val="0"/>
                <w:iCs w:val="0"/>
                <w:color w:val="000000"/>
                <w:sz w:val="24"/>
                <w:szCs w:val="24"/>
                <w:u w:val="none"/>
              </w:rPr>
            </w:pPr>
            <w:r>
              <w:rPr>
                <w:rFonts w:hint="default" w:ascii="微软雅黑" w:hAnsi="微软雅黑" w:eastAsia="微软雅黑" w:cs="微软雅黑"/>
                <w:i w:val="0"/>
                <w:iCs w:val="0"/>
                <w:snapToGrid w:val="0"/>
                <w:color w:val="000000"/>
                <w:kern w:val="0"/>
                <w:sz w:val="24"/>
                <w:szCs w:val="24"/>
                <w:u w:val="none"/>
                <w:bdr w:val="none" w:color="auto" w:sz="0" w:space="0"/>
                <w:lang w:val="en-US" w:eastAsia="zh-CN" w:bidi="ar"/>
              </w:rPr>
              <w:t>经济成本指标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B9649A7">
            <w:pPr>
              <w:keepNext w:val="0"/>
              <w:keepLines w:val="0"/>
              <w:widowControl/>
              <w:suppressLineNumbers w:val="0"/>
              <w:jc w:val="center"/>
              <w:textAlignment w:val="center"/>
              <w:rPr>
                <w:rFonts w:hint="default" w:ascii="微软雅黑" w:hAnsi="微软雅黑" w:eastAsia="微软雅黑" w:cs="微软雅黑"/>
                <w:i w:val="0"/>
                <w:iCs w:val="0"/>
                <w:color w:val="000000"/>
                <w:sz w:val="24"/>
                <w:szCs w:val="24"/>
                <w:u w:val="none"/>
              </w:rPr>
            </w:pPr>
            <w:r>
              <w:rPr>
                <w:rFonts w:hint="default" w:ascii="微软雅黑" w:hAnsi="微软雅黑" w:eastAsia="微软雅黑" w:cs="微软雅黑"/>
                <w:i w:val="0"/>
                <w:iCs w:val="0"/>
                <w:snapToGrid w:val="0"/>
                <w:color w:val="000000"/>
                <w:kern w:val="0"/>
                <w:sz w:val="24"/>
                <w:szCs w:val="24"/>
                <w:u w:val="none"/>
                <w:bdr w:val="none" w:color="auto" w:sz="0" w:space="0"/>
                <w:lang w:val="en-US" w:eastAsia="zh-CN" w:bidi="ar"/>
              </w:rPr>
              <w:t>用于监护人投保严重精神障碍者伤害的险种费用</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CD79776">
            <w:pPr>
              <w:keepNext w:val="0"/>
              <w:keepLines w:val="0"/>
              <w:widowControl/>
              <w:suppressLineNumbers w:val="0"/>
              <w:jc w:val="center"/>
              <w:textAlignment w:val="center"/>
              <w:rPr>
                <w:rFonts w:hint="default" w:ascii="微软雅黑" w:hAnsi="微软雅黑" w:eastAsia="微软雅黑" w:cs="微软雅黑"/>
                <w:i w:val="0"/>
                <w:iCs w:val="0"/>
                <w:color w:val="000000"/>
                <w:sz w:val="24"/>
                <w:szCs w:val="24"/>
                <w:u w:val="none"/>
              </w:rPr>
            </w:pPr>
            <w:r>
              <w:rPr>
                <w:rFonts w:hint="default" w:ascii="微软雅黑" w:hAnsi="微软雅黑" w:eastAsia="微软雅黑" w:cs="微软雅黑"/>
                <w:i w:val="0"/>
                <w:iCs w:val="0"/>
                <w:snapToGrid w:val="0"/>
                <w:color w:val="000000"/>
                <w:kern w:val="0"/>
                <w:sz w:val="24"/>
                <w:szCs w:val="24"/>
                <w:u w:val="none"/>
                <w:bdr w:val="none" w:color="auto" w:sz="0" w:space="0"/>
                <w:lang w:val="en-US" w:eastAsia="zh-CN" w:bidi="ar"/>
              </w:rPr>
              <w:t>≤2万元</w:t>
            </w:r>
          </w:p>
        </w:tc>
      </w:tr>
      <w:tr w14:paraId="581AE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5F24EE7">
            <w:pPr>
              <w:jc w:val="center"/>
              <w:rPr>
                <w:rFonts w:hint="default" w:ascii="微软雅黑" w:hAnsi="微软雅黑" w:eastAsia="微软雅黑" w:cs="微软雅黑"/>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C9AC6F1">
            <w:pPr>
              <w:jc w:val="center"/>
              <w:rPr>
                <w:rFonts w:hint="default" w:ascii="微软雅黑" w:hAnsi="微软雅黑" w:eastAsia="微软雅黑" w:cs="微软雅黑"/>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C83DAB0">
            <w:pPr>
              <w:keepNext w:val="0"/>
              <w:keepLines w:val="0"/>
              <w:widowControl/>
              <w:suppressLineNumbers w:val="0"/>
              <w:jc w:val="center"/>
              <w:textAlignment w:val="center"/>
              <w:rPr>
                <w:rFonts w:hint="default" w:ascii="微软雅黑" w:hAnsi="微软雅黑" w:eastAsia="微软雅黑" w:cs="微软雅黑"/>
                <w:i w:val="0"/>
                <w:iCs w:val="0"/>
                <w:color w:val="000000"/>
                <w:sz w:val="24"/>
                <w:szCs w:val="24"/>
                <w:u w:val="none"/>
              </w:rPr>
            </w:pPr>
            <w:r>
              <w:rPr>
                <w:rFonts w:hint="default" w:ascii="微软雅黑" w:hAnsi="微软雅黑" w:eastAsia="微软雅黑" w:cs="微软雅黑"/>
                <w:i w:val="0"/>
                <w:iCs w:val="0"/>
                <w:snapToGrid w:val="0"/>
                <w:color w:val="000000"/>
                <w:kern w:val="0"/>
                <w:sz w:val="24"/>
                <w:szCs w:val="24"/>
                <w:u w:val="none"/>
                <w:bdr w:val="none" w:color="auto" w:sz="0" w:space="0"/>
                <w:lang w:val="en-US" w:eastAsia="zh-CN" w:bidi="ar"/>
              </w:rPr>
              <w:t>对肇事肇祸精神病监护人补助开支费用</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C541C15">
            <w:pPr>
              <w:keepNext w:val="0"/>
              <w:keepLines w:val="0"/>
              <w:widowControl/>
              <w:suppressLineNumbers w:val="0"/>
              <w:jc w:val="center"/>
              <w:textAlignment w:val="center"/>
              <w:rPr>
                <w:rFonts w:hint="default" w:ascii="微软雅黑" w:hAnsi="微软雅黑" w:eastAsia="微软雅黑" w:cs="微软雅黑"/>
                <w:i w:val="0"/>
                <w:iCs w:val="0"/>
                <w:color w:val="000000"/>
                <w:sz w:val="24"/>
                <w:szCs w:val="24"/>
                <w:u w:val="none"/>
              </w:rPr>
            </w:pPr>
            <w:r>
              <w:rPr>
                <w:rFonts w:hint="default" w:ascii="微软雅黑" w:hAnsi="微软雅黑" w:eastAsia="微软雅黑" w:cs="微软雅黑"/>
                <w:i w:val="0"/>
                <w:iCs w:val="0"/>
                <w:snapToGrid w:val="0"/>
                <w:color w:val="000000"/>
                <w:kern w:val="0"/>
                <w:sz w:val="24"/>
                <w:szCs w:val="24"/>
                <w:u w:val="none"/>
                <w:bdr w:val="none" w:color="auto" w:sz="0" w:space="0"/>
                <w:lang w:val="en-US" w:eastAsia="zh-CN" w:bidi="ar"/>
              </w:rPr>
              <w:t>≤16万元</w:t>
            </w:r>
          </w:p>
        </w:tc>
      </w:tr>
      <w:tr w14:paraId="415B5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42E74AAD">
            <w:pPr>
              <w:keepNext w:val="0"/>
              <w:keepLines w:val="0"/>
              <w:widowControl/>
              <w:suppressLineNumbers w:val="0"/>
              <w:jc w:val="center"/>
              <w:textAlignment w:val="center"/>
              <w:rPr>
                <w:rFonts w:hint="default" w:ascii="微软雅黑" w:hAnsi="微软雅黑" w:eastAsia="微软雅黑" w:cs="微软雅黑"/>
                <w:i w:val="0"/>
                <w:iCs w:val="0"/>
                <w:color w:val="000000"/>
                <w:sz w:val="24"/>
                <w:szCs w:val="24"/>
                <w:u w:val="none"/>
              </w:rPr>
            </w:pPr>
            <w:r>
              <w:rPr>
                <w:rFonts w:hint="default" w:ascii="微软雅黑" w:hAnsi="微软雅黑" w:eastAsia="微软雅黑" w:cs="微软雅黑"/>
                <w:i w:val="0"/>
                <w:iCs w:val="0"/>
                <w:snapToGrid w:val="0"/>
                <w:color w:val="000000"/>
                <w:kern w:val="0"/>
                <w:sz w:val="24"/>
                <w:szCs w:val="24"/>
                <w:u w:val="none"/>
                <w:bdr w:val="none" w:color="auto" w:sz="0" w:space="0"/>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EFB17DE">
            <w:pPr>
              <w:keepNext w:val="0"/>
              <w:keepLines w:val="0"/>
              <w:widowControl/>
              <w:suppressLineNumbers w:val="0"/>
              <w:jc w:val="center"/>
              <w:textAlignment w:val="center"/>
              <w:rPr>
                <w:rFonts w:hint="default" w:ascii="微软雅黑" w:hAnsi="微软雅黑" w:eastAsia="微软雅黑" w:cs="微软雅黑"/>
                <w:i w:val="0"/>
                <w:iCs w:val="0"/>
                <w:color w:val="000000"/>
                <w:sz w:val="24"/>
                <w:szCs w:val="24"/>
                <w:u w:val="none"/>
              </w:rPr>
            </w:pPr>
            <w:r>
              <w:rPr>
                <w:rFonts w:hint="default" w:ascii="微软雅黑" w:hAnsi="微软雅黑" w:eastAsia="微软雅黑" w:cs="微软雅黑"/>
                <w:i w:val="0"/>
                <w:iCs w:val="0"/>
                <w:snapToGrid w:val="0"/>
                <w:color w:val="000000"/>
                <w:kern w:val="0"/>
                <w:sz w:val="24"/>
                <w:szCs w:val="24"/>
                <w:u w:val="none"/>
                <w:bdr w:val="none" w:color="auto" w:sz="0" w:space="0"/>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F9781E5">
            <w:pPr>
              <w:keepNext w:val="0"/>
              <w:keepLines w:val="0"/>
              <w:widowControl/>
              <w:suppressLineNumbers w:val="0"/>
              <w:jc w:val="center"/>
              <w:textAlignment w:val="center"/>
              <w:rPr>
                <w:rFonts w:hint="default" w:ascii="微软雅黑" w:hAnsi="微软雅黑" w:eastAsia="微软雅黑" w:cs="微软雅黑"/>
                <w:i w:val="0"/>
                <w:iCs w:val="0"/>
                <w:color w:val="000000"/>
                <w:sz w:val="24"/>
                <w:szCs w:val="24"/>
                <w:u w:val="none"/>
              </w:rPr>
            </w:pPr>
            <w:r>
              <w:rPr>
                <w:rFonts w:hint="default" w:ascii="微软雅黑" w:hAnsi="微软雅黑" w:eastAsia="微软雅黑" w:cs="微软雅黑"/>
                <w:i w:val="0"/>
                <w:iCs w:val="0"/>
                <w:snapToGrid w:val="0"/>
                <w:color w:val="000000"/>
                <w:kern w:val="0"/>
                <w:sz w:val="24"/>
                <w:szCs w:val="24"/>
                <w:u w:val="none"/>
                <w:bdr w:val="none" w:color="auto" w:sz="0" w:space="0"/>
                <w:lang w:val="en-US" w:eastAsia="zh-CN" w:bidi="ar"/>
              </w:rPr>
              <w:t>珠山区肇事肇祸等严重精神障碍患者收治人数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9E8F46B">
            <w:pPr>
              <w:keepNext w:val="0"/>
              <w:keepLines w:val="0"/>
              <w:widowControl/>
              <w:suppressLineNumbers w:val="0"/>
              <w:jc w:val="center"/>
              <w:textAlignment w:val="center"/>
              <w:rPr>
                <w:rFonts w:hint="default" w:ascii="微软雅黑" w:hAnsi="微软雅黑" w:eastAsia="微软雅黑" w:cs="微软雅黑"/>
                <w:i w:val="0"/>
                <w:iCs w:val="0"/>
                <w:color w:val="000000"/>
                <w:sz w:val="24"/>
                <w:szCs w:val="24"/>
                <w:u w:val="none"/>
              </w:rPr>
            </w:pPr>
            <w:r>
              <w:rPr>
                <w:rFonts w:hint="default" w:ascii="微软雅黑" w:hAnsi="微软雅黑" w:eastAsia="微软雅黑" w:cs="微软雅黑"/>
                <w:i w:val="0"/>
                <w:iCs w:val="0"/>
                <w:snapToGrid w:val="0"/>
                <w:color w:val="000000"/>
                <w:kern w:val="0"/>
                <w:sz w:val="24"/>
                <w:szCs w:val="24"/>
                <w:u w:val="none"/>
                <w:bdr w:val="none" w:color="auto" w:sz="0" w:space="0"/>
                <w:lang w:val="en-US" w:eastAsia="zh-CN" w:bidi="ar"/>
              </w:rPr>
              <w:t>≥50人</w:t>
            </w:r>
          </w:p>
        </w:tc>
      </w:tr>
      <w:tr w14:paraId="7FB06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AD03232">
            <w:pPr>
              <w:jc w:val="center"/>
              <w:rPr>
                <w:rFonts w:hint="default" w:ascii="微软雅黑" w:hAnsi="微软雅黑" w:eastAsia="微软雅黑" w:cs="微软雅黑"/>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267384F">
            <w:pPr>
              <w:keepNext w:val="0"/>
              <w:keepLines w:val="0"/>
              <w:widowControl/>
              <w:suppressLineNumbers w:val="0"/>
              <w:jc w:val="center"/>
              <w:textAlignment w:val="center"/>
              <w:rPr>
                <w:rFonts w:hint="default" w:ascii="微软雅黑" w:hAnsi="微软雅黑" w:eastAsia="微软雅黑" w:cs="微软雅黑"/>
                <w:i w:val="0"/>
                <w:iCs w:val="0"/>
                <w:color w:val="000000"/>
                <w:sz w:val="24"/>
                <w:szCs w:val="24"/>
                <w:u w:val="none"/>
              </w:rPr>
            </w:pPr>
            <w:r>
              <w:rPr>
                <w:rFonts w:hint="default" w:ascii="微软雅黑" w:hAnsi="微软雅黑" w:eastAsia="微软雅黑" w:cs="微软雅黑"/>
                <w:i w:val="0"/>
                <w:iCs w:val="0"/>
                <w:snapToGrid w:val="0"/>
                <w:color w:val="000000"/>
                <w:kern w:val="0"/>
                <w:sz w:val="24"/>
                <w:szCs w:val="24"/>
                <w:u w:val="none"/>
                <w:bdr w:val="none" w:color="auto" w:sz="0" w:space="0"/>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0912A06">
            <w:pPr>
              <w:keepNext w:val="0"/>
              <w:keepLines w:val="0"/>
              <w:widowControl/>
              <w:suppressLineNumbers w:val="0"/>
              <w:jc w:val="center"/>
              <w:textAlignment w:val="center"/>
              <w:rPr>
                <w:rFonts w:hint="default" w:ascii="微软雅黑" w:hAnsi="微软雅黑" w:eastAsia="微软雅黑" w:cs="微软雅黑"/>
                <w:i w:val="0"/>
                <w:iCs w:val="0"/>
                <w:color w:val="000000"/>
                <w:sz w:val="24"/>
                <w:szCs w:val="24"/>
                <w:u w:val="none"/>
              </w:rPr>
            </w:pPr>
            <w:r>
              <w:rPr>
                <w:rFonts w:hint="default" w:ascii="微软雅黑" w:hAnsi="微软雅黑" w:eastAsia="微软雅黑" w:cs="微软雅黑"/>
                <w:i w:val="0"/>
                <w:iCs w:val="0"/>
                <w:snapToGrid w:val="0"/>
                <w:color w:val="000000"/>
                <w:kern w:val="0"/>
                <w:sz w:val="24"/>
                <w:szCs w:val="24"/>
                <w:u w:val="none"/>
                <w:bdr w:val="none" w:color="auto" w:sz="0" w:space="0"/>
                <w:lang w:val="en-US" w:eastAsia="zh-CN" w:bidi="ar"/>
              </w:rPr>
              <w:t>肇事肇祸等严重精神障碍患者肇事肇祸发生率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EF6ED61">
            <w:pPr>
              <w:keepNext w:val="0"/>
              <w:keepLines w:val="0"/>
              <w:widowControl/>
              <w:suppressLineNumbers w:val="0"/>
              <w:jc w:val="center"/>
              <w:textAlignment w:val="center"/>
              <w:rPr>
                <w:rFonts w:hint="default" w:ascii="微软雅黑" w:hAnsi="微软雅黑" w:eastAsia="微软雅黑" w:cs="微软雅黑"/>
                <w:i w:val="0"/>
                <w:iCs w:val="0"/>
                <w:color w:val="000000"/>
                <w:sz w:val="24"/>
                <w:szCs w:val="24"/>
                <w:u w:val="none"/>
              </w:rPr>
            </w:pPr>
            <w:r>
              <w:rPr>
                <w:rFonts w:hint="default" w:ascii="微软雅黑" w:hAnsi="微软雅黑" w:eastAsia="微软雅黑" w:cs="微软雅黑"/>
                <w:i w:val="0"/>
                <w:iCs w:val="0"/>
                <w:snapToGrid w:val="0"/>
                <w:color w:val="000000"/>
                <w:kern w:val="0"/>
                <w:sz w:val="24"/>
                <w:szCs w:val="24"/>
                <w:u w:val="none"/>
                <w:bdr w:val="none" w:color="auto" w:sz="0" w:space="0"/>
                <w:lang w:val="en-US" w:eastAsia="zh-CN" w:bidi="ar"/>
              </w:rPr>
              <w:t>≤5%</w:t>
            </w:r>
          </w:p>
        </w:tc>
      </w:tr>
      <w:tr w14:paraId="171E2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6C54909">
            <w:pPr>
              <w:jc w:val="center"/>
              <w:rPr>
                <w:rFonts w:hint="default" w:ascii="微软雅黑" w:hAnsi="微软雅黑" w:eastAsia="微软雅黑" w:cs="微软雅黑"/>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407F887">
            <w:pPr>
              <w:keepNext w:val="0"/>
              <w:keepLines w:val="0"/>
              <w:widowControl/>
              <w:suppressLineNumbers w:val="0"/>
              <w:jc w:val="center"/>
              <w:textAlignment w:val="center"/>
              <w:rPr>
                <w:rFonts w:hint="default" w:ascii="微软雅黑" w:hAnsi="微软雅黑" w:eastAsia="微软雅黑" w:cs="微软雅黑"/>
                <w:i w:val="0"/>
                <w:iCs w:val="0"/>
                <w:color w:val="000000"/>
                <w:sz w:val="24"/>
                <w:szCs w:val="24"/>
                <w:u w:val="none"/>
              </w:rPr>
            </w:pPr>
            <w:r>
              <w:rPr>
                <w:rFonts w:hint="default" w:ascii="微软雅黑" w:hAnsi="微软雅黑" w:eastAsia="微软雅黑" w:cs="微软雅黑"/>
                <w:i w:val="0"/>
                <w:iCs w:val="0"/>
                <w:snapToGrid w:val="0"/>
                <w:color w:val="000000"/>
                <w:kern w:val="0"/>
                <w:sz w:val="24"/>
                <w:szCs w:val="24"/>
                <w:u w:val="none"/>
                <w:bdr w:val="none" w:color="auto" w:sz="0" w:space="0"/>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90F5791">
            <w:pPr>
              <w:keepNext w:val="0"/>
              <w:keepLines w:val="0"/>
              <w:widowControl/>
              <w:suppressLineNumbers w:val="0"/>
              <w:jc w:val="center"/>
              <w:textAlignment w:val="center"/>
              <w:rPr>
                <w:rFonts w:hint="default" w:ascii="微软雅黑" w:hAnsi="微软雅黑" w:eastAsia="微软雅黑" w:cs="微软雅黑"/>
                <w:i w:val="0"/>
                <w:iCs w:val="0"/>
                <w:color w:val="000000"/>
                <w:sz w:val="24"/>
                <w:szCs w:val="24"/>
                <w:u w:val="none"/>
              </w:rPr>
            </w:pPr>
            <w:r>
              <w:rPr>
                <w:rFonts w:hint="default" w:ascii="微软雅黑" w:hAnsi="微软雅黑" w:eastAsia="微软雅黑" w:cs="微软雅黑"/>
                <w:i w:val="0"/>
                <w:iCs w:val="0"/>
                <w:snapToGrid w:val="0"/>
                <w:color w:val="000000"/>
                <w:kern w:val="0"/>
                <w:sz w:val="24"/>
                <w:szCs w:val="24"/>
                <w:u w:val="none"/>
                <w:bdr w:val="none" w:color="auto" w:sz="0" w:space="0"/>
                <w:lang w:val="en-US" w:eastAsia="zh-CN" w:bidi="ar"/>
              </w:rPr>
              <w:t>区财政局资金资金下达资金及时率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1CD6320">
            <w:pPr>
              <w:keepNext w:val="0"/>
              <w:keepLines w:val="0"/>
              <w:widowControl/>
              <w:suppressLineNumbers w:val="0"/>
              <w:jc w:val="center"/>
              <w:textAlignment w:val="center"/>
              <w:rPr>
                <w:rFonts w:hint="default" w:ascii="微软雅黑" w:hAnsi="微软雅黑" w:eastAsia="微软雅黑" w:cs="微软雅黑"/>
                <w:i w:val="0"/>
                <w:iCs w:val="0"/>
                <w:color w:val="000000"/>
                <w:sz w:val="24"/>
                <w:szCs w:val="24"/>
                <w:u w:val="none"/>
              </w:rPr>
            </w:pPr>
            <w:r>
              <w:rPr>
                <w:rFonts w:hint="default" w:ascii="微软雅黑" w:hAnsi="微软雅黑" w:eastAsia="微软雅黑" w:cs="微软雅黑"/>
                <w:i w:val="0"/>
                <w:iCs w:val="0"/>
                <w:snapToGrid w:val="0"/>
                <w:color w:val="000000"/>
                <w:kern w:val="0"/>
                <w:sz w:val="24"/>
                <w:szCs w:val="24"/>
                <w:u w:val="none"/>
                <w:bdr w:val="none" w:color="auto" w:sz="0" w:space="0"/>
                <w:lang w:val="en-US" w:eastAsia="zh-CN" w:bidi="ar"/>
              </w:rPr>
              <w:t>=100%</w:t>
            </w:r>
          </w:p>
        </w:tc>
      </w:tr>
      <w:tr w14:paraId="674DB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A45FB99">
            <w:pPr>
              <w:keepNext w:val="0"/>
              <w:keepLines w:val="0"/>
              <w:widowControl/>
              <w:suppressLineNumbers w:val="0"/>
              <w:jc w:val="center"/>
              <w:textAlignment w:val="center"/>
              <w:rPr>
                <w:rFonts w:hint="default" w:ascii="微软雅黑" w:hAnsi="微软雅黑" w:eastAsia="微软雅黑" w:cs="微软雅黑"/>
                <w:i w:val="0"/>
                <w:iCs w:val="0"/>
                <w:color w:val="000000"/>
                <w:sz w:val="24"/>
                <w:szCs w:val="24"/>
                <w:u w:val="none"/>
              </w:rPr>
            </w:pPr>
            <w:r>
              <w:rPr>
                <w:rFonts w:hint="default" w:ascii="微软雅黑" w:hAnsi="微软雅黑" w:eastAsia="微软雅黑" w:cs="微软雅黑"/>
                <w:i w:val="0"/>
                <w:iCs w:val="0"/>
                <w:snapToGrid w:val="0"/>
                <w:color w:val="000000"/>
                <w:kern w:val="0"/>
                <w:sz w:val="24"/>
                <w:szCs w:val="24"/>
                <w:u w:val="none"/>
                <w:bdr w:val="none" w:color="auto" w:sz="0" w:space="0"/>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BC0CB3D">
            <w:pPr>
              <w:keepNext w:val="0"/>
              <w:keepLines w:val="0"/>
              <w:widowControl/>
              <w:suppressLineNumbers w:val="0"/>
              <w:jc w:val="center"/>
              <w:textAlignment w:val="center"/>
              <w:rPr>
                <w:rFonts w:hint="default" w:ascii="微软雅黑" w:hAnsi="微软雅黑" w:eastAsia="微软雅黑" w:cs="微软雅黑"/>
                <w:i w:val="0"/>
                <w:iCs w:val="0"/>
                <w:color w:val="000000"/>
                <w:sz w:val="24"/>
                <w:szCs w:val="24"/>
                <w:u w:val="none"/>
              </w:rPr>
            </w:pPr>
            <w:r>
              <w:rPr>
                <w:rFonts w:hint="default" w:ascii="微软雅黑" w:hAnsi="微软雅黑" w:eastAsia="微软雅黑" w:cs="微软雅黑"/>
                <w:i w:val="0"/>
                <w:iCs w:val="0"/>
                <w:snapToGrid w:val="0"/>
                <w:color w:val="000000"/>
                <w:kern w:val="0"/>
                <w:sz w:val="24"/>
                <w:szCs w:val="24"/>
                <w:u w:val="none"/>
                <w:bdr w:val="none" w:color="auto" w:sz="0" w:space="0"/>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BE75BD5">
            <w:pPr>
              <w:keepNext w:val="0"/>
              <w:keepLines w:val="0"/>
              <w:widowControl/>
              <w:suppressLineNumbers w:val="0"/>
              <w:jc w:val="center"/>
              <w:textAlignment w:val="center"/>
              <w:rPr>
                <w:rFonts w:hint="default" w:ascii="微软雅黑" w:hAnsi="微软雅黑" w:eastAsia="微软雅黑" w:cs="微软雅黑"/>
                <w:i w:val="0"/>
                <w:iCs w:val="0"/>
                <w:color w:val="000000"/>
                <w:sz w:val="24"/>
                <w:szCs w:val="24"/>
                <w:u w:val="none"/>
              </w:rPr>
            </w:pPr>
            <w:r>
              <w:rPr>
                <w:rFonts w:hint="default" w:ascii="微软雅黑" w:hAnsi="微软雅黑" w:eastAsia="微软雅黑" w:cs="微软雅黑"/>
                <w:i w:val="0"/>
                <w:iCs w:val="0"/>
                <w:snapToGrid w:val="0"/>
                <w:color w:val="000000"/>
                <w:kern w:val="0"/>
                <w:sz w:val="24"/>
                <w:szCs w:val="24"/>
                <w:u w:val="none"/>
                <w:bdr w:val="none" w:color="auto" w:sz="0" w:space="0"/>
                <w:lang w:val="en-US" w:eastAsia="zh-CN" w:bidi="ar"/>
              </w:rPr>
              <w:t>净化社会环境，维护社会稳定</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78194E1">
            <w:pPr>
              <w:keepNext w:val="0"/>
              <w:keepLines w:val="0"/>
              <w:widowControl/>
              <w:suppressLineNumbers w:val="0"/>
              <w:jc w:val="center"/>
              <w:textAlignment w:val="center"/>
              <w:rPr>
                <w:rFonts w:hint="default" w:ascii="微软雅黑" w:hAnsi="微软雅黑" w:eastAsia="微软雅黑" w:cs="微软雅黑"/>
                <w:i w:val="0"/>
                <w:iCs w:val="0"/>
                <w:color w:val="000000"/>
                <w:sz w:val="24"/>
                <w:szCs w:val="24"/>
                <w:u w:val="none"/>
              </w:rPr>
            </w:pPr>
            <w:r>
              <w:rPr>
                <w:rFonts w:hint="default" w:ascii="微软雅黑" w:hAnsi="微软雅黑" w:eastAsia="微软雅黑" w:cs="微软雅黑"/>
                <w:i w:val="0"/>
                <w:iCs w:val="0"/>
                <w:snapToGrid w:val="0"/>
                <w:color w:val="000000"/>
                <w:kern w:val="0"/>
                <w:sz w:val="24"/>
                <w:szCs w:val="24"/>
                <w:u w:val="none"/>
                <w:bdr w:val="none" w:color="auto" w:sz="0" w:space="0"/>
                <w:lang w:val="en-US" w:eastAsia="zh-CN" w:bidi="ar"/>
              </w:rPr>
              <w:t>=100%</w:t>
            </w:r>
          </w:p>
        </w:tc>
      </w:tr>
      <w:tr w14:paraId="00076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63387E2">
            <w:pPr>
              <w:keepNext w:val="0"/>
              <w:keepLines w:val="0"/>
              <w:widowControl/>
              <w:suppressLineNumbers w:val="0"/>
              <w:jc w:val="center"/>
              <w:textAlignment w:val="center"/>
              <w:rPr>
                <w:rFonts w:hint="default" w:ascii="微软雅黑" w:hAnsi="微软雅黑" w:eastAsia="微软雅黑" w:cs="微软雅黑"/>
                <w:i w:val="0"/>
                <w:iCs w:val="0"/>
                <w:color w:val="000000"/>
                <w:sz w:val="24"/>
                <w:szCs w:val="24"/>
                <w:u w:val="none"/>
              </w:rPr>
            </w:pPr>
            <w:r>
              <w:rPr>
                <w:rFonts w:hint="default" w:ascii="微软雅黑" w:hAnsi="微软雅黑" w:eastAsia="微软雅黑" w:cs="微软雅黑"/>
                <w:i w:val="0"/>
                <w:iCs w:val="0"/>
                <w:snapToGrid w:val="0"/>
                <w:color w:val="000000"/>
                <w:kern w:val="0"/>
                <w:sz w:val="24"/>
                <w:szCs w:val="24"/>
                <w:u w:val="none"/>
                <w:bdr w:val="none" w:color="auto" w:sz="0" w:space="0"/>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ECB9882">
            <w:pPr>
              <w:keepNext w:val="0"/>
              <w:keepLines w:val="0"/>
              <w:widowControl/>
              <w:suppressLineNumbers w:val="0"/>
              <w:jc w:val="center"/>
              <w:textAlignment w:val="center"/>
              <w:rPr>
                <w:rFonts w:hint="default" w:ascii="微软雅黑" w:hAnsi="微软雅黑" w:eastAsia="微软雅黑" w:cs="微软雅黑"/>
                <w:i w:val="0"/>
                <w:iCs w:val="0"/>
                <w:color w:val="000000"/>
                <w:sz w:val="24"/>
                <w:szCs w:val="24"/>
                <w:u w:val="none"/>
              </w:rPr>
            </w:pPr>
            <w:r>
              <w:rPr>
                <w:rFonts w:hint="default" w:ascii="微软雅黑" w:hAnsi="微软雅黑" w:eastAsia="微软雅黑" w:cs="微软雅黑"/>
                <w:i w:val="0"/>
                <w:iCs w:val="0"/>
                <w:snapToGrid w:val="0"/>
                <w:color w:val="000000"/>
                <w:kern w:val="0"/>
                <w:sz w:val="24"/>
                <w:szCs w:val="24"/>
                <w:u w:val="none"/>
                <w:bdr w:val="none" w:color="auto" w:sz="0" w:space="0"/>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61BA99F">
            <w:pPr>
              <w:keepNext w:val="0"/>
              <w:keepLines w:val="0"/>
              <w:widowControl/>
              <w:suppressLineNumbers w:val="0"/>
              <w:jc w:val="center"/>
              <w:textAlignment w:val="center"/>
              <w:rPr>
                <w:rFonts w:hint="default" w:ascii="微软雅黑" w:hAnsi="微软雅黑" w:eastAsia="微软雅黑" w:cs="微软雅黑"/>
                <w:i w:val="0"/>
                <w:iCs w:val="0"/>
                <w:color w:val="000000"/>
                <w:sz w:val="24"/>
                <w:szCs w:val="24"/>
                <w:u w:val="none"/>
              </w:rPr>
            </w:pPr>
            <w:r>
              <w:rPr>
                <w:rFonts w:hint="default" w:ascii="微软雅黑" w:hAnsi="微软雅黑" w:eastAsia="微软雅黑" w:cs="微软雅黑"/>
                <w:i w:val="0"/>
                <w:iCs w:val="0"/>
                <w:snapToGrid w:val="0"/>
                <w:color w:val="000000"/>
                <w:kern w:val="0"/>
                <w:sz w:val="24"/>
                <w:szCs w:val="24"/>
                <w:u w:val="none"/>
                <w:bdr w:val="none" w:color="auto" w:sz="0" w:space="0"/>
                <w:lang w:val="en-US" w:eastAsia="zh-CN" w:bidi="ar"/>
              </w:rPr>
              <w:t>社会公众满意度</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2AC53A0">
            <w:pPr>
              <w:keepNext w:val="0"/>
              <w:keepLines w:val="0"/>
              <w:widowControl/>
              <w:suppressLineNumbers w:val="0"/>
              <w:jc w:val="center"/>
              <w:textAlignment w:val="center"/>
              <w:rPr>
                <w:rFonts w:hint="default" w:ascii="微软雅黑" w:hAnsi="微软雅黑" w:eastAsia="微软雅黑" w:cs="微软雅黑"/>
                <w:i w:val="0"/>
                <w:iCs w:val="0"/>
                <w:color w:val="000000"/>
                <w:sz w:val="24"/>
                <w:szCs w:val="24"/>
                <w:u w:val="none"/>
              </w:rPr>
            </w:pPr>
            <w:r>
              <w:rPr>
                <w:rFonts w:hint="default" w:ascii="微软雅黑" w:hAnsi="微软雅黑" w:eastAsia="微软雅黑" w:cs="微软雅黑"/>
                <w:i w:val="0"/>
                <w:iCs w:val="0"/>
                <w:snapToGrid w:val="0"/>
                <w:color w:val="000000"/>
                <w:kern w:val="0"/>
                <w:sz w:val="24"/>
                <w:szCs w:val="24"/>
                <w:u w:val="none"/>
                <w:bdr w:val="none" w:color="auto" w:sz="0" w:space="0"/>
                <w:lang w:val="en-US" w:eastAsia="zh-CN" w:bidi="ar"/>
              </w:rPr>
              <w:t>≥90%</w:t>
            </w:r>
          </w:p>
        </w:tc>
      </w:tr>
    </w:tbl>
    <w:p w14:paraId="30BEA413">
      <w:pPr>
        <w:spacing w:before="183" w:line="221" w:lineRule="auto"/>
        <w:jc w:val="center"/>
        <w:rPr>
          <w:rFonts w:hint="eastAsia" w:eastAsia="宋体"/>
          <w:lang w:eastAsia="zh-CN"/>
        </w:rPr>
        <w:sectPr>
          <w:pgSz w:w="11907" w:h="16839"/>
          <w:pgMar w:top="1008" w:right="0" w:bottom="996" w:left="1012" w:header="0" w:footer="0" w:gutter="0"/>
          <w:cols w:equalWidth="0" w:num="1">
            <w:col w:w="14835"/>
          </w:cols>
        </w:sectPr>
      </w:pPr>
    </w:p>
    <w:p w14:paraId="3646D3A8">
      <w:pPr>
        <w:spacing w:before="316" w:line="221" w:lineRule="auto"/>
        <w:rPr>
          <w:rFonts w:ascii="Arial"/>
          <w:sz w:val="21"/>
        </w:rPr>
      </w:pPr>
      <w:r>
        <w:rPr>
          <w:rFonts w:hint="eastAsia" w:eastAsia="宋体"/>
          <w:lang w:val="en-US" w:eastAsia="zh-CN"/>
        </w:rPr>
        <w:t xml:space="preserve">                    </w:t>
      </w:r>
    </w:p>
    <w:p w14:paraId="4C9D1B5D">
      <w:pPr>
        <w:spacing w:line="358" w:lineRule="auto"/>
        <w:rPr>
          <w:rFonts w:ascii="Arial"/>
          <w:sz w:val="21"/>
        </w:rPr>
      </w:pPr>
    </w:p>
    <w:p w14:paraId="7750E1AE">
      <w:pPr>
        <w:pStyle w:val="2"/>
        <w:numPr>
          <w:ilvl w:val="0"/>
          <w:numId w:val="1"/>
        </w:numPr>
        <w:spacing w:before="101" w:line="228" w:lineRule="auto"/>
        <w:ind w:left="585"/>
        <w:rPr>
          <w:rFonts w:hint="eastAsia"/>
          <w:spacing w:val="7"/>
          <w:lang w:eastAsia="zh-CN"/>
          <w14:textOutline w14:w="4064" w14:cap="flat" w14:cmpd="sng">
            <w14:solidFill>
              <w14:srgbClr w14:val="000000"/>
            </w14:solidFill>
            <w14:prstDash w14:val="solid"/>
            <w14:miter w14:val="0"/>
          </w14:textOutline>
        </w:rPr>
      </w:pPr>
      <w:r>
        <w:rPr>
          <w:spacing w:val="7"/>
        </w:rPr>
        <w:t xml:space="preserve"> </w:t>
      </w:r>
      <w:r>
        <w:rPr>
          <w:rFonts w:hint="eastAsia"/>
          <w:spacing w:val="7"/>
          <w:lang w:eastAsia="zh-CN"/>
          <w14:textOutline w14:w="4064" w14:cap="flat" w14:cmpd="sng">
            <w14:solidFill>
              <w14:srgbClr w14:val="000000"/>
            </w14:solidFill>
            <w14:prstDash w14:val="solid"/>
            <w14:miter w14:val="0"/>
          </w14:textOutline>
        </w:rPr>
        <w:t>中共景德镇市珠山区委政法委员会</w:t>
      </w:r>
    </w:p>
    <w:p w14:paraId="48171600">
      <w:pPr>
        <w:pStyle w:val="2"/>
        <w:numPr>
          <w:ilvl w:val="0"/>
          <w:numId w:val="0"/>
        </w:numPr>
        <w:spacing w:before="101" w:line="228" w:lineRule="auto"/>
        <w:ind w:firstLine="1674" w:firstLineChars="900"/>
      </w:pPr>
      <w:r>
        <w:rPr>
          <w:spacing w:val="-62"/>
        </w:rPr>
        <w:t xml:space="preserve"> </w:t>
      </w:r>
      <w:r>
        <w:rPr>
          <w:rFonts w:hint="eastAsia"/>
          <w:spacing w:val="7"/>
          <w:lang w:eastAsia="zh-CN"/>
          <w14:textOutline w14:w="4064" w14:cap="flat" w14:cmpd="sng">
            <w14:solidFill>
              <w14:srgbClr w14:val="000000"/>
            </w14:solidFill>
            <w14:prstDash w14:val="solid"/>
            <w14:miter w14:val="0"/>
          </w14:textOutline>
        </w:rPr>
        <w:t>2026</w:t>
      </w:r>
      <w:r>
        <w:rPr>
          <w:spacing w:val="-49"/>
        </w:rPr>
        <w:t xml:space="preserve"> </w:t>
      </w:r>
      <w:r>
        <w:rPr>
          <w:spacing w:val="7"/>
          <w14:textOutline w14:w="4064" w14:cap="flat" w14:cmpd="sng">
            <w14:solidFill>
              <w14:srgbClr w14:val="000000"/>
            </w14:solidFill>
            <w14:prstDash w14:val="solid"/>
            <w14:miter w14:val="0"/>
          </w14:textOutline>
        </w:rPr>
        <w:t>年部门预算情况说明</w:t>
      </w:r>
    </w:p>
    <w:p w14:paraId="01828143">
      <w:pPr>
        <w:spacing w:line="335" w:lineRule="auto"/>
        <w:rPr>
          <w:rFonts w:ascii="Arial"/>
          <w:sz w:val="21"/>
        </w:rPr>
      </w:pPr>
    </w:p>
    <w:p w14:paraId="3A298010">
      <w:pPr>
        <w:spacing w:line="336" w:lineRule="auto"/>
        <w:rPr>
          <w:rFonts w:ascii="Arial"/>
          <w:sz w:val="21"/>
        </w:rPr>
      </w:pPr>
    </w:p>
    <w:p w14:paraId="54C423FC">
      <w:pPr>
        <w:spacing w:before="100" w:line="230" w:lineRule="auto"/>
        <w:ind w:left="672"/>
        <w:outlineLvl w:val="2"/>
        <w:rPr>
          <w:rFonts w:ascii="楷体" w:hAnsi="楷体" w:eastAsia="楷体" w:cs="楷体"/>
          <w:sz w:val="31"/>
          <w:szCs w:val="31"/>
        </w:rPr>
      </w:pPr>
      <w:r>
        <w:rPr>
          <w:rFonts w:ascii="楷体" w:hAnsi="楷体" w:eastAsia="楷体" w:cs="楷体"/>
          <w:b/>
          <w:bCs/>
          <w:spacing w:val="4"/>
          <w:sz w:val="31"/>
          <w:szCs w:val="31"/>
        </w:rPr>
        <w:t>一、</w:t>
      </w:r>
      <w:r>
        <w:rPr>
          <w:rFonts w:hint="eastAsia" w:ascii="楷体" w:hAnsi="楷体" w:eastAsia="楷体" w:cs="楷体"/>
          <w:b/>
          <w:bCs/>
          <w:spacing w:val="4"/>
          <w:sz w:val="31"/>
          <w:szCs w:val="31"/>
          <w:lang w:eastAsia="zh-CN"/>
        </w:rPr>
        <w:t>2026</w:t>
      </w:r>
      <w:r>
        <w:rPr>
          <w:rFonts w:ascii="楷体" w:hAnsi="楷体" w:eastAsia="楷体" w:cs="楷体"/>
          <w:spacing w:val="-49"/>
          <w:sz w:val="31"/>
          <w:szCs w:val="31"/>
        </w:rPr>
        <w:t xml:space="preserve"> </w:t>
      </w:r>
      <w:r>
        <w:rPr>
          <w:rFonts w:ascii="楷体" w:hAnsi="楷体" w:eastAsia="楷体" w:cs="楷体"/>
          <w:b/>
          <w:bCs/>
          <w:spacing w:val="4"/>
          <w:sz w:val="31"/>
          <w:szCs w:val="31"/>
        </w:rPr>
        <w:t>年部门预算收支情况说明</w:t>
      </w:r>
    </w:p>
    <w:p w14:paraId="446CB88F">
      <w:pPr>
        <w:pStyle w:val="2"/>
        <w:spacing w:before="213" w:line="227" w:lineRule="auto"/>
        <w:ind w:left="680"/>
        <w:outlineLvl w:val="3"/>
        <w:rPr>
          <w:rFonts w:hint="eastAsia" w:eastAsia="仿宋"/>
          <w:lang w:eastAsia="zh-CN"/>
        </w:rPr>
      </w:pPr>
      <w:r>
        <w:rPr>
          <w:b/>
          <w:bCs/>
          <w:spacing w:val="4"/>
        </w:rPr>
        <w:t>（一）收入预算情况</w:t>
      </w:r>
    </w:p>
    <w:p w14:paraId="4C5D77F0">
      <w:pPr>
        <w:pStyle w:val="2"/>
        <w:spacing w:before="220" w:line="357" w:lineRule="auto"/>
        <w:ind w:left="29" w:right="15" w:firstLine="650"/>
        <w:jc w:val="both"/>
      </w:pPr>
      <w:r>
        <w:rPr>
          <w:rFonts w:hint="eastAsia"/>
          <w:spacing w:val="11"/>
          <w:lang w:eastAsia="zh-CN"/>
        </w:rPr>
        <w:t>2026</w:t>
      </w:r>
      <w:r>
        <w:rPr>
          <w:spacing w:val="-46"/>
        </w:rPr>
        <w:t xml:space="preserve"> </w:t>
      </w:r>
      <w:r>
        <w:rPr>
          <w:spacing w:val="11"/>
        </w:rPr>
        <w:t>年</w:t>
      </w:r>
      <w:r>
        <w:rPr>
          <w:rFonts w:hint="eastAsia"/>
          <w:spacing w:val="11"/>
          <w:lang w:eastAsia="zh-CN"/>
        </w:rPr>
        <w:t>中共景德镇市珠山区委政法委员会</w:t>
      </w:r>
      <w:r>
        <w:rPr>
          <w:spacing w:val="11"/>
        </w:rPr>
        <w:t>收入预算总额为</w:t>
      </w:r>
      <w:r>
        <w:rPr>
          <w:spacing w:val="-38"/>
        </w:rPr>
        <w:t xml:space="preserve"> </w:t>
      </w:r>
      <w:r>
        <w:rPr>
          <w:rFonts w:hint="eastAsia"/>
          <w:spacing w:val="11"/>
          <w:lang w:val="en-US" w:eastAsia="zh-CN"/>
        </w:rPr>
        <w:t>1341.77</w:t>
      </w:r>
      <w:r>
        <w:rPr>
          <w:spacing w:val="10"/>
        </w:rPr>
        <w:t>万元,</w:t>
      </w:r>
      <w:r>
        <w:t xml:space="preserve"> </w:t>
      </w:r>
      <w:r>
        <w:rPr>
          <w:spacing w:val="10"/>
        </w:rPr>
        <w:t>较上年预算安排</w:t>
      </w:r>
      <w:r>
        <w:rPr>
          <w:rFonts w:hint="eastAsia"/>
          <w:spacing w:val="10"/>
          <w:lang w:eastAsia="zh-CN"/>
        </w:rPr>
        <w:t>增加</w:t>
      </w:r>
      <w:r>
        <w:rPr>
          <w:rFonts w:hint="eastAsia"/>
          <w:spacing w:val="10"/>
          <w:lang w:val="en-US" w:eastAsia="zh-CN"/>
        </w:rPr>
        <w:t>29.</w:t>
      </w:r>
      <w:r>
        <w:rPr>
          <w:rFonts w:hint="eastAsia"/>
          <w:spacing w:val="11"/>
          <w:lang w:val="en-US" w:eastAsia="zh-CN"/>
        </w:rPr>
        <w:t>58</w:t>
      </w:r>
      <w:r>
        <w:rPr>
          <w:rFonts w:hint="eastAsia"/>
          <w:spacing w:val="11"/>
          <w:lang w:eastAsia="zh-CN"/>
        </w:rPr>
        <w:t>万元，主要原因是：</w:t>
      </w:r>
      <w:r>
        <w:rPr>
          <w:rFonts w:hint="eastAsia"/>
          <w:spacing w:val="11"/>
          <w:lang w:val="en-US" w:eastAsia="zh-CN"/>
        </w:rPr>
        <w:t xml:space="preserve">增加了专职网格员工资 </w:t>
      </w:r>
      <w:r>
        <w:rPr>
          <w:rFonts w:hint="eastAsia"/>
          <w:spacing w:val="11"/>
          <w:lang w:eastAsia="zh-CN"/>
        </w:rPr>
        <w:t xml:space="preserve">;财政拨款收入 </w:t>
      </w:r>
      <w:r>
        <w:rPr>
          <w:rFonts w:hint="eastAsia"/>
          <w:spacing w:val="11"/>
          <w:lang w:val="en-US" w:eastAsia="zh-CN"/>
        </w:rPr>
        <w:t>1341.77</w:t>
      </w:r>
      <w:r>
        <w:rPr>
          <w:spacing w:val="10"/>
        </w:rPr>
        <w:t>万元,较上年预算安排</w:t>
      </w:r>
      <w:r>
        <w:rPr>
          <w:rFonts w:hint="eastAsia"/>
          <w:spacing w:val="10"/>
          <w:lang w:eastAsia="zh-CN"/>
        </w:rPr>
        <w:t>增加</w:t>
      </w:r>
      <w:r>
        <w:rPr>
          <w:rFonts w:hint="eastAsia"/>
          <w:spacing w:val="10"/>
          <w:lang w:val="en-US" w:eastAsia="zh-CN"/>
        </w:rPr>
        <w:t>49.58</w:t>
      </w:r>
      <w:r>
        <w:rPr>
          <w:spacing w:val="-37"/>
        </w:rPr>
        <w:t xml:space="preserve"> </w:t>
      </w:r>
      <w:r>
        <w:rPr>
          <w:spacing w:val="9"/>
        </w:rPr>
        <w:t>万元;上年结转（结余）</w:t>
      </w:r>
      <w:r>
        <w:rPr>
          <w:rFonts w:hint="eastAsia"/>
          <w:spacing w:val="9"/>
          <w:lang w:val="en-US" w:eastAsia="zh-CN"/>
        </w:rPr>
        <w:t>0</w:t>
      </w:r>
      <w:r>
        <w:rPr>
          <w:spacing w:val="9"/>
        </w:rPr>
        <w:t>万元,</w:t>
      </w:r>
      <w:r>
        <w:rPr>
          <w:spacing w:val="10"/>
        </w:rPr>
        <w:t>较上年预算安排</w:t>
      </w:r>
      <w:r>
        <w:rPr>
          <w:rFonts w:hint="eastAsia"/>
          <w:spacing w:val="10"/>
          <w:lang w:eastAsia="zh-CN"/>
        </w:rPr>
        <w:t>增加</w:t>
      </w:r>
      <w:r>
        <w:rPr>
          <w:rFonts w:hint="eastAsia"/>
          <w:spacing w:val="10"/>
          <w:lang w:val="en-US" w:eastAsia="zh-CN"/>
        </w:rPr>
        <w:t>0</w:t>
      </w:r>
      <w:r>
        <w:rPr>
          <w:spacing w:val="-38"/>
        </w:rPr>
        <w:t xml:space="preserve"> </w:t>
      </w:r>
      <w:r>
        <w:rPr>
          <w:spacing w:val="10"/>
        </w:rPr>
        <w:t>万元</w:t>
      </w:r>
      <w:r>
        <w:rPr>
          <w:spacing w:val="3"/>
        </w:rPr>
        <w:t>。</w:t>
      </w:r>
    </w:p>
    <w:p w14:paraId="714CA453">
      <w:pPr>
        <w:pStyle w:val="2"/>
        <w:spacing w:before="1" w:line="227" w:lineRule="auto"/>
        <w:ind w:left="680"/>
        <w:outlineLvl w:val="3"/>
      </w:pPr>
      <w:r>
        <w:rPr>
          <w:b/>
          <w:bCs/>
          <w:spacing w:val="4"/>
        </w:rPr>
        <w:t>（二）支出预算情况</w:t>
      </w:r>
    </w:p>
    <w:p w14:paraId="35DFECA0">
      <w:pPr>
        <w:pStyle w:val="2"/>
        <w:spacing w:before="222" w:line="357" w:lineRule="auto"/>
        <w:ind w:left="36" w:right="15" w:firstLine="643"/>
      </w:pPr>
      <w:r>
        <w:rPr>
          <w:rFonts w:hint="eastAsia"/>
          <w:spacing w:val="11"/>
          <w:lang w:eastAsia="zh-CN"/>
        </w:rPr>
        <w:t>2026</w:t>
      </w:r>
      <w:r>
        <w:rPr>
          <w:spacing w:val="-46"/>
        </w:rPr>
        <w:t xml:space="preserve"> </w:t>
      </w:r>
      <w:r>
        <w:rPr>
          <w:spacing w:val="11"/>
        </w:rPr>
        <w:t>年</w:t>
      </w:r>
      <w:r>
        <w:rPr>
          <w:rFonts w:hint="eastAsia"/>
          <w:spacing w:val="11"/>
          <w:lang w:eastAsia="zh-CN"/>
        </w:rPr>
        <w:t>中共景德镇市珠山区委政法委员会</w:t>
      </w:r>
      <w:r>
        <w:rPr>
          <w:spacing w:val="11"/>
        </w:rPr>
        <w:t>支出预算总额为</w:t>
      </w:r>
      <w:r>
        <w:rPr>
          <w:spacing w:val="-38"/>
        </w:rPr>
        <w:t xml:space="preserve"> </w:t>
      </w:r>
      <w:r>
        <w:rPr>
          <w:rFonts w:hint="eastAsia"/>
          <w:spacing w:val="11"/>
          <w:lang w:val="en-US" w:eastAsia="zh-CN"/>
        </w:rPr>
        <w:t>1341.77</w:t>
      </w:r>
      <w:r>
        <w:rPr>
          <w:spacing w:val="-32"/>
        </w:rPr>
        <w:t xml:space="preserve"> </w:t>
      </w:r>
      <w:r>
        <w:rPr>
          <w:spacing w:val="10"/>
        </w:rPr>
        <w:t>万元,</w:t>
      </w:r>
      <w:r>
        <w:t xml:space="preserve"> </w:t>
      </w:r>
      <w:r>
        <w:rPr>
          <w:spacing w:val="3"/>
        </w:rPr>
        <w:t>较上年预算安排</w:t>
      </w:r>
      <w:r>
        <w:rPr>
          <w:rFonts w:hint="eastAsia"/>
          <w:spacing w:val="10"/>
          <w:lang w:eastAsia="zh-CN"/>
        </w:rPr>
        <w:t>增加</w:t>
      </w:r>
      <w:r>
        <w:rPr>
          <w:rFonts w:hint="eastAsia"/>
          <w:spacing w:val="10"/>
          <w:lang w:val="en-US" w:eastAsia="zh-CN"/>
        </w:rPr>
        <w:t>29.58</w:t>
      </w:r>
      <w:r>
        <w:rPr>
          <w:spacing w:val="-45"/>
        </w:rPr>
        <w:t xml:space="preserve"> </w:t>
      </w:r>
      <w:r>
        <w:rPr>
          <w:spacing w:val="3"/>
        </w:rPr>
        <w:t>万元。</w:t>
      </w:r>
    </w:p>
    <w:p w14:paraId="2C3E3326">
      <w:pPr>
        <w:pStyle w:val="2"/>
        <w:spacing w:before="2" w:line="357" w:lineRule="auto"/>
        <w:ind w:left="34" w:right="13" w:firstLine="634"/>
        <w:jc w:val="both"/>
        <w:rPr>
          <w:rFonts w:hint="eastAsia"/>
          <w:spacing w:val="4"/>
          <w:lang w:eastAsia="zh-CN"/>
        </w:rPr>
      </w:pPr>
      <w:r>
        <w:rPr>
          <w:spacing w:val="5"/>
        </w:rPr>
        <w:t>按支出项目类别划分：基本支出</w:t>
      </w:r>
      <w:r>
        <w:rPr>
          <w:spacing w:val="-38"/>
        </w:rPr>
        <w:t xml:space="preserve"> </w:t>
      </w:r>
      <w:r>
        <w:rPr>
          <w:rFonts w:hint="eastAsia"/>
          <w:spacing w:val="5"/>
          <w:lang w:val="en-US" w:eastAsia="zh-CN"/>
        </w:rPr>
        <w:t>837.27</w:t>
      </w:r>
      <w:r>
        <w:rPr>
          <w:spacing w:val="5"/>
        </w:rPr>
        <w:t>万元,较上年</w:t>
      </w:r>
      <w:r>
        <w:t xml:space="preserve"> </w:t>
      </w:r>
      <w:r>
        <w:rPr>
          <w:spacing w:val="4"/>
        </w:rPr>
        <w:t>预算安排</w:t>
      </w:r>
      <w:r>
        <w:rPr>
          <w:rFonts w:hint="eastAsia"/>
          <w:spacing w:val="4"/>
          <w:lang w:eastAsia="zh-CN"/>
        </w:rPr>
        <w:t>增加</w:t>
      </w:r>
      <w:r>
        <w:rPr>
          <w:rFonts w:hint="eastAsia"/>
          <w:spacing w:val="5"/>
          <w:lang w:val="en-US" w:eastAsia="zh-CN"/>
        </w:rPr>
        <w:t>418.28</w:t>
      </w:r>
      <w:r>
        <w:rPr>
          <w:spacing w:val="4"/>
        </w:rPr>
        <w:t>万元</w:t>
      </w:r>
      <w:r>
        <w:rPr>
          <w:rFonts w:hint="eastAsia"/>
          <w:spacing w:val="4"/>
          <w:lang w:eastAsia="zh-CN"/>
        </w:rPr>
        <w:t>，主要原因是巡防员及网格员工资纳入工资福利支出</w:t>
      </w:r>
      <w:r>
        <w:rPr>
          <w:spacing w:val="4"/>
        </w:rPr>
        <w:t>;其中：工资福利支出</w:t>
      </w:r>
      <w:r>
        <w:rPr>
          <w:spacing w:val="-45"/>
        </w:rPr>
        <w:t xml:space="preserve"> </w:t>
      </w:r>
      <w:r>
        <w:rPr>
          <w:rFonts w:hint="eastAsia"/>
          <w:spacing w:val="4"/>
          <w:lang w:val="en-US" w:eastAsia="zh-CN"/>
        </w:rPr>
        <w:t>782.83</w:t>
      </w:r>
      <w:r>
        <w:rPr>
          <w:spacing w:val="15"/>
        </w:rPr>
        <w:t>万元,商品和服务</w:t>
      </w:r>
      <w:r>
        <w:rPr>
          <w:rFonts w:hint="eastAsia"/>
          <w:spacing w:val="4"/>
          <w:lang w:eastAsia="zh-CN"/>
        </w:rPr>
        <w:t>支出</w:t>
      </w:r>
      <w:r>
        <w:rPr>
          <w:rFonts w:hint="eastAsia"/>
          <w:spacing w:val="4"/>
          <w:lang w:val="en-US" w:eastAsia="zh-CN"/>
        </w:rPr>
        <w:t>16.79</w:t>
      </w:r>
      <w:r>
        <w:rPr>
          <w:rFonts w:hint="eastAsia"/>
          <w:spacing w:val="4"/>
          <w:lang w:eastAsia="zh-CN"/>
        </w:rPr>
        <w:t xml:space="preserve"> 万元,对个人和家庭的补助 </w:t>
      </w:r>
      <w:r>
        <w:rPr>
          <w:rFonts w:hint="eastAsia"/>
          <w:spacing w:val="4"/>
          <w:lang w:val="en-US" w:eastAsia="zh-CN"/>
        </w:rPr>
        <w:t>37.65</w:t>
      </w:r>
      <w:r>
        <w:rPr>
          <w:rFonts w:hint="eastAsia"/>
          <w:spacing w:val="4"/>
          <w:lang w:eastAsia="zh-CN"/>
        </w:rPr>
        <w:t>万元,资本性支出</w:t>
      </w:r>
      <w:r>
        <w:rPr>
          <w:rFonts w:hint="eastAsia"/>
          <w:spacing w:val="4"/>
          <w:lang w:val="en-US" w:eastAsia="zh-CN"/>
        </w:rPr>
        <w:t>0</w:t>
      </w:r>
      <w:r>
        <w:rPr>
          <w:rFonts w:hint="eastAsia"/>
          <w:spacing w:val="4"/>
          <w:lang w:eastAsia="zh-CN"/>
        </w:rPr>
        <w:t xml:space="preserve"> 万元。项目支出 </w:t>
      </w:r>
      <w:r>
        <w:rPr>
          <w:rFonts w:hint="eastAsia"/>
          <w:spacing w:val="4"/>
          <w:lang w:val="en-US" w:eastAsia="zh-CN"/>
        </w:rPr>
        <w:t>504.5</w:t>
      </w:r>
      <w:r>
        <w:rPr>
          <w:rFonts w:hint="eastAsia"/>
          <w:spacing w:val="4"/>
          <w:lang w:eastAsia="zh-CN"/>
        </w:rPr>
        <w:t xml:space="preserve"> 万元,较上年预算安排减少</w:t>
      </w:r>
      <w:r>
        <w:rPr>
          <w:rFonts w:hint="eastAsia"/>
          <w:spacing w:val="4"/>
          <w:lang w:val="en-US" w:eastAsia="zh-CN"/>
        </w:rPr>
        <w:t>388.7</w:t>
      </w:r>
      <w:r>
        <w:rPr>
          <w:rFonts w:hint="eastAsia"/>
          <w:spacing w:val="4"/>
          <w:lang w:eastAsia="zh-CN"/>
        </w:rPr>
        <w:t xml:space="preserve">万元，主要原因是巡防员及网格员工资纳入基本支出;其中：商品和服务支出 </w:t>
      </w:r>
      <w:r>
        <w:rPr>
          <w:rFonts w:hint="eastAsia"/>
          <w:spacing w:val="4"/>
          <w:lang w:val="en-US" w:eastAsia="zh-CN"/>
        </w:rPr>
        <w:t>486.5</w:t>
      </w:r>
      <w:r>
        <w:rPr>
          <w:rFonts w:hint="eastAsia"/>
          <w:spacing w:val="4"/>
          <w:lang w:eastAsia="zh-CN"/>
        </w:rPr>
        <w:t xml:space="preserve"> 万元,对个人和家庭支出</w:t>
      </w:r>
      <w:r>
        <w:rPr>
          <w:rFonts w:hint="eastAsia"/>
          <w:spacing w:val="4"/>
          <w:lang w:val="en-US" w:eastAsia="zh-CN"/>
        </w:rPr>
        <w:t>18万元，</w:t>
      </w:r>
      <w:r>
        <w:rPr>
          <w:rFonts w:hint="eastAsia"/>
          <w:spacing w:val="4"/>
          <w:lang w:eastAsia="zh-CN"/>
        </w:rPr>
        <w:t>资本性支出</w:t>
      </w:r>
      <w:r>
        <w:rPr>
          <w:rFonts w:hint="eastAsia"/>
          <w:spacing w:val="4"/>
          <w:lang w:val="en-US" w:eastAsia="zh-CN"/>
        </w:rPr>
        <w:t>0</w:t>
      </w:r>
      <w:r>
        <w:rPr>
          <w:rFonts w:hint="eastAsia"/>
          <w:spacing w:val="4"/>
          <w:lang w:eastAsia="zh-CN"/>
        </w:rPr>
        <w:t>万元。</w:t>
      </w:r>
    </w:p>
    <w:p w14:paraId="55F55460">
      <w:pPr>
        <w:pStyle w:val="2"/>
        <w:spacing w:before="218" w:line="357" w:lineRule="auto"/>
        <w:ind w:left="34" w:right="16" w:firstLine="33"/>
      </w:pPr>
      <w:r>
        <w:rPr>
          <w:spacing w:val="11"/>
        </w:rPr>
        <w:t>按支出功能科目划分：一般公共服务支出</w:t>
      </w:r>
      <w:r>
        <w:rPr>
          <w:spacing w:val="-45"/>
        </w:rPr>
        <w:t xml:space="preserve"> </w:t>
      </w:r>
      <w:r>
        <w:rPr>
          <w:rFonts w:hint="eastAsia"/>
          <w:spacing w:val="11"/>
          <w:lang w:val="en-US" w:eastAsia="zh-CN"/>
        </w:rPr>
        <w:t>1298.68</w:t>
      </w:r>
      <w:r>
        <w:rPr>
          <w:spacing w:val="-37"/>
        </w:rPr>
        <w:t xml:space="preserve"> </w:t>
      </w:r>
      <w:r>
        <w:rPr>
          <w:spacing w:val="10"/>
        </w:rPr>
        <w:t>万</w:t>
      </w:r>
      <w:r>
        <w:rPr>
          <w:spacing w:val="6"/>
        </w:rPr>
        <w:t>元,较上年预算安排增加</w:t>
      </w:r>
      <w:r>
        <w:rPr>
          <w:rFonts w:hint="eastAsia"/>
          <w:spacing w:val="-45"/>
          <w:lang w:val="en-US" w:eastAsia="zh-CN"/>
        </w:rPr>
        <w:t>30.6</w:t>
      </w:r>
      <w:r>
        <w:rPr>
          <w:spacing w:val="-45"/>
        </w:rPr>
        <w:t xml:space="preserve"> 万</w:t>
      </w:r>
      <w:r>
        <w:rPr>
          <w:spacing w:val="6"/>
        </w:rPr>
        <w:t>元;社会保障和就业</w:t>
      </w:r>
      <w:r>
        <w:rPr>
          <w:spacing w:val="5"/>
        </w:rPr>
        <w:t>支出</w:t>
      </w:r>
      <w:r>
        <w:t xml:space="preserve"> </w:t>
      </w:r>
      <w:r>
        <w:rPr>
          <w:rFonts w:hint="eastAsia"/>
          <w:spacing w:val="6"/>
          <w:lang w:val="en-US" w:eastAsia="zh-CN"/>
        </w:rPr>
        <w:t>19.98</w:t>
      </w:r>
      <w:r>
        <w:rPr>
          <w:spacing w:val="-42"/>
        </w:rPr>
        <w:t xml:space="preserve"> </w:t>
      </w:r>
      <w:r>
        <w:rPr>
          <w:spacing w:val="6"/>
        </w:rPr>
        <w:t>万元,较上年预算安排减少</w:t>
      </w:r>
      <w:r>
        <w:rPr>
          <w:spacing w:val="-34"/>
        </w:rPr>
        <w:t xml:space="preserve"> </w:t>
      </w:r>
      <w:r>
        <w:rPr>
          <w:rFonts w:hint="eastAsia"/>
          <w:spacing w:val="6"/>
          <w:lang w:val="en-US" w:eastAsia="zh-CN"/>
        </w:rPr>
        <w:t>0.64</w:t>
      </w:r>
      <w:r>
        <w:rPr>
          <w:spacing w:val="6"/>
        </w:rPr>
        <w:t>万</w:t>
      </w:r>
      <w:r>
        <w:rPr>
          <w:spacing w:val="5"/>
        </w:rPr>
        <w:t>元;卫生健康支</w:t>
      </w:r>
      <w:r>
        <w:rPr>
          <w:spacing w:val="7"/>
        </w:rPr>
        <w:t>出</w:t>
      </w:r>
      <w:r>
        <w:rPr>
          <w:spacing w:val="-37"/>
        </w:rPr>
        <w:t xml:space="preserve"> </w:t>
      </w:r>
      <w:r>
        <w:rPr>
          <w:rFonts w:hint="eastAsia"/>
          <w:spacing w:val="7"/>
          <w:lang w:val="en-US" w:eastAsia="zh-CN"/>
        </w:rPr>
        <w:t>8.12</w:t>
      </w:r>
      <w:r>
        <w:rPr>
          <w:spacing w:val="-40"/>
        </w:rPr>
        <w:t xml:space="preserve"> </w:t>
      </w:r>
      <w:r>
        <w:rPr>
          <w:spacing w:val="7"/>
        </w:rPr>
        <w:t>万元,较上年预算安排增加</w:t>
      </w:r>
      <w:r>
        <w:rPr>
          <w:spacing w:val="-33"/>
        </w:rPr>
        <w:t xml:space="preserve"> </w:t>
      </w:r>
      <w:r>
        <w:rPr>
          <w:rFonts w:hint="eastAsia"/>
          <w:spacing w:val="7"/>
          <w:lang w:val="en-US" w:eastAsia="zh-CN"/>
        </w:rPr>
        <w:t>0.27</w:t>
      </w:r>
      <w:r>
        <w:rPr>
          <w:spacing w:val="-37"/>
        </w:rPr>
        <w:t xml:space="preserve"> </w:t>
      </w:r>
      <w:r>
        <w:rPr>
          <w:spacing w:val="7"/>
        </w:rPr>
        <w:t>万元;住房保障</w:t>
      </w:r>
      <w:r>
        <w:t xml:space="preserve"> </w:t>
      </w:r>
      <w:r>
        <w:rPr>
          <w:spacing w:val="7"/>
        </w:rPr>
        <w:t>支出</w:t>
      </w:r>
      <w:r>
        <w:rPr>
          <w:spacing w:val="-30"/>
        </w:rPr>
        <w:t xml:space="preserve"> </w:t>
      </w:r>
      <w:r>
        <w:rPr>
          <w:rFonts w:hint="eastAsia"/>
          <w:spacing w:val="7"/>
          <w:lang w:val="en-US" w:eastAsia="zh-CN"/>
        </w:rPr>
        <w:t>14.99</w:t>
      </w:r>
      <w:r>
        <w:rPr>
          <w:spacing w:val="-37"/>
        </w:rPr>
        <w:t xml:space="preserve"> </w:t>
      </w:r>
      <w:r>
        <w:rPr>
          <w:spacing w:val="7"/>
        </w:rPr>
        <w:t>万元,较上年预算安</w:t>
      </w:r>
      <w:r>
        <w:rPr>
          <w:rFonts w:hint="eastAsia"/>
          <w:spacing w:val="7"/>
          <w:lang w:eastAsia="zh-CN"/>
        </w:rPr>
        <w:t>排减少</w:t>
      </w:r>
      <w:r>
        <w:rPr>
          <w:spacing w:val="-34"/>
        </w:rPr>
        <w:t xml:space="preserve"> </w:t>
      </w:r>
      <w:r>
        <w:rPr>
          <w:rFonts w:hint="eastAsia"/>
          <w:spacing w:val="7"/>
          <w:lang w:val="en-US" w:eastAsia="zh-CN"/>
        </w:rPr>
        <w:t>1.93</w:t>
      </w:r>
      <w:r>
        <w:rPr>
          <w:spacing w:val="7"/>
        </w:rPr>
        <w:t>万元</w:t>
      </w:r>
    </w:p>
    <w:p w14:paraId="2C1518BA">
      <w:pPr>
        <w:pStyle w:val="2"/>
        <w:spacing w:before="1" w:line="357" w:lineRule="auto"/>
        <w:ind w:left="34" w:right="13" w:firstLine="634"/>
        <w:jc w:val="both"/>
      </w:pPr>
      <w:r>
        <w:rPr>
          <w:spacing w:val="10"/>
        </w:rPr>
        <w:t>按支出经济分类划分：工资福利支出</w:t>
      </w:r>
      <w:r>
        <w:rPr>
          <w:spacing w:val="-25"/>
        </w:rPr>
        <w:t xml:space="preserve"> </w:t>
      </w:r>
      <w:r>
        <w:rPr>
          <w:rFonts w:hint="eastAsia"/>
          <w:spacing w:val="10"/>
          <w:lang w:val="en-US" w:eastAsia="zh-CN"/>
        </w:rPr>
        <w:t>782.83</w:t>
      </w:r>
      <w:r>
        <w:rPr>
          <w:spacing w:val="10"/>
        </w:rPr>
        <w:t>万元,较</w:t>
      </w:r>
      <w:r>
        <w:t xml:space="preserve"> </w:t>
      </w:r>
      <w:r>
        <w:rPr>
          <w:spacing w:val="4"/>
        </w:rPr>
        <w:t>上年预算安排</w:t>
      </w:r>
      <w:r>
        <w:rPr>
          <w:rFonts w:hint="eastAsia"/>
          <w:spacing w:val="4"/>
          <w:lang w:eastAsia="zh-CN"/>
        </w:rPr>
        <w:t>增加</w:t>
      </w:r>
      <w:r>
        <w:rPr>
          <w:rFonts w:hint="eastAsia"/>
          <w:spacing w:val="4"/>
          <w:lang w:val="en-US" w:eastAsia="zh-CN"/>
        </w:rPr>
        <w:t>434.03</w:t>
      </w:r>
      <w:r>
        <w:rPr>
          <w:spacing w:val="4"/>
        </w:rPr>
        <w:t>万元;商品和服务支出</w:t>
      </w:r>
      <w:r>
        <w:rPr>
          <w:spacing w:val="-44"/>
        </w:rPr>
        <w:t xml:space="preserve"> </w:t>
      </w:r>
      <w:r>
        <w:rPr>
          <w:rFonts w:hint="eastAsia"/>
          <w:spacing w:val="4"/>
          <w:lang w:val="en-US" w:eastAsia="zh-CN"/>
        </w:rPr>
        <w:t>521.29</w:t>
      </w:r>
      <w:r>
        <w:t xml:space="preserve"> </w:t>
      </w:r>
      <w:r>
        <w:rPr>
          <w:spacing w:val="6"/>
        </w:rPr>
        <w:t>万元,较上年预算安排减少</w:t>
      </w:r>
      <w:r>
        <w:rPr>
          <w:rFonts w:hint="eastAsia"/>
          <w:spacing w:val="4"/>
          <w:lang w:val="en-US" w:eastAsia="zh-CN"/>
        </w:rPr>
        <w:t>405.22万</w:t>
      </w:r>
      <w:r>
        <w:rPr>
          <w:spacing w:val="6"/>
        </w:rPr>
        <w:t>元;</w:t>
      </w:r>
      <w:r>
        <w:rPr>
          <w:spacing w:val="5"/>
        </w:rPr>
        <w:t>对个人和家庭的补</w:t>
      </w:r>
      <w:r>
        <w:t xml:space="preserve"> </w:t>
      </w:r>
      <w:r>
        <w:rPr>
          <w:spacing w:val="7"/>
        </w:rPr>
        <w:t>助</w:t>
      </w:r>
      <w:r>
        <w:rPr>
          <w:spacing w:val="-33"/>
        </w:rPr>
        <w:t xml:space="preserve"> </w:t>
      </w:r>
      <w:r>
        <w:rPr>
          <w:rFonts w:hint="eastAsia"/>
          <w:spacing w:val="7"/>
          <w:lang w:val="en-US" w:eastAsia="zh-CN"/>
        </w:rPr>
        <w:t>37.65</w:t>
      </w:r>
      <w:r>
        <w:rPr>
          <w:spacing w:val="7"/>
        </w:rPr>
        <w:t>万元,较上年预算安排减</w:t>
      </w:r>
      <w:r>
        <w:rPr>
          <w:spacing w:val="6"/>
        </w:rPr>
        <w:t>少</w:t>
      </w:r>
      <w:r>
        <w:rPr>
          <w:spacing w:val="-29"/>
        </w:rPr>
        <w:t xml:space="preserve"> </w:t>
      </w:r>
      <w:r>
        <w:rPr>
          <w:rFonts w:hint="eastAsia"/>
          <w:spacing w:val="6"/>
          <w:lang w:val="en-US" w:eastAsia="zh-CN"/>
        </w:rPr>
        <w:t>0.78</w:t>
      </w:r>
      <w:r>
        <w:rPr>
          <w:spacing w:val="6"/>
        </w:rPr>
        <w:t>万元;资本性</w:t>
      </w:r>
      <w:r>
        <w:t xml:space="preserve"> </w:t>
      </w:r>
      <w:r>
        <w:rPr>
          <w:spacing w:val="3"/>
        </w:rPr>
        <w:t>支出</w:t>
      </w:r>
      <w:r>
        <w:rPr>
          <w:spacing w:val="-48"/>
        </w:rPr>
        <w:t xml:space="preserve"> </w:t>
      </w:r>
      <w:r>
        <w:rPr>
          <w:rFonts w:hint="eastAsia"/>
          <w:spacing w:val="3"/>
          <w:lang w:val="en-US" w:eastAsia="zh-CN"/>
        </w:rPr>
        <w:t>0</w:t>
      </w:r>
      <w:r>
        <w:rPr>
          <w:spacing w:val="3"/>
        </w:rPr>
        <w:t>万元,</w:t>
      </w:r>
      <w:r>
        <w:rPr>
          <w:rFonts w:hint="eastAsia"/>
          <w:spacing w:val="4"/>
          <w:lang w:val="en-US" w:eastAsia="zh-CN"/>
        </w:rPr>
        <w:t>与上年持平。</w:t>
      </w:r>
    </w:p>
    <w:p w14:paraId="42794648">
      <w:pPr>
        <w:pStyle w:val="2"/>
        <w:spacing w:before="1" w:line="227" w:lineRule="auto"/>
        <w:ind w:left="838"/>
        <w:outlineLvl w:val="3"/>
      </w:pPr>
      <w:r>
        <w:rPr>
          <w:b/>
          <w:bCs/>
          <w:spacing w:val="5"/>
        </w:rPr>
        <w:t>（三）财政拨款支出情况</w:t>
      </w:r>
    </w:p>
    <w:p w14:paraId="3F456063">
      <w:pPr>
        <w:pStyle w:val="2"/>
        <w:spacing w:before="219" w:line="357" w:lineRule="auto"/>
        <w:ind w:left="44" w:right="15" w:firstLine="635"/>
        <w:rPr>
          <w:rFonts w:hint="eastAsia" w:eastAsia="仿宋"/>
          <w:lang w:eastAsia="zh-CN"/>
        </w:rPr>
      </w:pPr>
      <w:r>
        <w:rPr>
          <w:rFonts w:hint="eastAsia"/>
          <w:spacing w:val="10"/>
          <w:lang w:eastAsia="zh-CN"/>
        </w:rPr>
        <w:t>2026</w:t>
      </w:r>
      <w:r>
        <w:rPr>
          <w:spacing w:val="-51"/>
        </w:rPr>
        <w:t xml:space="preserve"> </w:t>
      </w:r>
      <w:r>
        <w:rPr>
          <w:spacing w:val="10"/>
        </w:rPr>
        <w:t>年</w:t>
      </w:r>
      <w:r>
        <w:rPr>
          <w:rFonts w:hint="eastAsia"/>
          <w:spacing w:val="10"/>
          <w:lang w:eastAsia="zh-CN"/>
        </w:rPr>
        <w:t>中共景德镇市珠山区委政法委员会</w:t>
      </w:r>
      <w:r>
        <w:rPr>
          <w:spacing w:val="10"/>
        </w:rPr>
        <w:t>财政拨款支出预算总额</w:t>
      </w:r>
      <w:r>
        <w:rPr>
          <w:spacing w:val="-41"/>
        </w:rPr>
        <w:t xml:space="preserve"> </w:t>
      </w:r>
      <w:r>
        <w:rPr>
          <w:rFonts w:hint="eastAsia"/>
          <w:spacing w:val="10"/>
          <w:lang w:val="en-US" w:eastAsia="zh-CN"/>
        </w:rPr>
        <w:t>1341.77</w:t>
      </w:r>
      <w:r>
        <w:t xml:space="preserve"> </w:t>
      </w:r>
      <w:r>
        <w:rPr>
          <w:spacing w:val="3"/>
        </w:rPr>
        <w:t>万元,</w:t>
      </w:r>
      <w:r>
        <w:rPr>
          <w:spacing w:val="10"/>
        </w:rPr>
        <w:t>较上年预算安排</w:t>
      </w:r>
      <w:r>
        <w:rPr>
          <w:rFonts w:hint="eastAsia"/>
          <w:spacing w:val="10"/>
          <w:lang w:eastAsia="zh-CN"/>
        </w:rPr>
        <w:t>增加</w:t>
      </w:r>
      <w:r>
        <w:rPr>
          <w:rFonts w:hint="eastAsia"/>
          <w:spacing w:val="10"/>
          <w:lang w:val="en-US" w:eastAsia="zh-CN"/>
        </w:rPr>
        <w:t>29.58</w:t>
      </w:r>
      <w:r>
        <w:rPr>
          <w:spacing w:val="10"/>
        </w:rPr>
        <w:t>万元</w:t>
      </w:r>
      <w:r>
        <w:rPr>
          <w:rFonts w:hint="eastAsia"/>
          <w:spacing w:val="10"/>
          <w:lang w:eastAsia="zh-CN"/>
        </w:rPr>
        <w:t>。</w:t>
      </w:r>
    </w:p>
    <w:p w14:paraId="674ADBE2">
      <w:pPr>
        <w:pStyle w:val="2"/>
        <w:spacing w:before="1" w:line="357" w:lineRule="auto"/>
        <w:ind w:left="37" w:right="16" w:firstLine="630"/>
        <w:jc w:val="both"/>
      </w:pPr>
      <w:r>
        <w:rPr>
          <w:spacing w:val="10"/>
        </w:rPr>
        <w:t>按支出功能科目划分：一般公共服务支出</w:t>
      </w:r>
      <w:r>
        <w:rPr>
          <w:rFonts w:hint="eastAsia"/>
          <w:spacing w:val="-25"/>
          <w:lang w:val="en-US" w:eastAsia="zh-CN"/>
        </w:rPr>
        <w:t>1298.68</w:t>
      </w:r>
      <w:r>
        <w:rPr>
          <w:spacing w:val="-37"/>
        </w:rPr>
        <w:t xml:space="preserve"> </w:t>
      </w:r>
      <w:r>
        <w:rPr>
          <w:spacing w:val="10"/>
        </w:rPr>
        <w:t>万</w:t>
      </w:r>
      <w:r>
        <w:t xml:space="preserve"> </w:t>
      </w:r>
      <w:r>
        <w:rPr>
          <w:spacing w:val="4"/>
        </w:rPr>
        <w:t>元,社会保障和就业支出</w:t>
      </w:r>
      <w:r>
        <w:rPr>
          <w:spacing w:val="-35"/>
        </w:rPr>
        <w:t xml:space="preserve"> </w:t>
      </w:r>
      <w:r>
        <w:rPr>
          <w:rFonts w:hint="eastAsia"/>
          <w:spacing w:val="4"/>
          <w:lang w:val="en-US" w:eastAsia="zh-CN"/>
        </w:rPr>
        <w:t>19.98</w:t>
      </w:r>
      <w:r>
        <w:rPr>
          <w:spacing w:val="4"/>
        </w:rPr>
        <w:t>万元,卫生健康支出</w:t>
      </w:r>
      <w:r>
        <w:rPr>
          <w:rFonts w:hint="eastAsia"/>
          <w:spacing w:val="-48"/>
          <w:lang w:val="en-US" w:eastAsia="zh-CN"/>
        </w:rPr>
        <w:t>8.12</w:t>
      </w:r>
      <w:r>
        <w:t xml:space="preserve"> </w:t>
      </w:r>
      <w:r>
        <w:rPr>
          <w:spacing w:val="2"/>
        </w:rPr>
        <w:t>万元,住房保障支出</w:t>
      </w:r>
      <w:r>
        <w:rPr>
          <w:spacing w:val="-35"/>
        </w:rPr>
        <w:t xml:space="preserve"> </w:t>
      </w:r>
      <w:r>
        <w:rPr>
          <w:rFonts w:hint="eastAsia"/>
          <w:spacing w:val="2"/>
          <w:lang w:val="en-US" w:eastAsia="zh-CN"/>
        </w:rPr>
        <w:t>14.99</w:t>
      </w:r>
      <w:r>
        <w:rPr>
          <w:spacing w:val="2"/>
        </w:rPr>
        <w:t>万元。</w:t>
      </w:r>
    </w:p>
    <w:p w14:paraId="1B789FA9">
      <w:pPr>
        <w:pStyle w:val="2"/>
        <w:spacing w:before="2" w:line="357" w:lineRule="auto"/>
        <w:ind w:left="34" w:right="13" w:firstLine="634"/>
        <w:jc w:val="both"/>
        <w:rPr>
          <w:spacing w:val="5"/>
        </w:rPr>
      </w:pPr>
      <w:r>
        <w:rPr>
          <w:spacing w:val="5"/>
        </w:rPr>
        <w:t>按支出项目类别划分：基本支出</w:t>
      </w:r>
      <w:r>
        <w:rPr>
          <w:spacing w:val="-38"/>
        </w:rPr>
        <w:t xml:space="preserve"> </w:t>
      </w:r>
      <w:r>
        <w:rPr>
          <w:rFonts w:hint="eastAsia"/>
          <w:spacing w:val="5"/>
          <w:lang w:val="en-US" w:eastAsia="zh-CN"/>
        </w:rPr>
        <w:t>837.27</w:t>
      </w:r>
      <w:r>
        <w:rPr>
          <w:spacing w:val="5"/>
        </w:rPr>
        <w:t>万元,较上年</w:t>
      </w:r>
      <w:r>
        <w:t xml:space="preserve"> </w:t>
      </w:r>
      <w:r>
        <w:rPr>
          <w:spacing w:val="4"/>
        </w:rPr>
        <w:t>预算安排</w:t>
      </w:r>
      <w:r>
        <w:rPr>
          <w:rFonts w:hint="eastAsia"/>
          <w:spacing w:val="4"/>
          <w:lang w:eastAsia="zh-CN"/>
        </w:rPr>
        <w:t>增加</w:t>
      </w:r>
      <w:r>
        <w:rPr>
          <w:rFonts w:hint="eastAsia"/>
          <w:spacing w:val="5"/>
          <w:lang w:val="en-US" w:eastAsia="zh-CN"/>
        </w:rPr>
        <w:t>418.28</w:t>
      </w:r>
      <w:r>
        <w:rPr>
          <w:spacing w:val="4"/>
        </w:rPr>
        <w:t>万元</w:t>
      </w:r>
      <w:r>
        <w:rPr>
          <w:rFonts w:hint="eastAsia"/>
          <w:spacing w:val="4"/>
          <w:lang w:eastAsia="zh-CN"/>
        </w:rPr>
        <w:t>，主要原因是巡防员及网格员工资纳入工资福利支出</w:t>
      </w:r>
      <w:r>
        <w:rPr>
          <w:spacing w:val="4"/>
        </w:rPr>
        <w:t>;其中：工资福利支出</w:t>
      </w:r>
      <w:r>
        <w:rPr>
          <w:spacing w:val="-45"/>
        </w:rPr>
        <w:t xml:space="preserve"> </w:t>
      </w:r>
      <w:r>
        <w:rPr>
          <w:rFonts w:hint="eastAsia"/>
          <w:spacing w:val="4"/>
          <w:lang w:val="en-US" w:eastAsia="zh-CN"/>
        </w:rPr>
        <w:t>782.83</w:t>
      </w:r>
      <w:r>
        <w:rPr>
          <w:spacing w:val="15"/>
        </w:rPr>
        <w:t>万元,商品和服务</w:t>
      </w:r>
      <w:r>
        <w:rPr>
          <w:rFonts w:hint="eastAsia"/>
          <w:spacing w:val="4"/>
          <w:lang w:eastAsia="zh-CN"/>
        </w:rPr>
        <w:t>支出</w:t>
      </w:r>
      <w:r>
        <w:rPr>
          <w:rFonts w:hint="eastAsia"/>
          <w:spacing w:val="4"/>
          <w:lang w:val="en-US" w:eastAsia="zh-CN"/>
        </w:rPr>
        <w:t>16.79</w:t>
      </w:r>
      <w:r>
        <w:rPr>
          <w:rFonts w:hint="eastAsia"/>
          <w:spacing w:val="4"/>
          <w:lang w:eastAsia="zh-CN"/>
        </w:rPr>
        <w:t xml:space="preserve"> 万元,对个人和家庭的补助 </w:t>
      </w:r>
      <w:r>
        <w:rPr>
          <w:rFonts w:hint="eastAsia"/>
          <w:spacing w:val="4"/>
          <w:lang w:val="en-US" w:eastAsia="zh-CN"/>
        </w:rPr>
        <w:t>37.65</w:t>
      </w:r>
      <w:r>
        <w:rPr>
          <w:rFonts w:hint="eastAsia"/>
          <w:spacing w:val="4"/>
          <w:lang w:eastAsia="zh-CN"/>
        </w:rPr>
        <w:t>万元,资本性支出</w:t>
      </w:r>
      <w:r>
        <w:rPr>
          <w:rFonts w:hint="eastAsia"/>
          <w:spacing w:val="4"/>
          <w:lang w:val="en-US" w:eastAsia="zh-CN"/>
        </w:rPr>
        <w:t>0</w:t>
      </w:r>
      <w:r>
        <w:rPr>
          <w:rFonts w:hint="eastAsia"/>
          <w:spacing w:val="4"/>
          <w:lang w:eastAsia="zh-CN"/>
        </w:rPr>
        <w:t xml:space="preserve"> 万元。项目支出 </w:t>
      </w:r>
      <w:r>
        <w:rPr>
          <w:rFonts w:hint="eastAsia"/>
          <w:spacing w:val="4"/>
          <w:lang w:val="en-US" w:eastAsia="zh-CN"/>
        </w:rPr>
        <w:t>504.5</w:t>
      </w:r>
      <w:r>
        <w:rPr>
          <w:rFonts w:hint="eastAsia"/>
          <w:spacing w:val="4"/>
          <w:lang w:eastAsia="zh-CN"/>
        </w:rPr>
        <w:t xml:space="preserve"> 万 元,较上年预算安排减少</w:t>
      </w:r>
      <w:r>
        <w:rPr>
          <w:rFonts w:hint="eastAsia"/>
          <w:spacing w:val="4"/>
          <w:lang w:val="en-US" w:eastAsia="zh-CN"/>
        </w:rPr>
        <w:t>388.7</w:t>
      </w:r>
      <w:r>
        <w:rPr>
          <w:rFonts w:hint="eastAsia"/>
          <w:spacing w:val="4"/>
          <w:lang w:eastAsia="zh-CN"/>
        </w:rPr>
        <w:t xml:space="preserve">万元，主要原因是巡防员及网格员工资纳入基本工资;其中：商品和服务支出 </w:t>
      </w:r>
      <w:r>
        <w:rPr>
          <w:rFonts w:hint="eastAsia"/>
          <w:spacing w:val="4"/>
          <w:lang w:val="en-US" w:eastAsia="zh-CN"/>
        </w:rPr>
        <w:t>504.5</w:t>
      </w:r>
      <w:r>
        <w:rPr>
          <w:rFonts w:hint="eastAsia"/>
          <w:spacing w:val="4"/>
          <w:lang w:eastAsia="zh-CN"/>
        </w:rPr>
        <w:t xml:space="preserve"> 万元,资本性支出</w:t>
      </w:r>
      <w:r>
        <w:rPr>
          <w:rFonts w:hint="eastAsia"/>
          <w:spacing w:val="4"/>
          <w:lang w:val="en-US" w:eastAsia="zh-CN"/>
        </w:rPr>
        <w:t>0</w:t>
      </w:r>
      <w:r>
        <w:rPr>
          <w:rFonts w:hint="eastAsia"/>
          <w:spacing w:val="4"/>
          <w:lang w:eastAsia="zh-CN"/>
        </w:rPr>
        <w:t>万元。</w:t>
      </w:r>
    </w:p>
    <w:p w14:paraId="7DA5FCD0">
      <w:pPr>
        <w:pStyle w:val="2"/>
        <w:spacing w:before="1" w:line="225" w:lineRule="auto"/>
        <w:ind w:left="680"/>
        <w:outlineLvl w:val="3"/>
      </w:pPr>
      <w:r>
        <w:rPr>
          <w:b/>
          <w:bCs/>
          <w:spacing w:val="5"/>
        </w:rPr>
        <w:t>（四）政府性基金情况</w:t>
      </w:r>
    </w:p>
    <w:p w14:paraId="06CFEF80">
      <w:pPr>
        <w:pStyle w:val="2"/>
        <w:spacing w:before="223" w:line="220" w:lineRule="auto"/>
        <w:ind w:left="667"/>
      </w:pPr>
      <w:r>
        <w:rPr>
          <w:spacing w:val="9"/>
        </w:rPr>
        <w:t>本部门没有使用政府性基金预算拨款安排的支</w:t>
      </w:r>
      <w:r>
        <w:rPr>
          <w:spacing w:val="8"/>
        </w:rPr>
        <w:t>出。</w:t>
      </w:r>
    </w:p>
    <w:p w14:paraId="14625B20">
      <w:pPr>
        <w:pStyle w:val="2"/>
        <w:spacing w:before="228" w:line="228" w:lineRule="auto"/>
        <w:ind w:left="680"/>
        <w:outlineLvl w:val="3"/>
      </w:pPr>
      <w:r>
        <w:rPr>
          <w:b/>
          <w:bCs/>
          <w:spacing w:val="-1"/>
        </w:rPr>
        <w:t>（五）</w:t>
      </w:r>
      <w:r>
        <w:rPr>
          <w:spacing w:val="-84"/>
        </w:rPr>
        <w:t xml:space="preserve"> </w:t>
      </w:r>
      <w:r>
        <w:rPr>
          <w:b/>
          <w:bCs/>
          <w:spacing w:val="-1"/>
        </w:rPr>
        <w:t>国有资本经营情况</w:t>
      </w:r>
    </w:p>
    <w:p w14:paraId="49085D59">
      <w:pPr>
        <w:pStyle w:val="2"/>
        <w:spacing w:before="219" w:line="222" w:lineRule="auto"/>
        <w:ind w:left="667"/>
      </w:pPr>
      <w:r>
        <w:rPr>
          <w:spacing w:val="9"/>
        </w:rPr>
        <w:t>本部门没有使用国有资本经营预算拨款安排的支</w:t>
      </w:r>
      <w:r>
        <w:rPr>
          <w:spacing w:val="8"/>
        </w:rPr>
        <w:t>出。</w:t>
      </w:r>
    </w:p>
    <w:p w14:paraId="40C5700D">
      <w:pPr>
        <w:spacing w:line="222" w:lineRule="auto"/>
        <w:sectPr>
          <w:pgSz w:w="11906" w:h="16839"/>
          <w:pgMar w:top="1431" w:right="1785" w:bottom="0" w:left="1785" w:header="0" w:footer="0" w:gutter="0"/>
          <w:cols w:space="720" w:num="1"/>
        </w:sectPr>
      </w:pPr>
    </w:p>
    <w:p w14:paraId="1E3C05BD">
      <w:pPr>
        <w:pStyle w:val="2"/>
        <w:spacing w:before="216" w:line="226" w:lineRule="auto"/>
        <w:ind w:left="680"/>
        <w:outlineLvl w:val="3"/>
      </w:pPr>
      <w:r>
        <w:rPr>
          <w:b/>
          <w:bCs/>
          <w:spacing w:val="6"/>
        </w:rPr>
        <w:t>（六）机关运行经费等重要事项的说明</w:t>
      </w:r>
    </w:p>
    <w:p w14:paraId="0A60E857">
      <w:pPr>
        <w:pStyle w:val="2"/>
        <w:spacing w:before="2" w:line="357" w:lineRule="auto"/>
        <w:ind w:left="34" w:right="13" w:firstLine="634"/>
        <w:jc w:val="both"/>
        <w:rPr>
          <w:rFonts w:hint="default"/>
          <w:spacing w:val="4"/>
          <w:lang w:val="en-US" w:eastAsia="zh-CN"/>
        </w:rPr>
      </w:pPr>
      <w:r>
        <w:rPr>
          <w:rFonts w:hint="eastAsia"/>
          <w:spacing w:val="4"/>
          <w:lang w:eastAsia="zh-CN"/>
        </w:rPr>
        <w:t xml:space="preserve">2026 年部门机关运行费预算 </w:t>
      </w:r>
      <w:r>
        <w:rPr>
          <w:rFonts w:hint="eastAsia"/>
          <w:spacing w:val="4"/>
          <w:lang w:val="en-US" w:eastAsia="zh-CN"/>
        </w:rPr>
        <w:t>16.79</w:t>
      </w:r>
      <w:r>
        <w:rPr>
          <w:rFonts w:hint="eastAsia"/>
          <w:spacing w:val="4"/>
          <w:lang w:eastAsia="zh-CN"/>
        </w:rPr>
        <w:t>万元， 比 2025 年预 算增加</w:t>
      </w:r>
      <w:r>
        <w:rPr>
          <w:rFonts w:hint="eastAsia"/>
          <w:spacing w:val="4"/>
          <w:lang w:val="en-US" w:eastAsia="zh-CN"/>
        </w:rPr>
        <w:t>3.48</w:t>
      </w:r>
      <w:r>
        <w:rPr>
          <w:rFonts w:hint="eastAsia"/>
          <w:spacing w:val="4"/>
          <w:lang w:eastAsia="zh-CN"/>
        </w:rPr>
        <w:t>万元，增长</w:t>
      </w:r>
      <w:r>
        <w:rPr>
          <w:rFonts w:hint="eastAsia"/>
          <w:spacing w:val="4"/>
          <w:lang w:val="en-US" w:eastAsia="zh-CN"/>
        </w:rPr>
        <w:t>26.14</w:t>
      </w:r>
      <w:r>
        <w:rPr>
          <w:rFonts w:hint="eastAsia"/>
          <w:spacing w:val="4"/>
          <w:lang w:eastAsia="zh-CN"/>
        </w:rPr>
        <w:t>%，主要原因是：</w:t>
      </w:r>
      <w:r>
        <w:rPr>
          <w:rFonts w:hint="eastAsia"/>
          <w:spacing w:val="4"/>
          <w:lang w:val="en-US" w:eastAsia="zh-CN"/>
        </w:rPr>
        <w:t xml:space="preserve"> 根据单位工作实际需求，增加机关运行费。</w:t>
      </w:r>
    </w:p>
    <w:p w14:paraId="1D9BBACA">
      <w:pPr>
        <w:pStyle w:val="2"/>
        <w:spacing w:before="1" w:line="227" w:lineRule="auto"/>
        <w:ind w:left="680"/>
        <w:outlineLvl w:val="3"/>
      </w:pPr>
      <w:r>
        <w:rPr>
          <w:b/>
          <w:bCs/>
          <w:spacing w:val="4"/>
        </w:rPr>
        <w:t>（七）政府采购情况</w:t>
      </w:r>
    </w:p>
    <w:p w14:paraId="22341BFF">
      <w:pPr>
        <w:pStyle w:val="2"/>
        <w:spacing w:before="219" w:line="357" w:lineRule="auto"/>
        <w:ind w:left="26" w:right="15" w:firstLine="653"/>
        <w:jc w:val="both"/>
      </w:pPr>
      <w:r>
        <w:rPr>
          <w:rFonts w:hint="eastAsia"/>
          <w:spacing w:val="10"/>
          <w:lang w:eastAsia="zh-CN"/>
        </w:rPr>
        <w:t>2026</w:t>
      </w:r>
      <w:r>
        <w:rPr>
          <w:spacing w:val="-31"/>
        </w:rPr>
        <w:t xml:space="preserve"> </w:t>
      </w:r>
      <w:r>
        <w:rPr>
          <w:spacing w:val="10"/>
        </w:rPr>
        <w:t>年部门所属各单位政府采购总额</w:t>
      </w:r>
      <w:r>
        <w:rPr>
          <w:rFonts w:hint="eastAsia"/>
          <w:spacing w:val="-29"/>
          <w:lang w:val="en-US" w:eastAsia="zh-CN"/>
        </w:rPr>
        <w:t>0</w:t>
      </w:r>
      <w:r>
        <w:rPr>
          <w:spacing w:val="10"/>
        </w:rPr>
        <w:t>万元,</w:t>
      </w:r>
      <w:r>
        <w:t xml:space="preserve"> </w:t>
      </w:r>
      <w:r>
        <w:rPr>
          <w:spacing w:val="6"/>
        </w:rPr>
        <w:t>其中: 政府采购货物预算</w:t>
      </w:r>
      <w:r>
        <w:rPr>
          <w:rFonts w:hint="eastAsia"/>
          <w:spacing w:val="-47"/>
          <w:lang w:val="en-US" w:eastAsia="zh-CN"/>
        </w:rPr>
        <w:t>0</w:t>
      </w:r>
      <w:r>
        <w:rPr>
          <w:spacing w:val="-52"/>
        </w:rPr>
        <w:t xml:space="preserve"> </w:t>
      </w:r>
      <w:r>
        <w:rPr>
          <w:spacing w:val="5"/>
        </w:rPr>
        <w:t>万元, 政府采购工程预算</w:t>
      </w:r>
      <w:r>
        <w:t xml:space="preserve"> </w:t>
      </w:r>
      <w:r>
        <w:rPr>
          <w:rFonts w:hint="eastAsia"/>
          <w:spacing w:val="3"/>
          <w:lang w:val="en-US" w:eastAsia="zh-CN"/>
        </w:rPr>
        <w:t>0</w:t>
      </w:r>
      <w:r>
        <w:rPr>
          <w:spacing w:val="-47"/>
        </w:rPr>
        <w:t xml:space="preserve"> </w:t>
      </w:r>
      <w:r>
        <w:rPr>
          <w:spacing w:val="3"/>
        </w:rPr>
        <w:t>万元, 政府采购服务预算</w:t>
      </w:r>
      <w:r>
        <w:rPr>
          <w:spacing w:val="-40"/>
        </w:rPr>
        <w:t xml:space="preserve"> </w:t>
      </w:r>
      <w:r>
        <w:rPr>
          <w:rFonts w:hint="eastAsia"/>
          <w:spacing w:val="3"/>
          <w:lang w:val="en-US" w:eastAsia="zh-CN"/>
        </w:rPr>
        <w:t>0</w:t>
      </w:r>
      <w:r>
        <w:rPr>
          <w:spacing w:val="-45"/>
        </w:rPr>
        <w:t xml:space="preserve"> </w:t>
      </w:r>
      <w:r>
        <w:rPr>
          <w:spacing w:val="3"/>
        </w:rPr>
        <w:t>万</w:t>
      </w:r>
      <w:r>
        <w:rPr>
          <w:spacing w:val="2"/>
        </w:rPr>
        <w:t>元。</w:t>
      </w:r>
    </w:p>
    <w:p w14:paraId="7508CCEC">
      <w:pPr>
        <w:pStyle w:val="2"/>
        <w:spacing w:before="1" w:line="227" w:lineRule="auto"/>
        <w:ind w:left="1041"/>
        <w:outlineLvl w:val="3"/>
      </w:pPr>
      <w:r>
        <w:rPr>
          <w:b/>
          <w:bCs/>
          <w:spacing w:val="1"/>
        </w:rPr>
        <w:t>(八)国有资产占有使用情况</w:t>
      </w:r>
    </w:p>
    <w:p w14:paraId="0ADF9B80">
      <w:pPr>
        <w:pStyle w:val="2"/>
        <w:spacing w:before="218" w:line="357" w:lineRule="auto"/>
        <w:ind w:left="30" w:right="16" w:firstLine="642"/>
      </w:pPr>
      <w:r>
        <w:rPr>
          <w:spacing w:val="-3"/>
        </w:rPr>
        <w:t>截至</w:t>
      </w:r>
      <w:r>
        <w:rPr>
          <w:spacing w:val="-36"/>
        </w:rPr>
        <w:t xml:space="preserve"> </w:t>
      </w:r>
      <w:r>
        <w:rPr>
          <w:spacing w:val="-3"/>
        </w:rPr>
        <w:t>202</w:t>
      </w:r>
      <w:r>
        <w:rPr>
          <w:rFonts w:hint="eastAsia"/>
          <w:spacing w:val="-3"/>
          <w:lang w:val="en-US" w:eastAsia="zh-CN"/>
        </w:rPr>
        <w:t>5</w:t>
      </w:r>
      <w:r>
        <w:rPr>
          <w:spacing w:val="-58"/>
        </w:rPr>
        <w:t xml:space="preserve"> </w:t>
      </w:r>
      <w:r>
        <w:rPr>
          <w:spacing w:val="-3"/>
        </w:rPr>
        <w:t>年</w:t>
      </w:r>
      <w:r>
        <w:rPr>
          <w:spacing w:val="-48"/>
        </w:rPr>
        <w:t xml:space="preserve"> </w:t>
      </w:r>
      <w:r>
        <w:rPr>
          <w:spacing w:val="-3"/>
        </w:rPr>
        <w:t>7</w:t>
      </w:r>
      <w:r>
        <w:rPr>
          <w:spacing w:val="-46"/>
        </w:rPr>
        <w:t xml:space="preserve"> </w:t>
      </w:r>
      <w:r>
        <w:rPr>
          <w:spacing w:val="-3"/>
        </w:rPr>
        <w:t>月</w:t>
      </w:r>
      <w:r>
        <w:rPr>
          <w:spacing w:val="-36"/>
        </w:rPr>
        <w:t xml:space="preserve"> </w:t>
      </w:r>
      <w:r>
        <w:rPr>
          <w:spacing w:val="-3"/>
        </w:rPr>
        <w:t>31 日, 部门共有车辆</w:t>
      </w:r>
      <w:r>
        <w:rPr>
          <w:rFonts w:hint="eastAsia"/>
          <w:spacing w:val="-41"/>
          <w:lang w:val="en-US" w:eastAsia="zh-CN"/>
        </w:rPr>
        <w:t>0</w:t>
      </w:r>
      <w:r>
        <w:rPr>
          <w:spacing w:val="-3"/>
        </w:rPr>
        <w:t>辆,其中：一</w:t>
      </w:r>
      <w:r>
        <w:t xml:space="preserve"> </w:t>
      </w:r>
      <w:r>
        <w:rPr>
          <w:spacing w:val="10"/>
        </w:rPr>
        <w:t>般公务用车实有数</w:t>
      </w:r>
      <w:r>
        <w:rPr>
          <w:rFonts w:hint="eastAsia"/>
          <w:spacing w:val="-33"/>
          <w:lang w:val="en-US" w:eastAsia="zh-CN"/>
        </w:rPr>
        <w:t>0</w:t>
      </w:r>
      <w:r>
        <w:rPr>
          <w:spacing w:val="10"/>
        </w:rPr>
        <w:t>辆。</w:t>
      </w:r>
    </w:p>
    <w:p w14:paraId="7A993AA7">
      <w:pPr>
        <w:pStyle w:val="2"/>
        <w:spacing w:before="1" w:line="357" w:lineRule="auto"/>
        <w:ind w:left="26" w:right="16" w:firstLine="653"/>
      </w:pPr>
      <w:r>
        <w:rPr>
          <w:rFonts w:hint="eastAsia"/>
          <w:spacing w:val="2"/>
          <w:lang w:eastAsia="zh-CN"/>
        </w:rPr>
        <w:t>2026</w:t>
      </w:r>
      <w:r>
        <w:rPr>
          <w:spacing w:val="-58"/>
        </w:rPr>
        <w:t xml:space="preserve"> </w:t>
      </w:r>
      <w:r>
        <w:rPr>
          <w:spacing w:val="2"/>
        </w:rPr>
        <w:t>年部门预算安排购置车辆</w:t>
      </w:r>
      <w:r>
        <w:rPr>
          <w:spacing w:val="-38"/>
        </w:rPr>
        <w:t xml:space="preserve"> </w:t>
      </w:r>
      <w:r>
        <w:rPr>
          <w:spacing w:val="2"/>
        </w:rPr>
        <w:t>0</w:t>
      </w:r>
      <w:r>
        <w:rPr>
          <w:spacing w:val="-62"/>
        </w:rPr>
        <w:t xml:space="preserve"> </w:t>
      </w:r>
      <w:r>
        <w:rPr>
          <w:spacing w:val="2"/>
        </w:rPr>
        <w:t>辆，未</w:t>
      </w:r>
      <w:r>
        <w:rPr>
          <w:spacing w:val="1"/>
        </w:rPr>
        <w:t>安排购置单位价</w:t>
      </w:r>
      <w:r>
        <w:t xml:space="preserve"> </w:t>
      </w:r>
      <w:r>
        <w:rPr>
          <w:spacing w:val="2"/>
        </w:rPr>
        <w:t>值</w:t>
      </w:r>
      <w:r>
        <w:rPr>
          <w:spacing w:val="-42"/>
        </w:rPr>
        <w:t xml:space="preserve"> </w:t>
      </w:r>
      <w:r>
        <w:rPr>
          <w:spacing w:val="2"/>
        </w:rPr>
        <w:t>200</w:t>
      </w:r>
      <w:r>
        <w:rPr>
          <w:spacing w:val="-45"/>
        </w:rPr>
        <w:t xml:space="preserve"> </w:t>
      </w:r>
      <w:r>
        <w:rPr>
          <w:spacing w:val="2"/>
        </w:rPr>
        <w:t>万元以上大型设备。</w:t>
      </w:r>
    </w:p>
    <w:p w14:paraId="4BBD60CF">
      <w:pPr>
        <w:pStyle w:val="2"/>
        <w:spacing w:before="1" w:line="226" w:lineRule="auto"/>
        <w:ind w:right="18" w:firstLine="638" w:firstLineChars="200"/>
        <w:jc w:val="both"/>
        <w:outlineLvl w:val="3"/>
        <w:rPr>
          <w:b/>
          <w:bCs/>
          <w:spacing w:val="4"/>
        </w:rPr>
      </w:pPr>
      <w:bookmarkStart w:id="0" w:name="_GoBack"/>
      <w:bookmarkEnd w:id="0"/>
      <w:r>
        <w:rPr>
          <w:b/>
          <w:bCs/>
          <w:spacing w:val="4"/>
        </w:rPr>
        <w:t>（九）</w:t>
      </w:r>
      <w:r>
        <w:rPr>
          <w:rFonts w:hint="eastAsia"/>
          <w:b/>
          <w:bCs/>
          <w:spacing w:val="4"/>
        </w:rPr>
        <w:t>肇事肇祸救助有奖监护</w:t>
      </w:r>
      <w:r>
        <w:rPr>
          <w:b/>
          <w:bCs/>
          <w:spacing w:val="4"/>
        </w:rPr>
        <w:t>项</w:t>
      </w:r>
      <w:r>
        <w:rPr>
          <w:b/>
          <w:bCs/>
          <w:spacing w:val="4"/>
        </w:rPr>
        <w:t>目情况说明</w:t>
      </w:r>
    </w:p>
    <w:p w14:paraId="635D6C80">
      <w:pPr>
        <w:pStyle w:val="2"/>
        <w:spacing w:before="1" w:line="226" w:lineRule="auto"/>
        <w:ind w:right="18"/>
        <w:jc w:val="center"/>
        <w:outlineLvl w:val="3"/>
        <w:rPr>
          <w:b/>
          <w:bCs/>
          <w:spacing w:val="4"/>
        </w:rPr>
      </w:pPr>
    </w:p>
    <w:p w14:paraId="7C8AC5BF">
      <w:pPr>
        <w:pStyle w:val="2"/>
        <w:spacing w:before="1" w:line="357" w:lineRule="auto"/>
        <w:ind w:left="26" w:right="16" w:firstLine="653"/>
        <w:rPr>
          <w:spacing w:val="2"/>
        </w:rPr>
      </w:pPr>
      <w:r>
        <w:rPr>
          <w:spacing w:val="2"/>
        </w:rPr>
        <w:t>1）项目概述：</w:t>
      </w:r>
      <w:r>
        <w:rPr>
          <w:rFonts w:hint="eastAsia"/>
          <w:spacing w:val="2"/>
        </w:rPr>
        <w:t>肇事肇祸救助有奖监护是</w:t>
      </w:r>
      <w:r>
        <w:rPr>
          <w:rFonts w:hint="eastAsia" w:ascii="仿宋" w:hAnsi="仿宋" w:eastAsia="仿宋" w:cs="仿宋"/>
          <w:sz w:val="32"/>
          <w:szCs w:val="32"/>
          <w:lang w:val="en-US" w:eastAsia="zh-CN"/>
        </w:rPr>
        <w:t>为切实加强肇事肇祸精神病患者管控工作，有效预防和减少精神病患者肇事肇祸事件的发生，维护社会和谐稳定，珠山区积极联合卫健、公安等多部门，构建起全方位、多层次的管理体系，扎实开展各项工作</w:t>
      </w:r>
      <w:r>
        <w:rPr>
          <w:rFonts w:hint="eastAsia" w:cs="仿宋"/>
          <w:sz w:val="32"/>
          <w:szCs w:val="32"/>
          <w:lang w:val="en-US" w:eastAsia="zh-CN"/>
        </w:rPr>
        <w:t>的项目</w:t>
      </w:r>
      <w:r>
        <w:rPr>
          <w:rFonts w:hint="eastAsia"/>
          <w:spacing w:val="2"/>
        </w:rPr>
        <w:t>。</w:t>
      </w:r>
    </w:p>
    <w:p w14:paraId="0E026BC9">
      <w:pPr>
        <w:pStyle w:val="2"/>
        <w:spacing w:before="1" w:line="357" w:lineRule="auto"/>
        <w:ind w:left="26" w:right="16" w:firstLine="653"/>
        <w:rPr>
          <w:spacing w:val="2"/>
        </w:rPr>
      </w:pPr>
      <w:r>
        <w:rPr>
          <w:spacing w:val="2"/>
        </w:rPr>
        <w:t>2）立项依据：</w:t>
      </w:r>
      <w:r>
        <w:rPr>
          <w:rFonts w:hint="eastAsia"/>
          <w:spacing w:val="2"/>
        </w:rPr>
        <w:t>依据《江西省平安建设条列》以奖励为驱动，促使监护人加强对肇事肇祸倾向人员的监管，减少危害行为，提升公众安全感。</w:t>
      </w:r>
    </w:p>
    <w:p w14:paraId="22E6EBAA">
      <w:pPr>
        <w:pStyle w:val="2"/>
        <w:spacing w:before="230" w:line="222" w:lineRule="auto"/>
        <w:ind w:firstLine="644" w:firstLineChars="200"/>
        <w:rPr>
          <w:rFonts w:hint="eastAsia" w:eastAsia="仿宋"/>
          <w:lang w:eastAsia="zh-CN"/>
        </w:rPr>
      </w:pPr>
      <w:r>
        <w:rPr>
          <w:spacing w:val="6"/>
        </w:rPr>
        <w:t>3）实施主体：</w:t>
      </w:r>
      <w:r>
        <w:rPr>
          <w:rFonts w:hint="eastAsia"/>
          <w:spacing w:val="6"/>
          <w:lang w:eastAsia="zh-CN"/>
        </w:rPr>
        <w:t>中共景德镇市珠山区委政法委员会</w:t>
      </w:r>
    </w:p>
    <w:p w14:paraId="30023F2E">
      <w:pPr>
        <w:spacing w:line="222" w:lineRule="auto"/>
        <w:sectPr>
          <w:pgSz w:w="11906" w:h="16839"/>
          <w:pgMar w:top="1431" w:right="1785" w:bottom="0" w:left="1785" w:header="0" w:footer="0" w:gutter="0"/>
          <w:cols w:space="720" w:num="1"/>
        </w:sectPr>
      </w:pPr>
    </w:p>
    <w:p w14:paraId="20CDA6D2">
      <w:pPr>
        <w:pStyle w:val="2"/>
        <w:spacing w:before="216" w:line="312" w:lineRule="auto"/>
        <w:ind w:left="34" w:right="13" w:firstLine="1124"/>
      </w:pPr>
      <w:r>
        <w:rPr>
          <w:spacing w:val="8"/>
        </w:rPr>
        <w:t>4）实施方案：</w:t>
      </w:r>
      <w:r>
        <w:rPr>
          <w:rFonts w:hint="eastAsia"/>
          <w:spacing w:val="8"/>
        </w:rPr>
        <w:t>激励监护人积极履责，降低肇事肇祸事件发生概率，维护社会和谐稳定。</w:t>
      </w:r>
    </w:p>
    <w:p w14:paraId="50A434F8">
      <w:pPr>
        <w:pStyle w:val="2"/>
        <w:spacing w:before="229" w:line="222" w:lineRule="auto"/>
        <w:ind w:left="1163"/>
      </w:pPr>
      <w:r>
        <w:rPr>
          <w:spacing w:val="4"/>
        </w:rPr>
        <w:t>5）实施周期：202</w:t>
      </w:r>
      <w:r>
        <w:rPr>
          <w:rFonts w:hint="eastAsia"/>
          <w:spacing w:val="4"/>
          <w:lang w:val="en-US" w:eastAsia="zh-CN"/>
        </w:rPr>
        <w:t>6</w:t>
      </w:r>
      <w:r>
        <w:rPr>
          <w:spacing w:val="4"/>
        </w:rPr>
        <w:t>年度</w:t>
      </w:r>
    </w:p>
    <w:p w14:paraId="2902309A">
      <w:pPr>
        <w:pStyle w:val="2"/>
        <w:spacing w:before="226" w:line="222" w:lineRule="auto"/>
        <w:ind w:left="1162"/>
      </w:pPr>
      <w:r>
        <w:rPr>
          <w:spacing w:val="4"/>
        </w:rPr>
        <w:t>6）年度预算安排：</w:t>
      </w:r>
      <w:r>
        <w:rPr>
          <w:rFonts w:hint="eastAsia"/>
          <w:spacing w:val="4"/>
          <w:lang w:val="en-US" w:eastAsia="zh-CN"/>
        </w:rPr>
        <w:t>18</w:t>
      </w:r>
      <w:r>
        <w:rPr>
          <w:spacing w:val="4"/>
        </w:rPr>
        <w:t>万元</w:t>
      </w:r>
    </w:p>
    <w:p w14:paraId="0342C323">
      <w:pPr>
        <w:spacing w:before="225" w:line="231" w:lineRule="auto"/>
        <w:ind w:left="668"/>
        <w:outlineLvl w:val="2"/>
        <w:rPr>
          <w:rFonts w:ascii="楷体" w:hAnsi="楷体" w:eastAsia="楷体" w:cs="楷体"/>
          <w:sz w:val="31"/>
          <w:szCs w:val="31"/>
        </w:rPr>
      </w:pPr>
      <w:r>
        <w:rPr>
          <w:rFonts w:ascii="楷体" w:hAnsi="楷体" w:eastAsia="楷体" w:cs="楷体"/>
          <w:b/>
          <w:bCs/>
          <w:spacing w:val="5"/>
          <w:sz w:val="31"/>
          <w:szCs w:val="31"/>
        </w:rPr>
        <w:t>二、</w:t>
      </w:r>
      <w:r>
        <w:rPr>
          <w:rFonts w:hint="eastAsia" w:ascii="楷体" w:hAnsi="楷体" w:eastAsia="楷体" w:cs="楷体"/>
          <w:b/>
          <w:bCs/>
          <w:spacing w:val="5"/>
          <w:sz w:val="31"/>
          <w:szCs w:val="31"/>
          <w:lang w:eastAsia="zh-CN"/>
        </w:rPr>
        <w:t>2026</w:t>
      </w:r>
      <w:r>
        <w:rPr>
          <w:rFonts w:ascii="楷体" w:hAnsi="楷体" w:eastAsia="楷体" w:cs="楷体"/>
          <w:spacing w:val="-49"/>
          <w:sz w:val="31"/>
          <w:szCs w:val="31"/>
        </w:rPr>
        <w:t xml:space="preserve"> </w:t>
      </w:r>
      <w:r>
        <w:rPr>
          <w:rFonts w:ascii="楷体" w:hAnsi="楷体" w:eastAsia="楷体" w:cs="楷体"/>
          <w:b/>
          <w:bCs/>
          <w:spacing w:val="5"/>
          <w:sz w:val="31"/>
          <w:szCs w:val="31"/>
        </w:rPr>
        <w:t>年财政拨款“三公</w:t>
      </w:r>
      <w:r>
        <w:rPr>
          <w:rFonts w:ascii="Calibri" w:hAnsi="Calibri" w:eastAsia="Calibri" w:cs="Calibri"/>
          <w:b/>
          <w:bCs/>
          <w:spacing w:val="5"/>
          <w:sz w:val="31"/>
          <w:szCs w:val="31"/>
        </w:rPr>
        <w:t>”</w:t>
      </w:r>
      <w:r>
        <w:rPr>
          <w:rFonts w:ascii="楷体" w:hAnsi="楷体" w:eastAsia="楷体" w:cs="楷体"/>
          <w:b/>
          <w:bCs/>
          <w:spacing w:val="5"/>
          <w:sz w:val="31"/>
          <w:szCs w:val="31"/>
        </w:rPr>
        <w:t>经费预算情况说明</w:t>
      </w:r>
    </w:p>
    <w:p w14:paraId="2E916953">
      <w:pPr>
        <w:pStyle w:val="2"/>
        <w:spacing w:before="214" w:line="357" w:lineRule="auto"/>
        <w:ind w:left="37" w:right="16" w:firstLine="642"/>
      </w:pPr>
      <w:r>
        <w:rPr>
          <w:rFonts w:hint="eastAsia"/>
          <w:spacing w:val="10"/>
          <w:lang w:eastAsia="zh-CN"/>
        </w:rPr>
        <w:t>2026</w:t>
      </w:r>
      <w:r>
        <w:rPr>
          <w:spacing w:val="-91"/>
        </w:rPr>
        <w:t xml:space="preserve"> </w:t>
      </w:r>
      <w:r>
        <w:rPr>
          <w:spacing w:val="10"/>
        </w:rPr>
        <w:t>年</w:t>
      </w:r>
      <w:r>
        <w:rPr>
          <w:rFonts w:hint="eastAsia"/>
          <w:spacing w:val="10"/>
          <w:lang w:eastAsia="zh-CN"/>
        </w:rPr>
        <w:t>中共景德镇市珠山区委政法委员会</w:t>
      </w:r>
      <w:r>
        <w:rPr>
          <w:spacing w:val="10"/>
        </w:rPr>
        <w:t>财政拨款"三公"经费安排</w:t>
      </w:r>
      <w:r>
        <w:rPr>
          <w:rFonts w:hint="eastAsia"/>
          <w:spacing w:val="10"/>
          <w:lang w:val="en-US" w:eastAsia="zh-CN"/>
        </w:rPr>
        <w:t>3.13</w:t>
      </w:r>
      <w:r>
        <w:rPr>
          <w:spacing w:val="9"/>
        </w:rPr>
        <w:t>万</w:t>
      </w:r>
      <w:r>
        <w:t xml:space="preserve"> </w:t>
      </w:r>
      <w:r>
        <w:rPr>
          <w:spacing w:val="3"/>
        </w:rPr>
        <w:t>元，其中：</w:t>
      </w:r>
    </w:p>
    <w:p w14:paraId="3B8D4F8B">
      <w:pPr>
        <w:pStyle w:val="2"/>
        <w:spacing w:before="3" w:line="357" w:lineRule="auto"/>
        <w:ind w:left="18" w:right="13" w:firstLine="687"/>
        <w:rPr>
          <w:rFonts w:hint="eastAsia"/>
          <w:spacing w:val="7"/>
          <w:lang w:eastAsia="zh-CN"/>
        </w:rPr>
      </w:pPr>
      <w:r>
        <w:rPr>
          <w:spacing w:val="3"/>
        </w:rPr>
        <w:t>因公出国</w:t>
      </w:r>
      <w:r>
        <w:rPr>
          <w:spacing w:val="-28"/>
        </w:rPr>
        <w:t xml:space="preserve"> </w:t>
      </w:r>
      <w:r>
        <w:rPr>
          <w:spacing w:val="3"/>
        </w:rPr>
        <w:t>0</w:t>
      </w:r>
      <w:r>
        <w:rPr>
          <w:spacing w:val="-40"/>
        </w:rPr>
        <w:t xml:space="preserve"> </w:t>
      </w:r>
      <w:r>
        <w:rPr>
          <w:spacing w:val="3"/>
        </w:rPr>
        <w:t>万</w:t>
      </w:r>
      <w:r>
        <w:rPr>
          <w:spacing w:val="-91"/>
        </w:rPr>
        <w:t>元,</w:t>
      </w:r>
      <w:r>
        <w:rPr>
          <w:spacing w:val="7"/>
        </w:rPr>
        <w:t xml:space="preserve"> </w:t>
      </w:r>
      <w:r>
        <w:rPr>
          <w:rFonts w:hint="eastAsia"/>
          <w:spacing w:val="7"/>
          <w:lang w:eastAsia="zh-CN"/>
        </w:rPr>
        <w:t>与上年持平，主要原因是：与上年安排保持一</w:t>
      </w:r>
      <w:r>
        <w:rPr>
          <w:spacing w:val="7"/>
        </w:rPr>
        <w:t>致</w:t>
      </w:r>
      <w:r>
        <w:rPr>
          <w:rFonts w:hint="eastAsia"/>
          <w:spacing w:val="7"/>
          <w:lang w:eastAsia="zh-CN"/>
        </w:rPr>
        <w:t>。</w:t>
      </w:r>
    </w:p>
    <w:p w14:paraId="56A3B5F4">
      <w:pPr>
        <w:pStyle w:val="2"/>
        <w:spacing w:before="1" w:line="356" w:lineRule="auto"/>
        <w:ind w:left="62" w:right="16" w:firstLine="603"/>
      </w:pPr>
      <w:r>
        <w:rPr>
          <w:spacing w:val="3"/>
        </w:rPr>
        <w:t>公务接待</w:t>
      </w:r>
      <w:r>
        <w:rPr>
          <w:spacing w:val="-42"/>
        </w:rPr>
        <w:t xml:space="preserve"> </w:t>
      </w:r>
      <w:r>
        <w:rPr>
          <w:rFonts w:hint="eastAsia"/>
          <w:spacing w:val="3"/>
          <w:lang w:val="en-US" w:eastAsia="zh-CN"/>
        </w:rPr>
        <w:t>3.13</w:t>
      </w:r>
      <w:r>
        <w:rPr>
          <w:spacing w:val="-44"/>
        </w:rPr>
        <w:t xml:space="preserve"> </w:t>
      </w:r>
      <w:r>
        <w:rPr>
          <w:spacing w:val="3"/>
        </w:rPr>
        <w:t>万元,比上年减</w:t>
      </w:r>
      <w:r>
        <w:rPr>
          <w:spacing w:val="-47"/>
        </w:rPr>
        <w:t xml:space="preserve"> </w:t>
      </w:r>
      <w:r>
        <w:rPr>
          <w:rFonts w:hint="eastAsia"/>
          <w:spacing w:val="3"/>
          <w:lang w:val="en-US" w:eastAsia="zh-CN"/>
        </w:rPr>
        <w:t>0.03</w:t>
      </w:r>
      <w:r>
        <w:rPr>
          <w:spacing w:val="-45"/>
        </w:rPr>
        <w:t xml:space="preserve"> </w:t>
      </w:r>
      <w:r>
        <w:rPr>
          <w:spacing w:val="3"/>
        </w:rPr>
        <w:t>万元，主要原因是：</w:t>
      </w:r>
      <w:r>
        <w:rPr>
          <w:rFonts w:hint="eastAsia"/>
          <w:spacing w:val="3"/>
          <w:lang w:eastAsia="zh-CN"/>
        </w:rPr>
        <w:t>厉行节约，三公经费每年递减</w:t>
      </w:r>
      <w:r>
        <w:rPr>
          <w:spacing w:val="7"/>
        </w:rPr>
        <w:t>。</w:t>
      </w:r>
    </w:p>
    <w:p w14:paraId="4E41BA47">
      <w:pPr>
        <w:pStyle w:val="2"/>
        <w:spacing w:before="3" w:line="357" w:lineRule="auto"/>
        <w:ind w:left="18" w:right="13" w:firstLine="687"/>
        <w:rPr>
          <w:rFonts w:hint="eastAsia"/>
          <w:spacing w:val="7"/>
          <w:lang w:eastAsia="zh-CN"/>
        </w:rPr>
      </w:pPr>
      <w:r>
        <w:rPr>
          <w:spacing w:val="3"/>
        </w:rPr>
        <w:t>公务用车运行</w:t>
      </w:r>
      <w:r>
        <w:rPr>
          <w:rFonts w:hint="eastAsia"/>
          <w:spacing w:val="-35"/>
          <w:lang w:val="en-US" w:eastAsia="zh-CN"/>
        </w:rPr>
        <w:t>0</w:t>
      </w:r>
      <w:r>
        <w:rPr>
          <w:spacing w:val="-45"/>
        </w:rPr>
        <w:t xml:space="preserve"> </w:t>
      </w:r>
      <w:r>
        <w:rPr>
          <w:spacing w:val="3"/>
        </w:rPr>
        <w:t>万元,</w:t>
      </w:r>
      <w:r>
        <w:rPr>
          <w:rFonts w:hint="eastAsia"/>
          <w:spacing w:val="7"/>
          <w:lang w:eastAsia="zh-CN"/>
        </w:rPr>
        <w:t>主要原因是：与上年安排保持一</w:t>
      </w:r>
      <w:r>
        <w:rPr>
          <w:spacing w:val="7"/>
        </w:rPr>
        <w:t>致</w:t>
      </w:r>
      <w:r>
        <w:rPr>
          <w:rFonts w:hint="eastAsia"/>
          <w:spacing w:val="7"/>
          <w:lang w:eastAsia="zh-CN"/>
        </w:rPr>
        <w:t>。</w:t>
      </w:r>
    </w:p>
    <w:p w14:paraId="637A455E">
      <w:pPr>
        <w:pStyle w:val="2"/>
        <w:spacing w:before="2" w:line="357" w:lineRule="auto"/>
        <w:ind w:left="30" w:right="162" w:firstLine="635"/>
      </w:pPr>
      <w:r>
        <w:rPr>
          <w:spacing w:val="6"/>
        </w:rPr>
        <w:t>公务用车购置</w:t>
      </w:r>
      <w:r>
        <w:rPr>
          <w:spacing w:val="-36"/>
        </w:rPr>
        <w:t xml:space="preserve"> </w:t>
      </w:r>
      <w:r>
        <w:rPr>
          <w:spacing w:val="6"/>
        </w:rPr>
        <w:t>0</w:t>
      </w:r>
      <w:r>
        <w:rPr>
          <w:spacing w:val="-44"/>
        </w:rPr>
        <w:t xml:space="preserve"> </w:t>
      </w:r>
      <w:r>
        <w:rPr>
          <w:spacing w:val="6"/>
        </w:rPr>
        <w:t>万元,与上年持平，主要原因是：与上</w:t>
      </w:r>
      <w:r>
        <w:t xml:space="preserve"> </w:t>
      </w:r>
      <w:r>
        <w:rPr>
          <w:spacing w:val="6"/>
        </w:rPr>
        <w:t>年安排保持一致。</w:t>
      </w:r>
    </w:p>
    <w:p w14:paraId="67F40AC7">
      <w:pPr>
        <w:spacing w:line="357" w:lineRule="auto"/>
        <w:sectPr>
          <w:pgSz w:w="11906" w:h="16839"/>
          <w:pgMar w:top="1431" w:right="1785" w:bottom="0" w:left="1785" w:header="0" w:footer="0" w:gutter="0"/>
          <w:cols w:space="720" w:num="1"/>
        </w:sectPr>
      </w:pPr>
    </w:p>
    <w:p w14:paraId="17E00819">
      <w:pPr>
        <w:spacing w:line="299" w:lineRule="auto"/>
        <w:rPr>
          <w:rFonts w:ascii="Arial"/>
          <w:sz w:val="21"/>
        </w:rPr>
      </w:pPr>
    </w:p>
    <w:p w14:paraId="5F83E47E">
      <w:pPr>
        <w:pStyle w:val="2"/>
        <w:numPr>
          <w:ilvl w:val="0"/>
          <w:numId w:val="2"/>
        </w:numPr>
        <w:spacing w:before="101" w:line="228" w:lineRule="auto"/>
        <w:ind w:left="2995"/>
        <w:rPr>
          <w:spacing w:val="3"/>
          <w14:textOutline w14:w="4064" w14:cap="flat" w14:cmpd="sng">
            <w14:solidFill>
              <w14:srgbClr w14:val="000000"/>
            </w14:solidFill>
            <w14:prstDash w14:val="solid"/>
            <w14:miter w14:val="0"/>
          </w14:textOutline>
        </w:rPr>
      </w:pPr>
      <w:r>
        <w:rPr>
          <w:spacing w:val="15"/>
        </w:rPr>
        <w:t xml:space="preserve">  </w:t>
      </w:r>
      <w:r>
        <w:rPr>
          <w:spacing w:val="3"/>
          <w14:textOutline w14:w="4064" w14:cap="flat" w14:cmpd="sng">
            <w14:solidFill>
              <w14:srgbClr w14:val="000000"/>
            </w14:solidFill>
            <w14:prstDash w14:val="solid"/>
            <w14:miter w14:val="0"/>
          </w14:textOutline>
        </w:rPr>
        <w:t>名词解释</w:t>
      </w:r>
    </w:p>
    <w:p w14:paraId="37B29EBD">
      <w:pPr>
        <w:spacing w:before="102" w:line="234" w:lineRule="auto"/>
        <w:ind w:left="670"/>
        <w:outlineLvl w:val="6"/>
        <w:rPr>
          <w:rFonts w:ascii="楷体" w:hAnsi="楷体" w:eastAsia="楷体" w:cs="楷体"/>
          <w:sz w:val="31"/>
          <w:szCs w:val="31"/>
        </w:rPr>
      </w:pPr>
      <w:r>
        <w:rPr>
          <w:rFonts w:ascii="楷体" w:hAnsi="楷体" w:eastAsia="楷体" w:cs="楷体"/>
          <w:spacing w:val="-4"/>
          <w:sz w:val="31"/>
          <w:szCs w:val="31"/>
          <w14:textOutline w14:w="4064" w14:cap="flat" w14:cmpd="sng">
            <w14:solidFill>
              <w14:srgbClr w14:val="000000"/>
            </w14:solidFill>
            <w14:prstDash w14:val="solid"/>
            <w14:miter w14:val="0"/>
          </w14:textOutline>
        </w:rPr>
        <w:t>一、收入科目</w:t>
      </w:r>
    </w:p>
    <w:p w14:paraId="0D7F77EC">
      <w:pPr>
        <w:pStyle w:val="2"/>
        <w:spacing w:before="203" w:line="228" w:lineRule="auto"/>
        <w:ind w:left="678"/>
      </w:pPr>
      <w:r>
        <w:rPr>
          <w:spacing w:val="6"/>
        </w:rPr>
        <w:t>（一）财政拨款：指</w:t>
      </w:r>
      <w:r>
        <w:rPr>
          <w:rFonts w:hint="eastAsia"/>
          <w:spacing w:val="6"/>
          <w:lang w:val="en-US" w:eastAsia="zh-CN"/>
        </w:rPr>
        <w:t>区</w:t>
      </w:r>
      <w:r>
        <w:rPr>
          <w:spacing w:val="6"/>
        </w:rPr>
        <w:t>级财政当年拨付的资金。</w:t>
      </w:r>
    </w:p>
    <w:p w14:paraId="02E44C37">
      <w:pPr>
        <w:pStyle w:val="2"/>
        <w:spacing w:before="217" w:line="600" w:lineRule="exact"/>
        <w:ind w:left="675"/>
      </w:pPr>
      <w:r>
        <w:rPr>
          <w:position w:val="21"/>
        </w:rPr>
        <w:t>（</w:t>
      </w:r>
      <w:r>
        <w:rPr>
          <w:rFonts w:hint="eastAsia"/>
          <w:position w:val="21"/>
          <w:lang w:val="en-US" w:eastAsia="zh-CN"/>
        </w:rPr>
        <w:t>二</w:t>
      </w:r>
      <w:r>
        <w:rPr>
          <w:position w:val="21"/>
        </w:rPr>
        <w:t>） 事业单位经营收入：指事业单位在专业业务活动</w:t>
      </w:r>
    </w:p>
    <w:p w14:paraId="30C4F3D3">
      <w:pPr>
        <w:pStyle w:val="2"/>
        <w:spacing w:before="1" w:line="226" w:lineRule="auto"/>
        <w:ind w:left="38"/>
      </w:pPr>
      <w:r>
        <w:rPr>
          <w:spacing w:val="6"/>
        </w:rPr>
        <w:t>及辅助活动之外开展非独立核算经营活动取得的收入。</w:t>
      </w:r>
    </w:p>
    <w:p w14:paraId="6C1AB1FF">
      <w:pPr>
        <w:pStyle w:val="2"/>
        <w:spacing w:before="219" w:line="600" w:lineRule="exact"/>
        <w:ind w:left="675"/>
      </w:pPr>
      <w:r>
        <w:rPr>
          <w:spacing w:val="7"/>
          <w:position w:val="21"/>
        </w:rPr>
        <w:t>（</w:t>
      </w:r>
      <w:r>
        <w:rPr>
          <w:rFonts w:hint="eastAsia"/>
          <w:spacing w:val="7"/>
          <w:position w:val="21"/>
          <w:lang w:val="en-US" w:eastAsia="zh-CN"/>
        </w:rPr>
        <w:t>三</w:t>
      </w:r>
      <w:r>
        <w:rPr>
          <w:spacing w:val="7"/>
          <w:position w:val="21"/>
        </w:rPr>
        <w:t>）其他收入：指除财政拨款、事业收入、事业单位</w:t>
      </w:r>
    </w:p>
    <w:p w14:paraId="33BD704A">
      <w:pPr>
        <w:pStyle w:val="2"/>
        <w:spacing w:before="1" w:line="229" w:lineRule="auto"/>
        <w:ind w:left="34"/>
      </w:pPr>
      <w:r>
        <w:rPr>
          <w:spacing w:val="4"/>
        </w:rPr>
        <w:t>经营收入等以外的各项收入。</w:t>
      </w:r>
    </w:p>
    <w:p w14:paraId="5463356B">
      <w:pPr>
        <w:pStyle w:val="2"/>
        <w:spacing w:before="215" w:line="600" w:lineRule="exact"/>
        <w:ind w:left="678"/>
      </w:pPr>
      <w:r>
        <w:rPr>
          <w:spacing w:val="9"/>
          <w:position w:val="21"/>
        </w:rPr>
        <w:t>（</w:t>
      </w:r>
      <w:r>
        <w:rPr>
          <w:rFonts w:hint="eastAsia"/>
          <w:spacing w:val="9"/>
          <w:position w:val="21"/>
          <w:lang w:val="en-US" w:eastAsia="zh-CN"/>
        </w:rPr>
        <w:t>四</w:t>
      </w:r>
      <w:r>
        <w:rPr>
          <w:spacing w:val="9"/>
          <w:position w:val="21"/>
        </w:rPr>
        <w:t xml:space="preserve">）上年结转和结余：填列 </w:t>
      </w:r>
      <w:r>
        <w:rPr>
          <w:rFonts w:hint="eastAsia"/>
          <w:spacing w:val="9"/>
          <w:position w:val="21"/>
          <w:lang w:eastAsia="zh-CN"/>
        </w:rPr>
        <w:t>2025</w:t>
      </w:r>
      <w:r>
        <w:rPr>
          <w:spacing w:val="9"/>
          <w:position w:val="21"/>
        </w:rPr>
        <w:t>年全部结转和结余</w:t>
      </w:r>
    </w:p>
    <w:p w14:paraId="3D84E101">
      <w:pPr>
        <w:spacing w:line="324" w:lineRule="auto"/>
        <w:rPr>
          <w:rFonts w:hint="eastAsia" w:ascii="仿宋" w:hAnsi="仿宋" w:eastAsia="仿宋" w:cs="仿宋"/>
          <w:snapToGrid w:val="0"/>
          <w:color w:val="000000"/>
          <w:spacing w:val="9"/>
          <w:kern w:val="0"/>
          <w:position w:val="21"/>
          <w:sz w:val="31"/>
          <w:szCs w:val="31"/>
          <w:lang w:val="en-US" w:eastAsia="zh-CN" w:bidi="ar-SA"/>
        </w:rPr>
      </w:pPr>
      <w:r>
        <w:rPr>
          <w:rFonts w:ascii="仿宋" w:hAnsi="仿宋" w:eastAsia="仿宋" w:cs="仿宋"/>
          <w:snapToGrid w:val="0"/>
          <w:color w:val="000000"/>
          <w:spacing w:val="9"/>
          <w:kern w:val="0"/>
          <w:position w:val="21"/>
          <w:sz w:val="31"/>
          <w:szCs w:val="31"/>
          <w:lang w:val="en-US" w:eastAsia="en-US" w:bidi="ar-SA"/>
        </w:rPr>
        <w:t>的资金数，包括当年结转结余资金和历年滚存结转结余资金</w:t>
      </w:r>
      <w:r>
        <w:rPr>
          <w:rFonts w:hint="eastAsia" w:ascii="仿宋" w:hAnsi="仿宋" w:eastAsia="仿宋" w:cs="仿宋"/>
          <w:snapToGrid w:val="0"/>
          <w:color w:val="000000"/>
          <w:spacing w:val="9"/>
          <w:kern w:val="0"/>
          <w:position w:val="21"/>
          <w:sz w:val="31"/>
          <w:szCs w:val="31"/>
          <w:lang w:val="en-US" w:eastAsia="zh-CN" w:bidi="ar-SA"/>
        </w:rPr>
        <w:t>。</w:t>
      </w:r>
    </w:p>
    <w:p w14:paraId="21BEEADB">
      <w:pPr>
        <w:rPr>
          <w:rFonts w:hint="eastAsia"/>
          <w:lang w:val="en-US" w:eastAsia="zh-CN"/>
        </w:rPr>
      </w:pPr>
    </w:p>
    <w:p w14:paraId="3D4CEDCB">
      <w:pPr>
        <w:spacing w:before="222" w:line="234" w:lineRule="auto"/>
        <w:ind w:left="666"/>
        <w:outlineLvl w:val="6"/>
        <w:rPr>
          <w:rFonts w:ascii="楷体" w:hAnsi="楷体" w:eastAsia="楷体" w:cs="楷体"/>
          <w:sz w:val="31"/>
          <w:szCs w:val="31"/>
        </w:rPr>
      </w:pPr>
      <w:r>
        <w:rPr>
          <w:rFonts w:ascii="楷体" w:hAnsi="楷体" w:eastAsia="楷体" w:cs="楷体"/>
          <w:spacing w:val="9"/>
          <w:sz w:val="31"/>
          <w:szCs w:val="31"/>
          <w14:textOutline w14:w="4064" w14:cap="flat" w14:cmpd="sng">
            <w14:solidFill>
              <w14:srgbClr w14:val="000000"/>
            </w14:solidFill>
            <w14:prstDash w14:val="solid"/>
            <w14:miter w14:val="0"/>
          </w14:textOutline>
        </w:rPr>
        <w:t>二、支出科目</w:t>
      </w:r>
    </w:p>
    <w:p w14:paraId="67B85781">
      <w:pPr>
        <w:pStyle w:val="2"/>
        <w:spacing w:before="209" w:line="357" w:lineRule="auto"/>
        <w:ind w:left="36" w:right="133" w:firstLine="642"/>
        <w:jc w:val="both"/>
        <w:rPr>
          <w:rFonts w:hint="default" w:eastAsia="仿宋"/>
          <w:lang w:val="en-US" w:eastAsia="zh-CN"/>
        </w:rPr>
      </w:pPr>
      <w:r>
        <w:rPr>
          <w:spacing w:val="-4"/>
        </w:rPr>
        <w:t>（一）一般公共服务支出（类）</w:t>
      </w:r>
      <w:r>
        <w:rPr>
          <w:rFonts w:hint="eastAsia"/>
          <w:spacing w:val="-4"/>
        </w:rPr>
        <w:t>党委办公厅（室）及相关机构事务</w:t>
      </w:r>
      <w:r>
        <w:rPr>
          <w:spacing w:val="-4"/>
        </w:rPr>
        <w:t>（款</w:t>
      </w:r>
      <w:r>
        <w:rPr>
          <w:spacing w:val="-5"/>
        </w:rPr>
        <w:t xml:space="preserve">） 行政运 </w:t>
      </w:r>
      <w:r>
        <w:rPr>
          <w:spacing w:val="-1"/>
        </w:rPr>
        <w:t>行（项</w:t>
      </w:r>
      <w:r>
        <w:rPr>
          <w:spacing w:val="-3"/>
        </w:rPr>
        <w:t>）</w:t>
      </w:r>
      <w:r>
        <w:rPr>
          <w:spacing w:val="-80"/>
        </w:rPr>
        <w:t xml:space="preserve"> </w:t>
      </w:r>
      <w:r>
        <w:rPr>
          <w:spacing w:val="-3"/>
        </w:rPr>
        <w:t>：</w:t>
      </w:r>
      <w:r>
        <w:rPr>
          <w:spacing w:val="-1"/>
        </w:rPr>
        <w:t>反映行政单位（包括实行公务员管理的事业单位）</w:t>
      </w:r>
      <w:r>
        <w:rPr>
          <w:rFonts w:hint="eastAsia"/>
          <w:spacing w:val="-1"/>
          <w:lang w:val="en-US" w:eastAsia="zh-CN"/>
        </w:rPr>
        <w:t>的基本支出。</w:t>
      </w:r>
    </w:p>
    <w:p w14:paraId="2777D22A">
      <w:pPr>
        <w:pStyle w:val="2"/>
        <w:spacing w:before="220" w:line="357" w:lineRule="auto"/>
        <w:ind w:left="35" w:right="133" w:firstLine="643"/>
      </w:pPr>
      <w:r>
        <w:rPr>
          <w:spacing w:val="-10"/>
        </w:rPr>
        <w:t>（</w:t>
      </w:r>
      <w:r>
        <w:rPr>
          <w:rFonts w:hint="eastAsia"/>
          <w:spacing w:val="-10"/>
          <w:lang w:val="en-US" w:eastAsia="zh-CN"/>
        </w:rPr>
        <w:t>二</w:t>
      </w:r>
      <w:r>
        <w:rPr>
          <w:spacing w:val="-10"/>
        </w:rPr>
        <w:t>） 一般公共服务支出（</w:t>
      </w:r>
      <w:r>
        <w:rPr>
          <w:spacing w:val="-10"/>
          <w:sz w:val="28"/>
          <w:szCs w:val="28"/>
        </w:rPr>
        <w:t>类）</w:t>
      </w:r>
      <w:r>
        <w:rPr>
          <w:rFonts w:hint="eastAsia"/>
          <w:spacing w:val="-4"/>
        </w:rPr>
        <w:t>党委办公厅（室）及相关机构事务</w:t>
      </w:r>
      <w:r>
        <w:rPr>
          <w:spacing w:val="-4"/>
        </w:rPr>
        <w:t>（款</w:t>
      </w:r>
      <w:r>
        <w:rPr>
          <w:spacing w:val="-5"/>
        </w:rPr>
        <w:t xml:space="preserve">） </w:t>
      </w:r>
      <w:r>
        <w:rPr>
          <w:rFonts w:hint="eastAsia"/>
          <w:spacing w:val="-10"/>
        </w:rPr>
        <w:t>其他党委办公厅（室）及相关机构事务支出</w:t>
      </w:r>
      <w:r>
        <w:rPr>
          <w:spacing w:val="8"/>
        </w:rPr>
        <w:t xml:space="preserve"> </w:t>
      </w:r>
      <w:r>
        <w:rPr>
          <w:spacing w:val="-9"/>
        </w:rPr>
        <w:t>：</w:t>
      </w:r>
      <w:r>
        <w:rPr>
          <w:spacing w:val="3"/>
        </w:rPr>
        <w:t>反映除上述项目以外</w:t>
      </w:r>
      <w:r>
        <w:rPr>
          <w:rFonts w:hint="eastAsia"/>
          <w:spacing w:val="-10"/>
        </w:rPr>
        <w:t>其他党委办公厅（室）及相关机构事务</w:t>
      </w:r>
      <w:r>
        <w:rPr>
          <w:spacing w:val="3"/>
        </w:rPr>
        <w:t>方面</w:t>
      </w:r>
      <w:r>
        <w:rPr>
          <w:spacing w:val="-10"/>
        </w:rPr>
        <w:t>的支出。</w:t>
      </w:r>
    </w:p>
    <w:p w14:paraId="7BF5FD29">
      <w:pPr>
        <w:pStyle w:val="2"/>
        <w:spacing w:before="209" w:line="357" w:lineRule="auto"/>
        <w:ind w:left="36" w:right="133" w:firstLine="642"/>
        <w:jc w:val="both"/>
        <w:rPr>
          <w:rFonts w:hint="default" w:eastAsia="仿宋"/>
          <w:spacing w:val="-4"/>
          <w:lang w:val="en-US" w:eastAsia="zh-CN"/>
        </w:rPr>
      </w:pPr>
      <w:r>
        <w:rPr>
          <w:spacing w:val="-1"/>
        </w:rPr>
        <w:t>（</w:t>
      </w:r>
      <w:r>
        <w:rPr>
          <w:rFonts w:hint="eastAsia"/>
          <w:spacing w:val="-4"/>
          <w:lang w:val="en-US" w:eastAsia="zh-CN"/>
        </w:rPr>
        <w:t>三</w:t>
      </w:r>
      <w:r>
        <w:rPr>
          <w:spacing w:val="-4"/>
        </w:rPr>
        <w:t>）社会保障和就业支出（类） 行政事业单位养老支 出（款） 机关事业单位基本养老保险缴费支出（项） ：反映 机关事业单位实施养老保险制度由单位缴纳的基本养老保</w:t>
      </w:r>
      <w:r>
        <w:rPr>
          <w:rFonts w:hint="eastAsia"/>
          <w:spacing w:val="-4"/>
          <w:lang w:val="en-US" w:eastAsia="zh-CN"/>
        </w:rPr>
        <w:t>险费支出。</w:t>
      </w:r>
    </w:p>
    <w:p w14:paraId="3CCAD80F">
      <w:pPr>
        <w:pStyle w:val="2"/>
        <w:spacing w:before="2" w:line="229" w:lineRule="auto"/>
        <w:rPr>
          <w:rFonts w:hint="eastAsia" w:ascii="仿宋" w:hAnsi="仿宋" w:eastAsia="仿宋" w:cs="仿宋"/>
          <w:snapToGrid w:val="0"/>
          <w:color w:val="000000"/>
          <w:spacing w:val="-1"/>
          <w:kern w:val="0"/>
          <w:sz w:val="31"/>
          <w:szCs w:val="31"/>
          <w:lang w:val="en-US" w:eastAsia="en-US" w:bidi="ar-SA"/>
        </w:rPr>
      </w:pPr>
      <w:r>
        <w:rPr>
          <w:rFonts w:hint="eastAsia" w:cs="仿宋"/>
          <w:snapToGrid w:val="0"/>
          <w:color w:val="000000"/>
          <w:spacing w:val="-1"/>
          <w:kern w:val="0"/>
          <w:sz w:val="31"/>
          <w:szCs w:val="31"/>
          <w:lang w:val="en-US" w:eastAsia="zh-CN" w:bidi="ar-SA"/>
        </w:rPr>
        <w:t>（四</w:t>
      </w:r>
      <w:r>
        <w:rPr>
          <w:rFonts w:hint="eastAsia" w:ascii="仿宋" w:hAnsi="仿宋" w:eastAsia="仿宋" w:cs="仿宋"/>
          <w:snapToGrid w:val="0"/>
          <w:color w:val="000000"/>
          <w:spacing w:val="-1"/>
          <w:kern w:val="0"/>
          <w:sz w:val="31"/>
          <w:szCs w:val="31"/>
          <w:lang w:val="en-US" w:eastAsia="en-US" w:bidi="ar-SA"/>
        </w:rPr>
        <w:t>）卫生健康支出：反映行政事业单位医疗方面的支出。</w:t>
      </w:r>
    </w:p>
    <w:p w14:paraId="2ECF9085">
      <w:pPr>
        <w:pStyle w:val="2"/>
        <w:spacing w:before="215" w:line="357" w:lineRule="auto"/>
        <w:ind w:left="34" w:right="137" w:firstLine="644"/>
        <w:rPr>
          <w:rFonts w:hint="eastAsia"/>
          <w:spacing w:val="-1"/>
          <w:lang w:val="en-US" w:eastAsia="en-US"/>
        </w:rPr>
      </w:pPr>
      <w:r>
        <w:rPr>
          <w:rFonts w:hint="eastAsia"/>
          <w:spacing w:val="-1"/>
          <w:lang w:val="en-US" w:eastAsia="en-US"/>
        </w:rPr>
        <w:t>（</w:t>
      </w:r>
      <w:r>
        <w:rPr>
          <w:rFonts w:hint="eastAsia"/>
          <w:spacing w:val="-1"/>
          <w:lang w:val="en-US" w:eastAsia="zh-CN"/>
        </w:rPr>
        <w:t>五</w:t>
      </w:r>
      <w:r>
        <w:rPr>
          <w:rFonts w:hint="eastAsia"/>
          <w:spacing w:val="-1"/>
          <w:lang w:val="en-US" w:eastAsia="en-US"/>
        </w:rPr>
        <w:t>）住房保障支出：反映行政事业单位按人力资源和社会保障部、财政部规定的基本工资和津贴补贴以及规定比例为职工缴纳的住房公积金。</w:t>
      </w:r>
    </w:p>
    <w:p w14:paraId="7C705458">
      <w:pPr>
        <w:pStyle w:val="2"/>
        <w:spacing w:before="2" w:line="229" w:lineRule="auto"/>
        <w:ind w:left="49"/>
        <w:rPr>
          <w:spacing w:val="-6"/>
        </w:rPr>
      </w:pPr>
    </w:p>
    <w:p w14:paraId="777C7D64">
      <w:pPr>
        <w:spacing w:before="213" w:line="232" w:lineRule="auto"/>
        <w:ind w:left="660"/>
        <w:outlineLvl w:val="6"/>
        <w:rPr>
          <w:rFonts w:ascii="楷体" w:hAnsi="楷体" w:eastAsia="楷体" w:cs="楷体"/>
          <w:sz w:val="31"/>
          <w:szCs w:val="31"/>
        </w:rPr>
      </w:pPr>
      <w:r>
        <w:rPr>
          <w:rFonts w:ascii="楷体" w:hAnsi="楷体" w:eastAsia="楷体" w:cs="楷体"/>
          <w:spacing w:val="10"/>
          <w:sz w:val="31"/>
          <w:szCs w:val="31"/>
          <w14:textOutline w14:w="4064" w14:cap="flat" w14:cmpd="sng">
            <w14:solidFill>
              <w14:srgbClr w14:val="000000"/>
            </w14:solidFill>
            <w14:prstDash w14:val="solid"/>
            <w14:miter w14:val="0"/>
          </w14:textOutline>
        </w:rPr>
        <w:t>三、相关专业名词</w:t>
      </w:r>
    </w:p>
    <w:p w14:paraId="5A7EE8B2">
      <w:pPr>
        <w:pStyle w:val="2"/>
        <w:spacing w:before="214" w:line="357" w:lineRule="auto"/>
        <w:ind w:left="35" w:right="133" w:firstLine="643"/>
        <w:jc w:val="both"/>
      </w:pPr>
      <w:r>
        <w:rPr>
          <w:spacing w:val="-2"/>
        </w:rPr>
        <w:t>（一）机关运行费：</w:t>
      </w:r>
      <w:r>
        <w:rPr>
          <w:spacing w:val="91"/>
        </w:rPr>
        <w:t xml:space="preserve"> </w:t>
      </w:r>
      <w:r>
        <w:rPr>
          <w:spacing w:val="-2"/>
        </w:rPr>
        <w:t>指用一般公共预算财政拨</w:t>
      </w:r>
      <w:r>
        <w:rPr>
          <w:spacing w:val="-3"/>
        </w:rPr>
        <w:t>款安排的</w:t>
      </w:r>
      <w:r>
        <w:t xml:space="preserve"> </w:t>
      </w:r>
      <w:r>
        <w:rPr>
          <w:spacing w:val="8"/>
        </w:rPr>
        <w:t>为保障行政单位（含参照公务员法管理的事业单位）运行用</w:t>
      </w:r>
      <w:r>
        <w:rPr>
          <w:spacing w:val="13"/>
        </w:rPr>
        <w:t xml:space="preserve"> </w:t>
      </w:r>
      <w:r>
        <w:rPr>
          <w:spacing w:val="8"/>
        </w:rPr>
        <w:t>于购买货物和服务的各项资金，包括办公费、印刷费、邮电</w:t>
      </w:r>
      <w:r>
        <w:rPr>
          <w:spacing w:val="13"/>
        </w:rPr>
        <w:t xml:space="preserve"> </w:t>
      </w:r>
      <w:r>
        <w:rPr>
          <w:spacing w:val="8"/>
        </w:rPr>
        <w:t>费、差旅费、会议费、福利费、日常维修费、专用材料及一</w:t>
      </w:r>
      <w:r>
        <w:rPr>
          <w:spacing w:val="14"/>
        </w:rPr>
        <w:t xml:space="preserve"> </w:t>
      </w:r>
      <w:r>
        <w:rPr>
          <w:spacing w:val="8"/>
        </w:rPr>
        <w:t>般设备购置费、办公用房水电费、办公用房取暖费、办公用</w:t>
      </w:r>
    </w:p>
    <w:p w14:paraId="0287D180">
      <w:pPr>
        <w:pStyle w:val="2"/>
        <w:spacing w:before="1" w:line="225" w:lineRule="auto"/>
        <w:ind w:left="40"/>
      </w:pPr>
      <w:r>
        <w:rPr>
          <w:spacing w:val="6"/>
        </w:rPr>
        <w:t>房物业管理费、公务用车运行维护费以及其他费用。</w:t>
      </w:r>
    </w:p>
    <w:p w14:paraId="3254F3AD">
      <w:pPr>
        <w:pStyle w:val="2"/>
        <w:spacing w:before="221" w:line="600" w:lineRule="exact"/>
        <w:jc w:val="right"/>
      </w:pPr>
      <w:r>
        <w:rPr>
          <w:spacing w:val="-11"/>
          <w:position w:val="21"/>
        </w:rPr>
        <w:t>（二）“三公”经费：指用财政拨款安排的因公出国（</w:t>
      </w:r>
      <w:r>
        <w:rPr>
          <w:spacing w:val="-12"/>
          <w:position w:val="21"/>
        </w:rPr>
        <w:t>境）</w:t>
      </w:r>
    </w:p>
    <w:p w14:paraId="211516C7">
      <w:pPr>
        <w:pStyle w:val="2"/>
        <w:spacing w:before="1" w:line="225" w:lineRule="auto"/>
        <w:ind w:left="44"/>
      </w:pPr>
      <w:r>
        <w:rPr>
          <w:spacing w:val="3"/>
        </w:rPr>
        <w:t>费、公务用车购置及运行维护费和公务接待</w:t>
      </w:r>
      <w:r>
        <w:rPr>
          <w:spacing w:val="2"/>
        </w:rPr>
        <w:t>费。其中， 因公</w:t>
      </w:r>
    </w:p>
    <w:p w14:paraId="22313FE8">
      <w:pPr>
        <w:pStyle w:val="2"/>
        <w:tabs>
          <w:tab w:val="left" w:pos="8609"/>
        </w:tabs>
        <w:spacing w:before="216" w:line="357" w:lineRule="auto"/>
        <w:ind w:left="39" w:firstLine="27"/>
        <w:jc w:val="both"/>
      </w:pPr>
      <w:r>
        <w:rPr>
          <w:spacing w:val="-7"/>
        </w:rPr>
        <w:t>出国（境） 费反映单位公务出国（境）</w:t>
      </w:r>
      <w:r>
        <w:rPr>
          <w:spacing w:val="68"/>
        </w:rPr>
        <w:t xml:space="preserve"> </w:t>
      </w:r>
      <w:r>
        <w:rPr>
          <w:spacing w:val="-7"/>
        </w:rPr>
        <w:t>的国际旅费、国外城</w:t>
      </w:r>
      <w:r>
        <w:t xml:space="preserve">   </w:t>
      </w:r>
      <w:r>
        <w:rPr>
          <w:spacing w:val="7"/>
        </w:rPr>
        <w:t>市间交通费、住宿费、伙食费、培训费、公杂费等支出；公</w:t>
      </w:r>
      <w:r>
        <w:tab/>
      </w:r>
      <w:r>
        <w:t xml:space="preserve"> </w:t>
      </w:r>
      <w:r>
        <w:rPr>
          <w:spacing w:val="19"/>
        </w:rPr>
        <w:t xml:space="preserve">务用车购置及运行维护费反映单位公务用车车辆购置支出  </w:t>
      </w:r>
      <w:r>
        <w:rPr>
          <w:spacing w:val="-4"/>
        </w:rPr>
        <w:t>（含车辆购置税、牌照费</w:t>
      </w:r>
      <w:r>
        <w:rPr>
          <w:spacing w:val="-6"/>
        </w:rPr>
        <w:t>）</w:t>
      </w:r>
      <w:r>
        <w:rPr>
          <w:spacing w:val="-31"/>
        </w:rPr>
        <w:t xml:space="preserve"> </w:t>
      </w:r>
      <w:r>
        <w:rPr>
          <w:spacing w:val="-6"/>
        </w:rPr>
        <w:t>，</w:t>
      </w:r>
      <w:r>
        <w:rPr>
          <w:spacing w:val="-4"/>
        </w:rPr>
        <w:t>按规定保留的公务用车燃料费、</w:t>
      </w:r>
      <w:r>
        <w:t xml:space="preserve">  </w:t>
      </w:r>
      <w:r>
        <w:rPr>
          <w:spacing w:val="13"/>
        </w:rPr>
        <w:t xml:space="preserve">维修费、过桥过路费、保险费、安全奖励费 用等支出；公  </w:t>
      </w:r>
      <w:r>
        <w:rPr>
          <w:spacing w:val="7"/>
        </w:rPr>
        <w:t>务接待费反映单位按规定开支的各类公务接待（含外宾接待）</w:t>
      </w:r>
    </w:p>
    <w:p w14:paraId="4848EA84">
      <w:pPr>
        <w:pStyle w:val="2"/>
        <w:spacing w:before="1" w:line="229" w:lineRule="auto"/>
        <w:ind w:left="34"/>
      </w:pPr>
      <w:r>
        <w:rPr>
          <w:spacing w:val="-9"/>
        </w:rPr>
        <w:t>支出。</w:t>
      </w:r>
    </w:p>
    <w:sectPr>
      <w:pgSz w:w="11905" w:h="16840"/>
      <w:pgMar w:top="1431" w:right="1508" w:bottom="0" w:left="1785"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8"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楷体">
    <w:altName w:val="方正楷体_GBK"/>
    <w:panose1 w:val="02010609060101010101"/>
    <w:charset w:val="86"/>
    <w:family w:val="auto"/>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微软雅黑">
    <w:altName w:val="方正黑体_GBK"/>
    <w:panose1 w:val="00000000000000000000"/>
    <w:charset w:val="00"/>
    <w:family w:val="auto"/>
    <w:pitch w:val="default"/>
    <w:sig w:usb0="00000000" w:usb1="00000000" w:usb2="00000000" w:usb3="00000000" w:csb0="00000000" w:csb1="00000000"/>
  </w:font>
  <w:font w:name="MathJax_Vector">
    <w:panose1 w:val="02000603000000000000"/>
    <w:charset w:val="00"/>
    <w:family w:val="auto"/>
    <w:pitch w:val="default"/>
    <w:sig w:usb0="00000001" w:usb1="0000002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66DF0BB"/>
    <w:multiLevelType w:val="singleLevel"/>
    <w:tmpl w:val="266DF0BB"/>
    <w:lvl w:ilvl="0" w:tentative="0">
      <w:start w:val="4"/>
      <w:numFmt w:val="chineseCounting"/>
      <w:suff w:val="space"/>
      <w:lvlText w:val="第%1部分"/>
      <w:lvlJc w:val="left"/>
      <w:rPr>
        <w:rFonts w:hint="eastAsia"/>
      </w:rPr>
    </w:lvl>
  </w:abstractNum>
  <w:abstractNum w:abstractNumId="1">
    <w:nsid w:val="62B6ABF8"/>
    <w:multiLevelType w:val="singleLevel"/>
    <w:tmpl w:val="62B6ABF8"/>
    <w:lvl w:ilvl="0" w:tentative="0">
      <w:start w:val="3"/>
      <w:numFmt w:val="chineseCounting"/>
      <w:suff w:val="space"/>
      <w:lvlText w:val="第%1部分"/>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ODdkODZkNzBlN2E0MDliNzdhMzc5ZTQyNzBlMThmMWUifQ=="/>
  </w:docVars>
  <w:rsids>
    <w:rsidRoot w:val="00000000"/>
    <w:rsid w:val="01695B13"/>
    <w:rsid w:val="04F24DE5"/>
    <w:rsid w:val="05093CD6"/>
    <w:rsid w:val="0DB55A7E"/>
    <w:rsid w:val="0E0944E3"/>
    <w:rsid w:val="0E813ACF"/>
    <w:rsid w:val="0ED1325E"/>
    <w:rsid w:val="17C55373"/>
    <w:rsid w:val="1B7E71D9"/>
    <w:rsid w:val="1F106FB8"/>
    <w:rsid w:val="20825C93"/>
    <w:rsid w:val="24AE25E4"/>
    <w:rsid w:val="2A576FB4"/>
    <w:rsid w:val="2A97058D"/>
    <w:rsid w:val="2B1B2F6C"/>
    <w:rsid w:val="309C1CBC"/>
    <w:rsid w:val="31530632"/>
    <w:rsid w:val="3A06303A"/>
    <w:rsid w:val="3C9E612D"/>
    <w:rsid w:val="41766CF7"/>
    <w:rsid w:val="483401DB"/>
    <w:rsid w:val="4BBD3128"/>
    <w:rsid w:val="4E7E543D"/>
    <w:rsid w:val="53193986"/>
    <w:rsid w:val="5E70507C"/>
    <w:rsid w:val="5EC0115A"/>
    <w:rsid w:val="60956D42"/>
    <w:rsid w:val="629932A8"/>
    <w:rsid w:val="656C203B"/>
    <w:rsid w:val="68B041D5"/>
    <w:rsid w:val="6B987C5B"/>
    <w:rsid w:val="6EA324B4"/>
    <w:rsid w:val="75907680"/>
    <w:rsid w:val="797B1362"/>
    <w:rsid w:val="79E63D12"/>
    <w:rsid w:val="7FFFED0A"/>
    <w:rsid w:val="DBFFF175"/>
    <w:rsid w:val="FFDF967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31"/>
      <w:szCs w:val="31"/>
      <w:lang w:val="en-US" w:eastAsia="en-US" w:bidi="ar-SA"/>
    </w:rPr>
  </w:style>
  <w:style w:type="paragraph" w:styleId="3">
    <w:name w:val="Plain Text"/>
    <w:basedOn w:val="1"/>
    <w:qFormat/>
    <w:uiPriority w:val="0"/>
    <w:pPr>
      <w:widowControl w:val="0"/>
      <w:jc w:val="both"/>
    </w:pPr>
    <w:rPr>
      <w:rFonts w:ascii="宋体" w:hAnsi="Courier New" w:cs="Courier New"/>
      <w:kern w:val="2"/>
      <w:sz w:val="21"/>
      <w:szCs w:val="21"/>
      <w:lang w:val="en-US" w:eastAsia="zh-CN" w:bidi="ar-SA"/>
    </w:rPr>
  </w:style>
  <w:style w:type="paragraph" w:styleId="4">
    <w:name w:val="Normal (Web)"/>
    <w:basedOn w:val="1"/>
    <w:qFormat/>
    <w:uiPriority w:val="0"/>
    <w:rPr>
      <w:sz w:val="24"/>
    </w:rPr>
  </w:style>
  <w:style w:type="table" w:customStyle="1" w:styleId="7">
    <w:name w:val="Table Normal"/>
    <w:semiHidden/>
    <w:unhideWhenUsed/>
    <w:qFormat/>
    <w:uiPriority w:val="0"/>
    <w:tblPr>
      <w:tblCellMar>
        <w:top w:w="0" w:type="dxa"/>
        <w:left w:w="0" w:type="dxa"/>
        <w:bottom w:w="0" w:type="dxa"/>
        <w:right w:w="0" w:type="dxa"/>
      </w:tblCellMar>
    </w:tblPr>
  </w:style>
  <w:style w:type="paragraph" w:customStyle="1" w:styleId="8">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19</Pages>
  <Words>3449</Words>
  <Characters>3739</Characters>
  <TotalTime>5</TotalTime>
  <ScaleCrop>false</ScaleCrop>
  <LinksUpToDate>false</LinksUpToDate>
  <CharactersWithSpaces>3919</CharactersWithSpaces>
  <Application>WPS Office_12.8.2.21176_F1E327BC-269C-435d-A152-05C5408002CA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2024-02-07T19:06:00Z</dcterms:created>
  <dc:creator>&lt;BEC9C8CBB2BBB8B2&gt;</dc:creator>
  <cp:lastModifiedBy>jw5s</cp:lastModifiedBy>
  <dcterms:modified xsi:type="dcterms:W3CDTF">2026-03-02T12:02:32Z</dcterms:modified>
  <dc:title>&lt;A1BE33363030A1BFB9ABBFAACBB5C3F7A3A8B2BFC3C5A3A9313137BDADCEF7CAA1B2C6D5FECCFC2E646F6378&gt;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2024-02-26T10:49:18Z</vt:filetime>
  </property>
  <property fmtid="{D5CDD505-2E9C-101B-9397-08002B2CF9AE}" pid="4" name="KSOProductBuildVer">
    <vt:lpwstr>2052-12.8.2.21176</vt:lpwstr>
  </property>
  <property fmtid="{D5CDD505-2E9C-101B-9397-08002B2CF9AE}" pid="5" name="ICV">
    <vt:lpwstr>3FB324BBB0951603D8534668E92B350E_43</vt:lpwstr>
  </property>
  <property fmtid="{D5CDD505-2E9C-101B-9397-08002B2CF9AE}" pid="6" name="KSOTemplateDocerSaveRecord">
    <vt:lpwstr>eyJoZGlkIjoiN2YzNjBkOTgyNWQ1YTMxYzM3MzMwNWFiODNmOWIzYWMifQ==</vt:lpwstr>
  </property>
</Properties>
</file>