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D128">
      <w:pPr>
        <w:pStyle w:val="16"/>
        <w:bidi w:val="0"/>
        <w:rPr>
          <w:rFonts w:hint="eastAsia"/>
        </w:rPr>
      </w:pPr>
      <w:r>
        <w:rPr>
          <w:rFonts w:hint="eastAsia"/>
          <w:lang w:eastAsia="zh-CN"/>
        </w:rPr>
        <w:t>中共景德镇市珠山区委统一战线工作部2026</w:t>
      </w:r>
      <w:r>
        <w:rPr>
          <w:rFonts w:hint="eastAsia"/>
        </w:rPr>
        <w:t>年部门预算</w:t>
      </w:r>
    </w:p>
    <w:p w14:paraId="306B2BC8">
      <w:pPr>
        <w:pStyle w:val="13"/>
        <w:spacing w:line="600" w:lineRule="atLeast"/>
        <w:jc w:val="center"/>
        <w:rPr>
          <w:rFonts w:ascii="黑体" w:hAnsi="黑体" w:eastAsia="黑体"/>
          <w:color w:val="000000"/>
          <w:sz w:val="32"/>
          <w:szCs w:val="32"/>
        </w:rPr>
      </w:pPr>
    </w:p>
    <w:p w14:paraId="39BA5DAA">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221AABD">
      <w:pPr>
        <w:pStyle w:val="13"/>
        <w:rPr>
          <w:rFonts w:ascii="宋体" w:hAnsi="宋体"/>
          <w:color w:val="000000"/>
        </w:rPr>
      </w:pPr>
    </w:p>
    <w:p w14:paraId="6C23DBA9">
      <w:pPr>
        <w:pStyle w:val="17"/>
        <w:numPr>
          <w:ilvl w:val="0"/>
          <w:numId w:val="0"/>
        </w:numPr>
        <w:bidi w:val="0"/>
        <w:ind w:left="420" w:leftChars="200"/>
        <w:jc w:val="left"/>
        <w:rPr>
          <w:rFonts w:hint="eastAsia"/>
          <w:lang w:eastAsia="zh-CN"/>
        </w:rPr>
      </w:pPr>
      <w:r>
        <w:rPr>
          <w:rFonts w:hint="eastAsia"/>
          <w:lang w:val="en-US" w:eastAsia="zh-CN"/>
        </w:rPr>
        <w:t>第一部分  中共景德镇市珠山区委统一战线工作部概况</w:t>
      </w:r>
    </w:p>
    <w:p w14:paraId="4FE38676">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403677E">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B3690EB">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中共景德镇市珠山区委统一战线工作部2026</w:t>
      </w:r>
      <w:r>
        <w:rPr>
          <w:rFonts w:hint="eastAsia"/>
        </w:rPr>
        <w:t>年部门预算表</w:t>
      </w:r>
    </w:p>
    <w:p w14:paraId="01C5B67F">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B277AA9">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6E4E442C">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82BC6CC">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0C6F2ED">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59306ECB">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3F2A344">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CB49A4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C3AE3FA">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C187D27">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BF7629C">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8FBE37F">
      <w:pPr>
        <w:pStyle w:val="17"/>
        <w:numPr>
          <w:ilvl w:val="0"/>
          <w:numId w:val="0"/>
        </w:numPr>
        <w:bidi w:val="0"/>
        <w:ind w:left="420" w:leftChars="200"/>
        <w:jc w:val="left"/>
        <w:rPr>
          <w:rFonts w:hint="eastAsia"/>
          <w:lang w:eastAsia="zh-CN"/>
        </w:rPr>
      </w:pPr>
      <w:r>
        <w:rPr>
          <w:rFonts w:hint="eastAsia"/>
          <w:lang w:eastAsia="zh-CN"/>
        </w:rPr>
        <w:t>第三部分 中共景德镇市珠山区委统一战线工作部 2026年部门预算情况说明</w:t>
      </w:r>
    </w:p>
    <w:p w14:paraId="0A985C29">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24B8B16">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AC2059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62AAE341">
      <w:pPr>
        <w:pStyle w:val="17"/>
        <w:numPr>
          <w:ilvl w:val="0"/>
          <w:numId w:val="0"/>
        </w:numPr>
        <w:bidi w:val="0"/>
        <w:ind w:left="420" w:leftChars="200"/>
        <w:jc w:val="left"/>
        <w:rPr>
          <w:rFonts w:hint="eastAsia"/>
          <w:lang w:eastAsia="zh-CN"/>
        </w:rPr>
      </w:pPr>
      <w:r>
        <w:rPr>
          <w:rFonts w:hint="eastAsia"/>
          <w:lang w:eastAsia="zh-CN"/>
        </w:rPr>
        <w:t>第四部分  名词解释</w:t>
      </w:r>
    </w:p>
    <w:p w14:paraId="7F8148DE">
      <w:pPr>
        <w:widowControl/>
        <w:spacing w:line="580" w:lineRule="exact"/>
        <w:jc w:val="center"/>
        <w:rPr>
          <w:rFonts w:ascii="仿宋_GB2312" w:eastAsia="仿宋_GB2312"/>
          <w:b/>
          <w:sz w:val="32"/>
          <w:szCs w:val="30"/>
        </w:rPr>
      </w:pPr>
    </w:p>
    <w:p w14:paraId="5FF26A6A">
      <w:pPr>
        <w:widowControl/>
        <w:spacing w:line="580" w:lineRule="exact"/>
        <w:jc w:val="center"/>
        <w:rPr>
          <w:rFonts w:ascii="仿宋_GB2312" w:eastAsia="仿宋_GB2312"/>
          <w:b/>
          <w:sz w:val="32"/>
          <w:szCs w:val="30"/>
        </w:rPr>
      </w:pPr>
    </w:p>
    <w:p w14:paraId="0656C31A">
      <w:pPr>
        <w:widowControl/>
        <w:spacing w:line="580" w:lineRule="exact"/>
        <w:jc w:val="center"/>
        <w:rPr>
          <w:rFonts w:ascii="仿宋_GB2312" w:eastAsia="仿宋_GB2312"/>
          <w:b/>
          <w:sz w:val="32"/>
          <w:szCs w:val="30"/>
        </w:rPr>
      </w:pPr>
    </w:p>
    <w:p w14:paraId="132DA590">
      <w:pPr>
        <w:widowControl/>
        <w:spacing w:line="580" w:lineRule="exact"/>
        <w:jc w:val="center"/>
        <w:rPr>
          <w:rFonts w:ascii="仿宋_GB2312" w:eastAsia="仿宋_GB2312"/>
          <w:b/>
          <w:sz w:val="32"/>
          <w:szCs w:val="30"/>
        </w:rPr>
      </w:pPr>
    </w:p>
    <w:p w14:paraId="7C5193D3">
      <w:pPr>
        <w:widowControl/>
        <w:spacing w:line="580" w:lineRule="exact"/>
        <w:jc w:val="center"/>
        <w:rPr>
          <w:rFonts w:ascii="仿宋_GB2312" w:eastAsia="仿宋_GB2312"/>
          <w:b/>
          <w:sz w:val="32"/>
          <w:szCs w:val="30"/>
        </w:rPr>
      </w:pPr>
    </w:p>
    <w:p w14:paraId="31C5E663">
      <w:pPr>
        <w:widowControl/>
        <w:spacing w:line="580" w:lineRule="exact"/>
        <w:jc w:val="center"/>
        <w:rPr>
          <w:rFonts w:ascii="仿宋_GB2312" w:eastAsia="仿宋_GB2312"/>
          <w:b/>
          <w:sz w:val="32"/>
          <w:szCs w:val="30"/>
        </w:rPr>
      </w:pPr>
    </w:p>
    <w:p w14:paraId="2B3C5C01">
      <w:pPr>
        <w:widowControl/>
        <w:spacing w:line="580" w:lineRule="exact"/>
        <w:jc w:val="center"/>
        <w:rPr>
          <w:rFonts w:ascii="仿宋_GB2312" w:eastAsia="仿宋_GB2312"/>
          <w:b/>
          <w:sz w:val="32"/>
          <w:szCs w:val="30"/>
        </w:rPr>
      </w:pPr>
    </w:p>
    <w:p w14:paraId="22CC4A7C">
      <w:pPr>
        <w:widowControl/>
        <w:spacing w:line="580" w:lineRule="exact"/>
        <w:jc w:val="center"/>
        <w:rPr>
          <w:rFonts w:ascii="仿宋_GB2312" w:eastAsia="仿宋_GB2312"/>
          <w:b/>
          <w:sz w:val="32"/>
          <w:szCs w:val="30"/>
        </w:rPr>
      </w:pPr>
    </w:p>
    <w:p w14:paraId="052F1A89">
      <w:pPr>
        <w:widowControl/>
        <w:spacing w:line="580" w:lineRule="exact"/>
        <w:jc w:val="center"/>
        <w:rPr>
          <w:rFonts w:ascii="仿宋_GB2312" w:eastAsia="仿宋_GB2312"/>
          <w:b/>
          <w:sz w:val="32"/>
          <w:szCs w:val="30"/>
        </w:rPr>
      </w:pPr>
    </w:p>
    <w:p w14:paraId="2829A229">
      <w:pPr>
        <w:widowControl/>
        <w:spacing w:line="580" w:lineRule="exact"/>
        <w:jc w:val="center"/>
        <w:rPr>
          <w:rFonts w:ascii="仿宋_GB2312" w:eastAsia="仿宋_GB2312"/>
          <w:b/>
          <w:sz w:val="32"/>
          <w:szCs w:val="30"/>
        </w:rPr>
      </w:pPr>
    </w:p>
    <w:p w14:paraId="040D314C">
      <w:pPr>
        <w:widowControl/>
        <w:spacing w:line="580" w:lineRule="exact"/>
        <w:jc w:val="center"/>
        <w:rPr>
          <w:rFonts w:ascii="仿宋_GB2312" w:eastAsia="仿宋_GB2312"/>
          <w:b/>
          <w:sz w:val="32"/>
          <w:szCs w:val="30"/>
        </w:rPr>
      </w:pPr>
    </w:p>
    <w:p w14:paraId="39EF66B4">
      <w:pPr>
        <w:widowControl/>
        <w:spacing w:line="580" w:lineRule="exact"/>
        <w:jc w:val="center"/>
        <w:rPr>
          <w:rFonts w:ascii="仿宋_GB2312" w:eastAsia="仿宋_GB2312"/>
          <w:b/>
          <w:sz w:val="32"/>
          <w:szCs w:val="30"/>
        </w:rPr>
      </w:pPr>
    </w:p>
    <w:p w14:paraId="7914FD67">
      <w:pPr>
        <w:widowControl/>
        <w:spacing w:line="580" w:lineRule="exact"/>
        <w:jc w:val="center"/>
        <w:rPr>
          <w:rFonts w:ascii="仿宋_GB2312" w:eastAsia="仿宋_GB2312"/>
          <w:b/>
          <w:sz w:val="32"/>
          <w:szCs w:val="30"/>
        </w:rPr>
      </w:pPr>
    </w:p>
    <w:p w14:paraId="48F63321">
      <w:pPr>
        <w:widowControl/>
        <w:spacing w:line="580" w:lineRule="exact"/>
        <w:jc w:val="center"/>
        <w:rPr>
          <w:rFonts w:ascii="仿宋_GB2312" w:eastAsia="仿宋_GB2312"/>
          <w:b/>
          <w:sz w:val="32"/>
          <w:szCs w:val="30"/>
        </w:rPr>
      </w:pPr>
    </w:p>
    <w:p w14:paraId="7A71A4ED">
      <w:pPr>
        <w:pStyle w:val="17"/>
        <w:numPr>
          <w:ilvl w:val="0"/>
          <w:numId w:val="0"/>
        </w:numPr>
        <w:bidi w:val="0"/>
        <w:ind w:left="420" w:leftChars="200"/>
        <w:jc w:val="center"/>
        <w:rPr>
          <w:rFonts w:hint="eastAsia"/>
          <w:lang w:eastAsia="zh-CN"/>
        </w:rPr>
      </w:pPr>
      <w:r>
        <w:rPr>
          <w:rFonts w:hint="eastAsia"/>
          <w:lang w:eastAsia="zh-CN"/>
        </w:rPr>
        <w:t>第一部分  中共景德镇市珠山区委统一战线工作部概况</w:t>
      </w:r>
    </w:p>
    <w:p w14:paraId="3C551094">
      <w:pPr>
        <w:widowControl/>
        <w:spacing w:line="580" w:lineRule="exact"/>
        <w:jc w:val="left"/>
        <w:rPr>
          <w:rFonts w:asciiTheme="minorEastAsia" w:hAnsiTheme="minorEastAsia"/>
          <w:b/>
          <w:sz w:val="36"/>
          <w:szCs w:val="36"/>
        </w:rPr>
      </w:pPr>
    </w:p>
    <w:p w14:paraId="5012EAB6">
      <w:pPr>
        <w:pStyle w:val="17"/>
        <w:numPr>
          <w:ilvl w:val="0"/>
          <w:numId w:val="0"/>
        </w:numPr>
        <w:bidi w:val="0"/>
        <w:ind w:left="420" w:leftChars="200" w:firstLine="320" w:firstLineChars="100"/>
        <w:rPr>
          <w:rFonts w:hint="eastAsia"/>
        </w:rPr>
      </w:pPr>
      <w:r>
        <w:rPr>
          <w:rFonts w:hint="eastAsia"/>
        </w:rPr>
        <w:t>一、部门主要职责</w:t>
      </w:r>
    </w:p>
    <w:p w14:paraId="6488CCB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中共景德镇市珠山区委统一战线工作部贯彻落实党</w:t>
      </w:r>
      <w:r>
        <w:rPr>
          <w:rFonts w:hint="eastAsia" w:ascii="仿宋" w:hAnsi="仿宋" w:eastAsia="仿宋" w:cs="仿宋"/>
          <w:color w:val="000000"/>
          <w:kern w:val="0"/>
          <w:sz w:val="31"/>
          <w:szCs w:val="31"/>
          <w:lang w:val="en-US" w:eastAsia="zh-CN" w:bidi="ar"/>
        </w:rPr>
        <w:t>中央和省委、市委、区委关于统一战线工作方针政策和决策部署，在履行职责过程中坚持和加强党对统一战线工作集中统一领导。主要职责是：</w:t>
      </w:r>
    </w:p>
    <w:p w14:paraId="4E95800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（一）贯彻落实加强党对统一战线工作集中统一领导的</w:t>
      </w:r>
      <w:r>
        <w:rPr>
          <w:rFonts w:hint="eastAsia" w:ascii="仿宋" w:hAnsi="仿宋" w:eastAsia="仿宋" w:cs="仿宋"/>
          <w:color w:val="000000"/>
          <w:kern w:val="0"/>
          <w:sz w:val="31"/>
          <w:szCs w:val="31"/>
          <w:lang w:val="en-US" w:eastAsia="zh-CN" w:bidi="ar"/>
        </w:rPr>
        <w:t>要求，发挥统战工作方面的参谋、组织协调、具体执行、督促检查等作用，了解情况、掌握政策、协调关系、安排人事、增进共识、加强团结，协调统一战线各方面关系，贯彻落实中央、省委、市委、区委关于统一战线重大决策部署，巩固壮大最广泛的统一战线。</w:t>
      </w:r>
    </w:p>
    <w:p w14:paraId="04A8493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（二）贯彻落实中央、省、市委关于统一战线工作的理</w:t>
      </w:r>
      <w:r>
        <w:rPr>
          <w:rFonts w:hint="eastAsia" w:ascii="仿宋" w:hAnsi="仿宋" w:eastAsia="仿宋" w:cs="仿宋"/>
          <w:color w:val="000000"/>
          <w:kern w:val="0"/>
          <w:sz w:val="31"/>
          <w:szCs w:val="31"/>
          <w:lang w:val="en-US" w:eastAsia="zh-CN" w:bidi="ar"/>
        </w:rPr>
        <w:t>论、政策和法律法规及区委相关决策部署，深入调查研究，及时向区委报告统一战线工作情况并提出建议，统筹协调各部门各单位统一战线工作。</w:t>
      </w:r>
    </w:p>
    <w:p w14:paraId="327BFF3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（三）负责党外人士的政治安排，会同有关部门做好发</w:t>
      </w:r>
      <w:r>
        <w:rPr>
          <w:rFonts w:hint="eastAsia" w:ascii="仿宋" w:hAnsi="仿宋" w:eastAsia="仿宋" w:cs="仿宋"/>
          <w:color w:val="000000"/>
          <w:kern w:val="0"/>
          <w:sz w:val="31"/>
          <w:szCs w:val="31"/>
          <w:lang w:val="en-US" w:eastAsia="zh-CN" w:bidi="ar"/>
        </w:rPr>
        <w:t>现、培养党外代表人士担任政府和司法机关等领导职务的工作，反映和协调解决党外代表人士工作生活中的实际困难，统筹全区统一战线干部培训工作。</w:t>
      </w:r>
    </w:p>
    <w:p w14:paraId="642F133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（四）贯彻落实党的宣传工作方针，统筹推进全区统一</w:t>
      </w:r>
      <w:r>
        <w:rPr>
          <w:rFonts w:hint="eastAsia" w:ascii="仿宋" w:hAnsi="仿宋" w:eastAsia="仿宋" w:cs="仿宋"/>
          <w:color w:val="000000"/>
          <w:kern w:val="0"/>
          <w:sz w:val="31"/>
          <w:szCs w:val="31"/>
          <w:lang w:val="en-US" w:eastAsia="zh-CN" w:bidi="ar"/>
        </w:rPr>
        <w:t>战线宣传工作，研判涉及统一战线的舆情并协调有关部门应对处置。</w:t>
      </w:r>
    </w:p>
    <w:p w14:paraId="5DAD66E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（五）联系各民主党派，通报情况、反映意见，贯彻落</w:t>
      </w:r>
      <w:r>
        <w:rPr>
          <w:rFonts w:hint="eastAsia" w:ascii="仿宋" w:hAnsi="仿宋" w:eastAsia="仿宋" w:cs="仿宋"/>
          <w:color w:val="000000"/>
          <w:kern w:val="0"/>
          <w:sz w:val="31"/>
          <w:szCs w:val="31"/>
          <w:lang w:val="en-US" w:eastAsia="zh-CN" w:bidi="ar"/>
        </w:rPr>
        <w:t>实中国共产党领导的多党合作和政治协商制度以及对民主党派的方针政策，做好支持民主党派加强自身建设、履行职责、发挥作用的工作。</w:t>
      </w:r>
    </w:p>
    <w:p w14:paraId="0B39063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（六）贯彻落实党的民族工作方针，协调处理民族工作</w:t>
      </w:r>
      <w:r>
        <w:rPr>
          <w:rFonts w:hint="eastAsia" w:ascii="仿宋" w:hAnsi="仿宋" w:eastAsia="仿宋" w:cs="仿宋"/>
          <w:color w:val="000000"/>
          <w:kern w:val="0"/>
          <w:sz w:val="31"/>
          <w:szCs w:val="31"/>
          <w:lang w:val="en-US" w:eastAsia="zh-CN" w:bidi="ar"/>
        </w:rPr>
        <w:t>中的重大问题，根据分工做好少数民族干部工作，全面促进民族事业发展。</w:t>
      </w:r>
    </w:p>
    <w:p w14:paraId="23AF5E1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（七）统一管理宗教工作，贯彻落实党的宗教工作基本</w:t>
      </w:r>
      <w:r>
        <w:rPr>
          <w:rFonts w:hint="eastAsia" w:ascii="仿宋" w:hAnsi="仿宋" w:eastAsia="仿宋" w:cs="仿宋"/>
          <w:color w:val="000000"/>
          <w:kern w:val="0"/>
          <w:sz w:val="31"/>
          <w:szCs w:val="31"/>
          <w:lang w:val="en-US" w:eastAsia="zh-CN" w:bidi="ar"/>
        </w:rPr>
        <w:t>方针和政策，依法管理宗教行政事务，保护公民宗教信仰自由和正常的宗教活动，维护宗教界合法权益，抵御境外利用宗教进行渗透，引导宗教团体坚持中国化方向，巩固和发展党同宗教界的爱国统一战线。</w:t>
      </w:r>
    </w:p>
    <w:p w14:paraId="453380F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（八）负责联系、培养无党派代表人士，支持、帮助无</w:t>
      </w:r>
      <w:r>
        <w:rPr>
          <w:rFonts w:hint="eastAsia" w:ascii="仿宋" w:hAnsi="仿宋" w:eastAsia="仿宋" w:cs="仿宋"/>
          <w:color w:val="000000"/>
          <w:kern w:val="0"/>
          <w:sz w:val="31"/>
          <w:szCs w:val="31"/>
          <w:lang w:val="en-US" w:eastAsia="zh-CN" w:bidi="ar"/>
        </w:rPr>
        <w:t>党派人士加强自身建设、发挥作用。调查研究党外知识分子和新的社会阶层人士情况并提出建议，做好党外知识分子和新的社会阶层代表人士思想政治工作。</w:t>
      </w:r>
    </w:p>
    <w:p w14:paraId="6A1B265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（九）贯彻落实鼓励支持引导非公有制经济发展的方针</w:t>
      </w:r>
      <w:r>
        <w:rPr>
          <w:rFonts w:hint="eastAsia" w:ascii="仿宋" w:hAnsi="仿宋" w:eastAsia="仿宋" w:cs="仿宋"/>
          <w:color w:val="000000"/>
          <w:kern w:val="0"/>
          <w:sz w:val="31"/>
          <w:szCs w:val="31"/>
          <w:lang w:val="en-US" w:eastAsia="zh-CN" w:bidi="ar"/>
        </w:rPr>
        <w:t>政策，调查研究非公有制经济人士情况并提出建议，了解和反映非公有制经济人士的意见，团结、服务、引导、教育非公有制经济人士，促进非公有制经济健康发展和非公有制经济人士健康成长。</w:t>
      </w:r>
    </w:p>
    <w:p w14:paraId="354FC9A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（十）统一管理侨务工作，贯彻落实中共中央、省委、</w:t>
      </w:r>
      <w:r>
        <w:rPr>
          <w:rFonts w:hint="eastAsia" w:ascii="仿宋" w:hAnsi="仿宋" w:eastAsia="仿宋" w:cs="仿宋"/>
          <w:color w:val="000000"/>
          <w:kern w:val="0"/>
          <w:sz w:val="31"/>
          <w:szCs w:val="31"/>
          <w:lang w:val="en-US" w:eastAsia="zh-CN" w:bidi="ar"/>
        </w:rPr>
        <w:t>市委的侨务工作方针政策，组织协调、督促检查有关部门贯</w:t>
      </w:r>
      <w:r>
        <w:rPr>
          <w:rFonts w:ascii="仿宋" w:hAnsi="仿宋" w:eastAsia="仿宋" w:cs="仿宋"/>
          <w:color w:val="000000"/>
          <w:kern w:val="0"/>
          <w:sz w:val="31"/>
          <w:szCs w:val="31"/>
          <w:lang w:val="en-US" w:eastAsia="zh-CN" w:bidi="ar"/>
        </w:rPr>
        <w:t>彻执行侨务工作的方针政策和有关规定，管理侨务行政事务，</w:t>
      </w:r>
      <w:r>
        <w:rPr>
          <w:rFonts w:hint="eastAsia" w:ascii="仿宋" w:hAnsi="仿宋" w:eastAsia="仿宋" w:cs="仿宋"/>
          <w:color w:val="000000"/>
          <w:kern w:val="0"/>
          <w:sz w:val="31"/>
          <w:szCs w:val="31"/>
          <w:lang w:val="en-US" w:eastAsia="zh-CN" w:bidi="ar"/>
        </w:rPr>
        <w:t>统筹协调有关部门和社会团体涉侨工作，联系海外有关侨团和代表人士。</w:t>
      </w:r>
    </w:p>
    <w:p w14:paraId="2D6465F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（十一）负责开展海外统战工作，促进祖国统一，加强</w:t>
      </w:r>
      <w:r>
        <w:rPr>
          <w:rFonts w:hint="eastAsia" w:ascii="仿宋" w:hAnsi="仿宋" w:eastAsia="仿宋" w:cs="仿宋"/>
          <w:color w:val="000000"/>
          <w:kern w:val="0"/>
          <w:sz w:val="31"/>
          <w:szCs w:val="31"/>
          <w:lang w:val="en-US" w:eastAsia="zh-CN" w:bidi="ar"/>
        </w:rPr>
        <w:t>我区对外交流合作。联系香港、澳门、台湾和海外有关社团及代表人士。</w:t>
      </w:r>
    </w:p>
    <w:p w14:paraId="14DF29A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（十二）受区委委托，联系指导工商联工作。做好统一</w:t>
      </w:r>
      <w:r>
        <w:rPr>
          <w:rFonts w:hint="eastAsia" w:ascii="仿宋" w:hAnsi="仿宋" w:eastAsia="仿宋" w:cs="仿宋"/>
          <w:color w:val="000000"/>
          <w:kern w:val="0"/>
          <w:sz w:val="31"/>
          <w:szCs w:val="31"/>
          <w:lang w:val="en-US" w:eastAsia="zh-CN" w:bidi="ar"/>
        </w:rPr>
        <w:t>战线有关团体的管理工作。</w:t>
      </w:r>
    </w:p>
    <w:p w14:paraId="5BFC02C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rPr>
      </w:pPr>
      <w:r>
        <w:rPr>
          <w:rFonts w:ascii="仿宋" w:hAnsi="仿宋" w:eastAsia="仿宋" w:cs="仿宋"/>
          <w:color w:val="000000"/>
          <w:kern w:val="0"/>
          <w:sz w:val="31"/>
          <w:szCs w:val="31"/>
          <w:lang w:val="en-US" w:eastAsia="zh-CN" w:bidi="ar"/>
        </w:rPr>
        <w:t>（十三）完成区委交办的其他任务。</w:t>
      </w:r>
    </w:p>
    <w:p w14:paraId="401675D9">
      <w:pPr>
        <w:pStyle w:val="17"/>
        <w:numPr>
          <w:ilvl w:val="0"/>
          <w:numId w:val="0"/>
        </w:numPr>
        <w:bidi w:val="0"/>
        <w:ind w:left="420" w:leftChars="200" w:firstLine="320" w:firstLineChars="100"/>
        <w:rPr>
          <w:rFonts w:hint="eastAsia"/>
        </w:rPr>
      </w:pPr>
      <w:r>
        <w:rPr>
          <w:rFonts w:hint="eastAsia"/>
        </w:rPr>
        <w:t>二、机构设置及人员情况</w:t>
      </w:r>
    </w:p>
    <w:p w14:paraId="4581E6E2">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中共景德镇市珠山区委统一战线工作部共有预算单位1个，包括中共景德镇市珠山区委统一战线工作部</w:t>
      </w:r>
      <w:r>
        <w:rPr>
          <w:rFonts w:hint="eastAsia" w:ascii="仿宋_GB2312" w:hAnsi="仿宋_GB2312" w:eastAsia="仿宋_GB2312" w:cs="仿宋_GB2312"/>
        </w:rPr>
        <w:t>。</w:t>
      </w:r>
    </w:p>
    <w:p w14:paraId="28B1EF99">
      <w:pPr>
        <w:keepNext w:val="0"/>
        <w:keepLines w:val="0"/>
        <w:pageBreakBefore w:val="0"/>
        <w:widowControl/>
        <w:suppressLineNumbers w:val="0"/>
        <w:kinsoku/>
        <w:wordWrap/>
        <w:overflowPunct/>
        <w:topLinePunct w:val="0"/>
        <w:autoSpaceDE/>
        <w:autoSpaceDN/>
        <w:bidi w:val="0"/>
        <w:adjustRightInd/>
        <w:snapToGrid/>
        <w:ind w:firstLine="620" w:firstLineChars="200"/>
        <w:jc w:val="center"/>
        <w:textAlignment w:val="auto"/>
      </w:pPr>
      <w:r>
        <w:rPr>
          <w:rFonts w:ascii="仿宋" w:hAnsi="仿宋" w:eastAsia="仿宋" w:cs="仿宋"/>
          <w:color w:val="000000"/>
          <w:kern w:val="0"/>
          <w:sz w:val="31"/>
          <w:szCs w:val="31"/>
          <w:lang w:val="en-US" w:eastAsia="zh-CN" w:bidi="ar"/>
        </w:rPr>
        <w:t>编制人数小计5人,其中：行政编制人数5人,参照公务</w:t>
      </w:r>
    </w:p>
    <w:p w14:paraId="26D4C9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rPr>
      </w:pPr>
      <w:r>
        <w:rPr>
          <w:rFonts w:hint="eastAsia" w:ascii="仿宋" w:hAnsi="仿宋" w:eastAsia="仿宋" w:cs="仿宋"/>
          <w:color w:val="000000"/>
          <w:kern w:val="0"/>
          <w:sz w:val="31"/>
          <w:szCs w:val="31"/>
          <w:lang w:val="en-US" w:eastAsia="zh-CN" w:bidi="ar"/>
        </w:rPr>
        <w:t>员管理的事业编制人数0人,全部补助事业编制人数0人,自收自支编制人数0人。实有人数小计5人,其中：在职人数小计5人,行政在职人数5人,参照公务员管理的事业单位在职人数0人,全部补助事业在职人数0人。离休人数小计0人,退休人数小计0人,退职人员0人,遗属人数0人。</w:t>
      </w:r>
    </w:p>
    <w:p w14:paraId="0371438F">
      <w:pPr>
        <w:widowControl/>
        <w:spacing w:line="580" w:lineRule="exact"/>
        <w:jc w:val="center"/>
        <w:rPr>
          <w:rFonts w:ascii="仿宋_GB2312" w:eastAsia="仿宋_GB2312"/>
          <w:b/>
          <w:szCs w:val="30"/>
        </w:rPr>
      </w:pPr>
    </w:p>
    <w:p w14:paraId="01BB363E">
      <w:pPr>
        <w:pStyle w:val="17"/>
        <w:numPr>
          <w:ilvl w:val="0"/>
          <w:numId w:val="0"/>
        </w:numPr>
        <w:bidi w:val="0"/>
        <w:ind w:left="420" w:leftChars="200"/>
        <w:jc w:val="center"/>
        <w:rPr>
          <w:rFonts w:hint="eastAsia"/>
          <w:lang w:eastAsia="zh-CN"/>
        </w:rPr>
      </w:pPr>
      <w:r>
        <w:rPr>
          <w:rFonts w:hint="eastAsia"/>
          <w:lang w:eastAsia="zh-CN"/>
        </w:rPr>
        <w:t>第二部分  中共景德镇市珠山区委统一战线工作部2026年部门预算表</w:t>
      </w:r>
    </w:p>
    <w:p w14:paraId="2B2E73A1">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B41F76D">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E5E1A9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1C4985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2CAA5F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108中共景德镇市珠山区委统一战线工作部</w:t>
            </w:r>
          </w:p>
        </w:tc>
        <w:tc>
          <w:tcPr>
            <w:tcW w:w="1655" w:type="pct"/>
            <w:noWrap/>
            <w:vAlign w:val="bottom"/>
          </w:tcPr>
          <w:p w14:paraId="5C24E05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A84EF5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67F17E8">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2B3B3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63D1B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F1C305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D1CCD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B8B77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01D1A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ECF67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F168A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36EA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1AE3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c>
          <w:tcPr>
            <w:tcW w:w="1655" w:type="pct"/>
            <w:tcBorders>
              <w:top w:val="nil"/>
              <w:left w:val="nil"/>
              <w:bottom w:val="single" w:color="000000" w:sz="4" w:space="0"/>
              <w:right w:val="single" w:color="000000" w:sz="4" w:space="0"/>
            </w:tcBorders>
            <w:noWrap/>
            <w:vAlign w:val="center"/>
          </w:tcPr>
          <w:p w14:paraId="03E43B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838DD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173.48</w:t>
            </w:r>
          </w:p>
        </w:tc>
      </w:tr>
      <w:tr w14:paraId="023CFD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82D0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E3537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c>
          <w:tcPr>
            <w:tcW w:w="1655" w:type="pct"/>
            <w:tcBorders>
              <w:top w:val="nil"/>
              <w:left w:val="nil"/>
              <w:bottom w:val="single" w:color="000000" w:sz="4" w:space="0"/>
              <w:right w:val="single" w:color="000000" w:sz="4" w:space="0"/>
            </w:tcBorders>
            <w:noWrap/>
            <w:vAlign w:val="center"/>
          </w:tcPr>
          <w:p w14:paraId="5DFFEB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DCB0D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9.71</w:t>
            </w:r>
          </w:p>
        </w:tc>
      </w:tr>
      <w:tr w14:paraId="413A86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93BA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5E43F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EA3E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79813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4.07</w:t>
            </w:r>
          </w:p>
        </w:tc>
      </w:tr>
      <w:tr w14:paraId="60B275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B88C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97C6A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29E3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0143F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7.19</w:t>
            </w:r>
          </w:p>
        </w:tc>
      </w:tr>
      <w:tr w14:paraId="2243F7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C208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17D4F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2C76D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CB00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5E82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B1EC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3A86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04486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B85C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0736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C276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33C2A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EF23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5183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E3CA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5E60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FFCB8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A358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9D05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6B25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0CCA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FB9BF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3FFD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2601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F174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6D49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AADC1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F0C8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D665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BEC2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844F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59FA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2E98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250B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A48E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505E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64B6F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F02E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0FCF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BBD1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A824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5286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1D30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7E5D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DC47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8A0D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AF59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48AF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B83D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F63C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DD0B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25AD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9EB6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AC3E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DAE7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7E03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7B14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9F2A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59D3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0305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170F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96A9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3AA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71E8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BFD5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0E01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B7DD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E77C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087F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3134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1F5F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3ED1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D16D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3747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9138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F052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12E7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C1B1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D3E8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1E52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2FDC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8FAB9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D8D5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2D36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2EFD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B498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0D08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ED5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B60B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AD68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C71F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41E7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10C5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DF22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7F16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79DA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4A31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7CB4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AFC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E788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741D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C509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5E95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1CF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F1F5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2A46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92BC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A69C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CDE7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F8FF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1214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3F8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D23F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E0C2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A593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2414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7943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A6FD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FC4D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D2A4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240A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A952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BFCF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180E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3FD0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64FA3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465EB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c>
          <w:tcPr>
            <w:tcW w:w="1655" w:type="pct"/>
            <w:tcBorders>
              <w:top w:val="nil"/>
              <w:left w:val="nil"/>
              <w:bottom w:val="single" w:color="auto" w:sz="4" w:space="0"/>
              <w:right w:val="single" w:color="000000" w:sz="4" w:space="0"/>
            </w:tcBorders>
            <w:noWrap/>
            <w:vAlign w:val="center"/>
          </w:tcPr>
          <w:p w14:paraId="4F372C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3234D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r>
      <w:tr w14:paraId="0F374D6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84FF6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6786F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7DD8B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67CD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969D7E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562EA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FDAA2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263D9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F778B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C0DDB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8D096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A3498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c>
          <w:tcPr>
            <w:tcW w:w="1655" w:type="pct"/>
            <w:tcBorders>
              <w:top w:val="single" w:color="auto" w:sz="4" w:space="0"/>
              <w:left w:val="single" w:color="auto" w:sz="4" w:space="0"/>
              <w:bottom w:val="single" w:color="auto" w:sz="4" w:space="0"/>
              <w:right w:val="single" w:color="auto" w:sz="4" w:space="0"/>
            </w:tcBorders>
            <w:noWrap/>
            <w:vAlign w:val="center"/>
          </w:tcPr>
          <w:p w14:paraId="621135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BD92C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194.45</w:t>
            </w:r>
          </w:p>
        </w:tc>
      </w:tr>
    </w:tbl>
    <w:p w14:paraId="502C4DF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E3B2E5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6D8BD1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683A58A5">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47C4515">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填报单位:108中共景德镇市珠山区委统一战线工作部</w:t>
            </w:r>
          </w:p>
        </w:tc>
        <w:tc>
          <w:tcPr>
            <w:tcW w:w="422" w:type="pct"/>
            <w:tcBorders>
              <w:top w:val="nil"/>
              <w:left w:val="nil"/>
              <w:bottom w:val="single" w:color="auto" w:sz="4" w:space="0"/>
              <w:right w:val="nil"/>
            </w:tcBorders>
            <w:shd w:val="clear" w:color="auto" w:fill="auto"/>
            <w:noWrap/>
            <w:vAlign w:val="bottom"/>
          </w:tcPr>
          <w:p w14:paraId="4309DA35">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71DB82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66BFF1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BA1DE9E">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0D093F8">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5BB17489">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AE5C8E6">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DEA172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B6BF0A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BC35F66">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5F67547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8E059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D07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7A29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938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6FE3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9B280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835ED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F30E0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D8CC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FA45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83DB3F7">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F12862A">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2EA87F8">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7BD9F84">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3F194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54F80D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C4CBBF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82F52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7E5798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0289A2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EB2E495">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72C49B4C">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0BC90EA">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4640738">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2D25A83">
            <w:pPr>
              <w:widowControl/>
              <w:jc w:val="left"/>
              <w:rPr>
                <w:rFonts w:ascii="宋体" w:hAnsi="宋体" w:eastAsia="宋体" w:cs="Arial"/>
                <w:color w:val="000000"/>
                <w:kern w:val="0"/>
                <w:sz w:val="13"/>
                <w:szCs w:val="13"/>
              </w:rPr>
            </w:pPr>
          </w:p>
        </w:tc>
      </w:tr>
      <w:tr w14:paraId="12CE1EBD">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2AD2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58DA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3CE9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EC25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462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A06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66C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71CC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DB94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C323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FE9C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155D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0E60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634C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7415B7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2EF1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206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0A3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DE4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BE3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17F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8FF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7DA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796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E3A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FCE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B94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2EB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FBEEF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F42ADD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0201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中共景德镇市珠山区委统一战线工作部</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04D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88D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161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4F6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194.45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41F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1A4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21D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129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0CF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901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9E5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65E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6565C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65D54B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446C59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ABF59DE">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6E31C1E1">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60041C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108中共景德镇市珠山区委统一战线工作部</w:t>
            </w:r>
          </w:p>
        </w:tc>
        <w:tc>
          <w:tcPr>
            <w:tcW w:w="914" w:type="pct"/>
            <w:tcBorders>
              <w:top w:val="nil"/>
              <w:left w:val="nil"/>
              <w:bottom w:val="nil"/>
              <w:right w:val="nil"/>
            </w:tcBorders>
            <w:shd w:val="clear" w:color="auto" w:fill="auto"/>
            <w:noWrap/>
            <w:vAlign w:val="bottom"/>
          </w:tcPr>
          <w:p w14:paraId="41C742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D2B15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99DDF1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2383D2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782C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D8754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D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D37375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DF82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0DFF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58C4CB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FBD6FF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B1AD8A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31A427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1D11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FBB2C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4F5D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40BC44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8AECF5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BA0FB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669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F35B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FFA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FC51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84B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258DC26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BD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4DB2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E04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E6E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A7F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0E1CB7D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4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17F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统战事务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972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93D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E17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6F2FA3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2F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6F3D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2AD7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D86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09C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38CA7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8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971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其他统战事务支出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B85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767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6F98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90.00</w:t>
            </w:r>
          </w:p>
        </w:tc>
      </w:tr>
      <w:tr w14:paraId="5EC130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C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962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F69B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B9D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C25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53463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F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B89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30B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BEF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994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D320A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0F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DBAC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ADF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D52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205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4F0A9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C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EA0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A37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68C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2A5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6B169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39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460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D4B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FD2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F0A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E1D50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9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427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72C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329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5C5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4644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A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4A5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7B7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1CC0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32F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E54E5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5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9B6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C48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F3FF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80D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5FEC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D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B870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0DD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792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41B6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C2B876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A6B4918">
        <w:trPr>
          <w:trHeight w:val="585" w:hRule="atLeast"/>
          <w:tblHeader/>
        </w:trPr>
        <w:tc>
          <w:tcPr>
            <w:tcW w:w="5000" w:type="pct"/>
            <w:gridSpan w:val="7"/>
            <w:noWrap/>
            <w:vAlign w:val="center"/>
          </w:tcPr>
          <w:p w14:paraId="6969EE2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7E5D21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741A89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填报单位:108中共景德镇市珠山区委统一战线工作部</w:t>
            </w:r>
          </w:p>
        </w:tc>
        <w:tc>
          <w:tcPr>
            <w:tcW w:w="577" w:type="pct"/>
            <w:noWrap/>
            <w:vAlign w:val="bottom"/>
          </w:tcPr>
          <w:p w14:paraId="77A04F5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25AF64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FC1A6A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0B3D92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E2C2B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46EB8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FBA9730">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5BD3B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26F99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B296D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3FCBB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DD22E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5774C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2D7F9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B813F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6C6BA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2D433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194.45</w:t>
            </w:r>
          </w:p>
        </w:tc>
        <w:tc>
          <w:tcPr>
            <w:tcW w:w="948" w:type="pct"/>
            <w:tcBorders>
              <w:top w:val="nil"/>
              <w:left w:val="nil"/>
              <w:bottom w:val="single" w:color="000000" w:sz="4" w:space="0"/>
              <w:right w:val="single" w:color="000000" w:sz="4" w:space="0"/>
            </w:tcBorders>
            <w:noWrap/>
            <w:vAlign w:val="center"/>
          </w:tcPr>
          <w:p w14:paraId="653F44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1AD0B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173.48</w:t>
            </w:r>
          </w:p>
        </w:tc>
        <w:tc>
          <w:tcPr>
            <w:tcW w:w="612" w:type="pct"/>
            <w:tcBorders>
              <w:top w:val="nil"/>
              <w:left w:val="nil"/>
              <w:bottom w:val="single" w:color="000000" w:sz="4" w:space="0"/>
              <w:right w:val="single" w:color="000000" w:sz="4" w:space="0"/>
            </w:tcBorders>
            <w:noWrap/>
            <w:vAlign w:val="center"/>
          </w:tcPr>
          <w:p w14:paraId="0151FA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173.48</w:t>
            </w:r>
          </w:p>
        </w:tc>
        <w:tc>
          <w:tcPr>
            <w:tcW w:w="602" w:type="pct"/>
            <w:tcBorders>
              <w:top w:val="nil"/>
              <w:left w:val="nil"/>
              <w:bottom w:val="single" w:color="000000" w:sz="4" w:space="0"/>
              <w:right w:val="single" w:color="000000" w:sz="4" w:space="0"/>
            </w:tcBorders>
            <w:noWrap/>
            <w:vAlign w:val="center"/>
          </w:tcPr>
          <w:p w14:paraId="7112FA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60467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DBD5B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E0029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7EB7E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194.45</w:t>
            </w:r>
          </w:p>
        </w:tc>
        <w:tc>
          <w:tcPr>
            <w:tcW w:w="948" w:type="pct"/>
            <w:tcBorders>
              <w:top w:val="nil"/>
              <w:left w:val="single" w:color="000000" w:sz="4" w:space="0"/>
              <w:bottom w:val="single" w:color="000000" w:sz="4" w:space="0"/>
              <w:right w:val="single" w:color="000000" w:sz="4" w:space="0"/>
            </w:tcBorders>
            <w:noWrap/>
            <w:vAlign w:val="center"/>
          </w:tcPr>
          <w:p w14:paraId="0B92DCFB">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C6A1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9.71</w:t>
            </w:r>
          </w:p>
        </w:tc>
        <w:tc>
          <w:tcPr>
            <w:tcW w:w="612" w:type="pct"/>
            <w:tcBorders>
              <w:top w:val="nil"/>
              <w:left w:val="nil"/>
              <w:bottom w:val="single" w:color="000000" w:sz="4" w:space="0"/>
              <w:right w:val="single" w:color="000000" w:sz="4" w:space="0"/>
            </w:tcBorders>
            <w:noWrap/>
            <w:vAlign w:val="center"/>
          </w:tcPr>
          <w:p w14:paraId="5FC10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9.71</w:t>
            </w:r>
          </w:p>
        </w:tc>
        <w:tc>
          <w:tcPr>
            <w:tcW w:w="602" w:type="pct"/>
            <w:tcBorders>
              <w:top w:val="nil"/>
              <w:left w:val="nil"/>
              <w:bottom w:val="single" w:color="000000" w:sz="4" w:space="0"/>
              <w:right w:val="single" w:color="000000" w:sz="4" w:space="0"/>
            </w:tcBorders>
            <w:noWrap/>
            <w:vAlign w:val="center"/>
          </w:tcPr>
          <w:p w14:paraId="499E5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053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AE7C2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30B77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5F8F6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472A7A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0DCB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4.07</w:t>
            </w:r>
          </w:p>
        </w:tc>
        <w:tc>
          <w:tcPr>
            <w:tcW w:w="612" w:type="pct"/>
            <w:tcBorders>
              <w:top w:val="nil"/>
              <w:left w:val="nil"/>
              <w:bottom w:val="single" w:color="000000" w:sz="4" w:space="0"/>
              <w:right w:val="single" w:color="000000" w:sz="4" w:space="0"/>
            </w:tcBorders>
            <w:noWrap/>
            <w:vAlign w:val="center"/>
          </w:tcPr>
          <w:p w14:paraId="28A0A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4.07</w:t>
            </w:r>
          </w:p>
        </w:tc>
        <w:tc>
          <w:tcPr>
            <w:tcW w:w="602" w:type="pct"/>
            <w:tcBorders>
              <w:top w:val="nil"/>
              <w:left w:val="nil"/>
              <w:bottom w:val="single" w:color="000000" w:sz="4" w:space="0"/>
              <w:right w:val="single" w:color="000000" w:sz="4" w:space="0"/>
            </w:tcBorders>
            <w:noWrap/>
            <w:vAlign w:val="center"/>
          </w:tcPr>
          <w:p w14:paraId="33EBC5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4E44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4ECA9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3DB00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A4BE1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78BC907">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2D462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7.19</w:t>
            </w:r>
          </w:p>
        </w:tc>
        <w:tc>
          <w:tcPr>
            <w:tcW w:w="612" w:type="pct"/>
            <w:tcBorders>
              <w:top w:val="nil"/>
              <w:left w:val="nil"/>
              <w:bottom w:val="single" w:color="000000" w:sz="4" w:space="0"/>
              <w:right w:val="single" w:color="000000" w:sz="4" w:space="0"/>
            </w:tcBorders>
            <w:noWrap/>
            <w:vAlign w:val="center"/>
          </w:tcPr>
          <w:p w14:paraId="6F0A9A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7.19</w:t>
            </w:r>
          </w:p>
        </w:tc>
        <w:tc>
          <w:tcPr>
            <w:tcW w:w="602" w:type="pct"/>
            <w:tcBorders>
              <w:top w:val="nil"/>
              <w:left w:val="nil"/>
              <w:bottom w:val="single" w:color="000000" w:sz="4" w:space="0"/>
              <w:right w:val="single" w:color="000000" w:sz="4" w:space="0"/>
            </w:tcBorders>
            <w:noWrap/>
            <w:vAlign w:val="center"/>
          </w:tcPr>
          <w:p w14:paraId="1FDB67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62903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D3880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E5BB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34A0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F668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7ADA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6BC5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341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7C5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6420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1BFF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8EC2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450D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BB4C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8AB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6AD1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4CEB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7207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04EB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9A17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1E02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7570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DCA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EA22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EF21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4D77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F304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B3D8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F82F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6BF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016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7EE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BDF3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B1C3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CCA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126F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DEF2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AE2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C8DA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13D1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61E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86A8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9787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1F45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17BE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4035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ED49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95B1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34AB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499B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FFF2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6638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86B4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BAD8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7B6C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349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B2B7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1F22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1ACE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C9A4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392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424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8CE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6A1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331B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8525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1F81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D93C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78A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10B3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6D11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179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5E0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61CF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3EEC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3960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5B43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5E40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D0D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E7F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ACF9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7693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C6CE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E548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6AC7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7EFB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883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F095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215B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927A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0B27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CBE1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4F18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7C2A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ECF0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82FF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E644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6EAB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81C2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9E78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B1C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E181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E3D9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1403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B34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2FAE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BDD4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2FF3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E2D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9670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C0D7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B84C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BC2A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52C6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5169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6B6C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4DCC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69D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B79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8CDC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DDB6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119B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AE47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B93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2777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16E3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B19E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9D30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4C0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2CBA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3FC2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CED2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8EA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FED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C936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2CFE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6B7F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A9C6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F9B6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2D3A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0C1E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B5B9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C1A1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F4C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F96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F83C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F24E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C480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EC89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FF02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075F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1CA3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0706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98D7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72B1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F823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BFB0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262C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B323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965E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A18A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E942A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523CF2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5A659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B898C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4E94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E0E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DEC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1A05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C803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85CE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02EB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5BD0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84A4F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2D87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5EE1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9EF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73BB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6594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3621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E1A3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B8DD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F0D6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D2DE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1699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358F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D6F2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5F447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E140A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8EB2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1EE9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C48C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A555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DC2D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C485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2198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43EC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02D25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D9B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453F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EE53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F5F5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F4B9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C260B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28320AE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5F1C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B582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BC1C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C9576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45D3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AC11A8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DBF7E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4EA76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9783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2AB2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087DD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E840CF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29ECAF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2AED46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4C357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44A15B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A4FF8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56952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BD56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9E85C4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5DBCC6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27CA3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7C9D6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194.45</w:t>
            </w:r>
          </w:p>
        </w:tc>
        <w:tc>
          <w:tcPr>
            <w:tcW w:w="948" w:type="pct"/>
            <w:tcBorders>
              <w:top w:val="single" w:color="auto" w:sz="4" w:space="0"/>
              <w:left w:val="single" w:color="auto" w:sz="4" w:space="0"/>
              <w:bottom w:val="single" w:color="auto" w:sz="4" w:space="0"/>
              <w:right w:val="single" w:color="auto" w:sz="4" w:space="0"/>
            </w:tcBorders>
            <w:noWrap/>
            <w:vAlign w:val="center"/>
          </w:tcPr>
          <w:p w14:paraId="7916FE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276F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194.45</w:t>
            </w:r>
          </w:p>
        </w:tc>
        <w:tc>
          <w:tcPr>
            <w:tcW w:w="612" w:type="pct"/>
            <w:tcBorders>
              <w:top w:val="single" w:color="auto" w:sz="4" w:space="0"/>
              <w:left w:val="single" w:color="auto" w:sz="4" w:space="0"/>
              <w:bottom w:val="single" w:color="auto" w:sz="4" w:space="0"/>
              <w:right w:val="single" w:color="auto" w:sz="4" w:space="0"/>
            </w:tcBorders>
            <w:noWrap/>
            <w:vAlign w:val="center"/>
          </w:tcPr>
          <w:p w14:paraId="232D1F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194.45</w:t>
            </w:r>
          </w:p>
        </w:tc>
        <w:tc>
          <w:tcPr>
            <w:tcW w:w="602" w:type="pct"/>
            <w:tcBorders>
              <w:top w:val="single" w:color="auto" w:sz="4" w:space="0"/>
              <w:left w:val="single" w:color="auto" w:sz="4" w:space="0"/>
              <w:bottom w:val="single" w:color="auto" w:sz="4" w:space="0"/>
              <w:right w:val="single" w:color="auto" w:sz="4" w:space="0"/>
            </w:tcBorders>
            <w:noWrap/>
            <w:vAlign w:val="center"/>
          </w:tcPr>
          <w:p w14:paraId="57B9C5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E1B4F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092BC8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DC6369A">
        <w:tblPrEx>
          <w:tblCellMar>
            <w:top w:w="0" w:type="dxa"/>
            <w:left w:w="108" w:type="dxa"/>
            <w:bottom w:w="0" w:type="dxa"/>
            <w:right w:w="108" w:type="dxa"/>
          </w:tblCellMar>
        </w:tblPrEx>
        <w:trPr>
          <w:trHeight w:val="585" w:hRule="atLeast"/>
          <w:tblHeader/>
        </w:trPr>
        <w:tc>
          <w:tcPr>
            <w:tcW w:w="5000" w:type="pct"/>
            <w:gridSpan w:val="5"/>
            <w:noWrap/>
            <w:vAlign w:val="center"/>
          </w:tcPr>
          <w:p w14:paraId="2A065E7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06BFF09">
        <w:tblPrEx>
          <w:tblCellMar>
            <w:top w:w="0" w:type="dxa"/>
            <w:left w:w="108" w:type="dxa"/>
            <w:bottom w:w="0" w:type="dxa"/>
            <w:right w:w="108" w:type="dxa"/>
          </w:tblCellMar>
        </w:tblPrEx>
        <w:trPr>
          <w:trHeight w:val="420" w:hRule="atLeast"/>
          <w:tblHeader/>
        </w:trPr>
        <w:tc>
          <w:tcPr>
            <w:tcW w:w="2433" w:type="pct"/>
            <w:gridSpan w:val="2"/>
            <w:noWrap/>
            <w:vAlign w:val="center"/>
          </w:tcPr>
          <w:p w14:paraId="41B15C7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填报单位:108中共景德镇市珠山区委统一战线工作部</w:t>
            </w:r>
          </w:p>
        </w:tc>
        <w:tc>
          <w:tcPr>
            <w:tcW w:w="1056" w:type="pct"/>
            <w:noWrap/>
            <w:vAlign w:val="bottom"/>
          </w:tcPr>
          <w:p w14:paraId="5B46FA0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569A5A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1C3DAB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DADA06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EFF1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60BF1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CE1064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F9FF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8EFA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7228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E26D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CB0E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08E5FB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EC79E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2CFA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0A97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18DCC2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78304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91D93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42EE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9599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9D90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194.45</w:t>
            </w:r>
          </w:p>
        </w:tc>
        <w:tc>
          <w:tcPr>
            <w:tcW w:w="684" w:type="pct"/>
            <w:tcBorders>
              <w:top w:val="single" w:color="000000" w:sz="4" w:space="0"/>
              <w:left w:val="nil"/>
              <w:bottom w:val="single" w:color="000000" w:sz="4" w:space="0"/>
              <w:right w:val="single" w:color="000000" w:sz="4" w:space="0"/>
            </w:tcBorders>
            <w:noWrap/>
            <w:vAlign w:val="center"/>
          </w:tcPr>
          <w:p w14:paraId="009FE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104.45</w:t>
            </w:r>
          </w:p>
        </w:tc>
        <w:tc>
          <w:tcPr>
            <w:tcW w:w="825" w:type="pct"/>
            <w:tcBorders>
              <w:top w:val="single" w:color="000000" w:sz="4" w:space="0"/>
              <w:left w:val="nil"/>
              <w:bottom w:val="single" w:color="000000" w:sz="4" w:space="0"/>
              <w:right w:val="single" w:color="000000" w:sz="4" w:space="0"/>
            </w:tcBorders>
            <w:noWrap/>
            <w:vAlign w:val="center"/>
          </w:tcPr>
          <w:p w14:paraId="3C6CD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6E05C2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5AA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CA08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6A11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173.48</w:t>
            </w:r>
          </w:p>
        </w:tc>
        <w:tc>
          <w:tcPr>
            <w:tcW w:w="684" w:type="pct"/>
            <w:tcBorders>
              <w:top w:val="single" w:color="000000" w:sz="4" w:space="0"/>
              <w:left w:val="nil"/>
              <w:bottom w:val="single" w:color="000000" w:sz="4" w:space="0"/>
              <w:right w:val="single" w:color="000000" w:sz="4" w:space="0"/>
            </w:tcBorders>
            <w:noWrap/>
            <w:vAlign w:val="center"/>
          </w:tcPr>
          <w:p w14:paraId="76E2F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83.48</w:t>
            </w:r>
          </w:p>
        </w:tc>
        <w:tc>
          <w:tcPr>
            <w:tcW w:w="825" w:type="pct"/>
            <w:tcBorders>
              <w:top w:val="single" w:color="000000" w:sz="4" w:space="0"/>
              <w:left w:val="nil"/>
              <w:bottom w:val="single" w:color="000000" w:sz="4" w:space="0"/>
              <w:right w:val="single" w:color="000000" w:sz="4" w:space="0"/>
            </w:tcBorders>
            <w:noWrap/>
            <w:vAlign w:val="center"/>
          </w:tcPr>
          <w:p w14:paraId="61F0E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39E436D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442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20134</w:t>
            </w:r>
          </w:p>
        </w:tc>
        <w:tc>
          <w:tcPr>
            <w:tcW w:w="1579" w:type="pct"/>
            <w:tcBorders>
              <w:top w:val="single" w:color="000000" w:sz="4" w:space="0"/>
              <w:left w:val="nil"/>
              <w:bottom w:val="single" w:color="000000" w:sz="4" w:space="0"/>
              <w:right w:val="single" w:color="000000" w:sz="4" w:space="0"/>
            </w:tcBorders>
            <w:noWrap/>
            <w:vAlign w:val="center"/>
          </w:tcPr>
          <w:p w14:paraId="5E481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统战事务</w:t>
            </w:r>
          </w:p>
        </w:tc>
        <w:tc>
          <w:tcPr>
            <w:tcW w:w="1056" w:type="pct"/>
            <w:tcBorders>
              <w:top w:val="single" w:color="000000" w:sz="4" w:space="0"/>
              <w:left w:val="nil"/>
              <w:bottom w:val="single" w:color="000000" w:sz="4" w:space="0"/>
              <w:right w:val="single" w:color="000000" w:sz="4" w:space="0"/>
            </w:tcBorders>
            <w:noWrap/>
            <w:vAlign w:val="center"/>
          </w:tcPr>
          <w:p w14:paraId="3F9BA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173.48</w:t>
            </w:r>
          </w:p>
        </w:tc>
        <w:tc>
          <w:tcPr>
            <w:tcW w:w="684" w:type="pct"/>
            <w:tcBorders>
              <w:top w:val="single" w:color="000000" w:sz="4" w:space="0"/>
              <w:left w:val="nil"/>
              <w:bottom w:val="single" w:color="000000" w:sz="4" w:space="0"/>
              <w:right w:val="single" w:color="000000" w:sz="4" w:space="0"/>
            </w:tcBorders>
            <w:noWrap/>
            <w:vAlign w:val="center"/>
          </w:tcPr>
          <w:p w14:paraId="0B06F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83.48</w:t>
            </w:r>
          </w:p>
        </w:tc>
        <w:tc>
          <w:tcPr>
            <w:tcW w:w="825" w:type="pct"/>
            <w:tcBorders>
              <w:top w:val="single" w:color="000000" w:sz="4" w:space="0"/>
              <w:left w:val="nil"/>
              <w:bottom w:val="single" w:color="000000" w:sz="4" w:space="0"/>
              <w:right w:val="single" w:color="000000" w:sz="4" w:space="0"/>
            </w:tcBorders>
            <w:noWrap/>
            <w:vAlign w:val="center"/>
          </w:tcPr>
          <w:p w14:paraId="474CC2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w:t>
            </w:r>
          </w:p>
        </w:tc>
      </w:tr>
      <w:tr w14:paraId="080079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146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2013401</w:t>
            </w:r>
          </w:p>
        </w:tc>
        <w:tc>
          <w:tcPr>
            <w:tcW w:w="1579" w:type="pct"/>
            <w:tcBorders>
              <w:top w:val="single" w:color="000000" w:sz="4" w:space="0"/>
              <w:left w:val="nil"/>
              <w:bottom w:val="single" w:color="000000" w:sz="4" w:space="0"/>
              <w:right w:val="single" w:color="000000" w:sz="4" w:space="0"/>
            </w:tcBorders>
            <w:noWrap/>
            <w:vAlign w:val="center"/>
          </w:tcPr>
          <w:p w14:paraId="6AFDB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D30D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83.48</w:t>
            </w:r>
          </w:p>
        </w:tc>
        <w:tc>
          <w:tcPr>
            <w:tcW w:w="684" w:type="pct"/>
            <w:tcBorders>
              <w:top w:val="single" w:color="000000" w:sz="4" w:space="0"/>
              <w:left w:val="nil"/>
              <w:bottom w:val="single" w:color="000000" w:sz="4" w:space="0"/>
              <w:right w:val="single" w:color="000000" w:sz="4" w:space="0"/>
            </w:tcBorders>
            <w:noWrap/>
            <w:vAlign w:val="center"/>
          </w:tcPr>
          <w:p w14:paraId="59839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83.48</w:t>
            </w:r>
          </w:p>
        </w:tc>
        <w:tc>
          <w:tcPr>
            <w:tcW w:w="825" w:type="pct"/>
            <w:tcBorders>
              <w:top w:val="single" w:color="000000" w:sz="4" w:space="0"/>
              <w:left w:val="nil"/>
              <w:bottom w:val="single" w:color="000000" w:sz="4" w:space="0"/>
              <w:right w:val="single" w:color="000000" w:sz="4" w:space="0"/>
            </w:tcBorders>
            <w:noWrap/>
            <w:vAlign w:val="center"/>
          </w:tcPr>
          <w:p w14:paraId="524A9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11AB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B62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2013499</w:t>
            </w:r>
          </w:p>
        </w:tc>
        <w:tc>
          <w:tcPr>
            <w:tcW w:w="1579" w:type="pct"/>
            <w:tcBorders>
              <w:top w:val="single" w:color="000000" w:sz="4" w:space="0"/>
              <w:left w:val="nil"/>
              <w:bottom w:val="single" w:color="000000" w:sz="4" w:space="0"/>
              <w:right w:val="single" w:color="000000" w:sz="4" w:space="0"/>
            </w:tcBorders>
            <w:noWrap/>
            <w:vAlign w:val="center"/>
          </w:tcPr>
          <w:p w14:paraId="709ED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其他统战事务支出</w:t>
            </w:r>
          </w:p>
        </w:tc>
        <w:tc>
          <w:tcPr>
            <w:tcW w:w="1056" w:type="pct"/>
            <w:tcBorders>
              <w:top w:val="single" w:color="000000" w:sz="4" w:space="0"/>
              <w:left w:val="nil"/>
              <w:bottom w:val="single" w:color="000000" w:sz="4" w:space="0"/>
              <w:right w:val="single" w:color="000000" w:sz="4" w:space="0"/>
            </w:tcBorders>
            <w:noWrap/>
            <w:vAlign w:val="center"/>
          </w:tcPr>
          <w:p w14:paraId="1DB6C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90.00</w:t>
            </w:r>
          </w:p>
        </w:tc>
        <w:tc>
          <w:tcPr>
            <w:tcW w:w="684" w:type="pct"/>
            <w:tcBorders>
              <w:top w:val="single" w:color="000000" w:sz="4" w:space="0"/>
              <w:left w:val="nil"/>
              <w:bottom w:val="single" w:color="000000" w:sz="4" w:space="0"/>
              <w:right w:val="single" w:color="000000" w:sz="4" w:space="0"/>
            </w:tcBorders>
            <w:noWrap/>
            <w:vAlign w:val="center"/>
          </w:tcPr>
          <w:p w14:paraId="7FB901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D949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90.00</w:t>
            </w:r>
          </w:p>
        </w:tc>
      </w:tr>
      <w:tr w14:paraId="02C8B7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ACC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0A47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EBC3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684" w:type="pct"/>
            <w:tcBorders>
              <w:top w:val="single" w:color="000000" w:sz="4" w:space="0"/>
              <w:left w:val="nil"/>
              <w:bottom w:val="single" w:color="000000" w:sz="4" w:space="0"/>
              <w:right w:val="single" w:color="000000" w:sz="4" w:space="0"/>
            </w:tcBorders>
            <w:noWrap/>
            <w:vAlign w:val="center"/>
          </w:tcPr>
          <w:p w14:paraId="1F3C2C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825" w:type="pct"/>
            <w:tcBorders>
              <w:top w:val="single" w:color="000000" w:sz="4" w:space="0"/>
              <w:left w:val="nil"/>
              <w:bottom w:val="single" w:color="000000" w:sz="4" w:space="0"/>
              <w:right w:val="single" w:color="000000" w:sz="4" w:space="0"/>
            </w:tcBorders>
            <w:noWrap/>
            <w:vAlign w:val="center"/>
          </w:tcPr>
          <w:p w14:paraId="7E353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B70EF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127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4E54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CA81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684" w:type="pct"/>
            <w:tcBorders>
              <w:top w:val="single" w:color="000000" w:sz="4" w:space="0"/>
              <w:left w:val="nil"/>
              <w:bottom w:val="single" w:color="000000" w:sz="4" w:space="0"/>
              <w:right w:val="single" w:color="000000" w:sz="4" w:space="0"/>
            </w:tcBorders>
            <w:noWrap/>
            <w:vAlign w:val="center"/>
          </w:tcPr>
          <w:p w14:paraId="306F8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9.71</w:t>
            </w:r>
          </w:p>
        </w:tc>
        <w:tc>
          <w:tcPr>
            <w:tcW w:w="825" w:type="pct"/>
            <w:tcBorders>
              <w:top w:val="single" w:color="000000" w:sz="4" w:space="0"/>
              <w:left w:val="nil"/>
              <w:bottom w:val="single" w:color="000000" w:sz="4" w:space="0"/>
              <w:right w:val="single" w:color="000000" w:sz="4" w:space="0"/>
            </w:tcBorders>
            <w:noWrap/>
            <w:vAlign w:val="center"/>
          </w:tcPr>
          <w:p w14:paraId="0AC18E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1FC5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963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A91F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4081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9.71</w:t>
            </w:r>
          </w:p>
        </w:tc>
        <w:tc>
          <w:tcPr>
            <w:tcW w:w="684" w:type="pct"/>
            <w:tcBorders>
              <w:top w:val="single" w:color="000000" w:sz="4" w:space="0"/>
              <w:left w:val="nil"/>
              <w:bottom w:val="single" w:color="000000" w:sz="4" w:space="0"/>
              <w:right w:val="single" w:color="000000" w:sz="4" w:space="0"/>
            </w:tcBorders>
            <w:noWrap/>
            <w:vAlign w:val="center"/>
          </w:tcPr>
          <w:p w14:paraId="6C7775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9.71</w:t>
            </w:r>
          </w:p>
        </w:tc>
        <w:tc>
          <w:tcPr>
            <w:tcW w:w="825" w:type="pct"/>
            <w:tcBorders>
              <w:top w:val="single" w:color="000000" w:sz="4" w:space="0"/>
              <w:left w:val="nil"/>
              <w:bottom w:val="single" w:color="000000" w:sz="4" w:space="0"/>
              <w:right w:val="single" w:color="000000" w:sz="4" w:space="0"/>
            </w:tcBorders>
            <w:noWrap/>
            <w:vAlign w:val="center"/>
          </w:tcPr>
          <w:p w14:paraId="4A1A2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4C87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BAC8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9562A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8ACA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684" w:type="pct"/>
            <w:tcBorders>
              <w:top w:val="single" w:color="000000" w:sz="4" w:space="0"/>
              <w:left w:val="nil"/>
              <w:bottom w:val="single" w:color="000000" w:sz="4" w:space="0"/>
              <w:right w:val="single" w:color="000000" w:sz="4" w:space="0"/>
            </w:tcBorders>
            <w:noWrap/>
            <w:vAlign w:val="center"/>
          </w:tcPr>
          <w:p w14:paraId="11BAD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825" w:type="pct"/>
            <w:tcBorders>
              <w:top w:val="single" w:color="000000" w:sz="4" w:space="0"/>
              <w:left w:val="nil"/>
              <w:bottom w:val="single" w:color="000000" w:sz="4" w:space="0"/>
              <w:right w:val="single" w:color="000000" w:sz="4" w:space="0"/>
            </w:tcBorders>
            <w:noWrap/>
            <w:vAlign w:val="center"/>
          </w:tcPr>
          <w:p w14:paraId="1635C0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36811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2E5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1751F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4589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684" w:type="pct"/>
            <w:tcBorders>
              <w:top w:val="single" w:color="000000" w:sz="4" w:space="0"/>
              <w:left w:val="nil"/>
              <w:bottom w:val="single" w:color="000000" w:sz="4" w:space="0"/>
              <w:right w:val="single" w:color="000000" w:sz="4" w:space="0"/>
            </w:tcBorders>
            <w:noWrap/>
            <w:vAlign w:val="center"/>
          </w:tcPr>
          <w:p w14:paraId="7893B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4.07</w:t>
            </w:r>
          </w:p>
        </w:tc>
        <w:tc>
          <w:tcPr>
            <w:tcW w:w="825" w:type="pct"/>
            <w:tcBorders>
              <w:top w:val="single" w:color="000000" w:sz="4" w:space="0"/>
              <w:left w:val="nil"/>
              <w:bottom w:val="single" w:color="000000" w:sz="4" w:space="0"/>
              <w:right w:val="single" w:color="000000" w:sz="4" w:space="0"/>
            </w:tcBorders>
            <w:noWrap/>
            <w:vAlign w:val="center"/>
          </w:tcPr>
          <w:p w14:paraId="36B93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D67BB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FCA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CC5F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980A7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4.07</w:t>
            </w:r>
          </w:p>
        </w:tc>
        <w:tc>
          <w:tcPr>
            <w:tcW w:w="684" w:type="pct"/>
            <w:tcBorders>
              <w:top w:val="single" w:color="000000" w:sz="4" w:space="0"/>
              <w:left w:val="nil"/>
              <w:bottom w:val="single" w:color="000000" w:sz="4" w:space="0"/>
              <w:right w:val="single" w:color="000000" w:sz="4" w:space="0"/>
            </w:tcBorders>
            <w:noWrap/>
            <w:vAlign w:val="center"/>
          </w:tcPr>
          <w:p w14:paraId="12924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4.07</w:t>
            </w:r>
          </w:p>
        </w:tc>
        <w:tc>
          <w:tcPr>
            <w:tcW w:w="825" w:type="pct"/>
            <w:tcBorders>
              <w:top w:val="single" w:color="000000" w:sz="4" w:space="0"/>
              <w:left w:val="nil"/>
              <w:bottom w:val="single" w:color="000000" w:sz="4" w:space="0"/>
              <w:right w:val="single" w:color="000000" w:sz="4" w:space="0"/>
            </w:tcBorders>
            <w:noWrap/>
            <w:vAlign w:val="center"/>
          </w:tcPr>
          <w:p w14:paraId="297CB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32A8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85C2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B4D4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2624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684" w:type="pct"/>
            <w:tcBorders>
              <w:top w:val="single" w:color="000000" w:sz="4" w:space="0"/>
              <w:left w:val="nil"/>
              <w:bottom w:val="single" w:color="000000" w:sz="4" w:space="0"/>
              <w:right w:val="single" w:color="000000" w:sz="4" w:space="0"/>
            </w:tcBorders>
            <w:noWrap/>
            <w:vAlign w:val="center"/>
          </w:tcPr>
          <w:p w14:paraId="6B6882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825" w:type="pct"/>
            <w:tcBorders>
              <w:top w:val="single" w:color="000000" w:sz="4" w:space="0"/>
              <w:left w:val="nil"/>
              <w:bottom w:val="single" w:color="000000" w:sz="4" w:space="0"/>
              <w:right w:val="single" w:color="000000" w:sz="4" w:space="0"/>
            </w:tcBorders>
            <w:noWrap/>
            <w:vAlign w:val="center"/>
          </w:tcPr>
          <w:p w14:paraId="5838A9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019EF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5E0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64BE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9B711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684" w:type="pct"/>
            <w:tcBorders>
              <w:top w:val="single" w:color="000000" w:sz="4" w:space="0"/>
              <w:left w:val="nil"/>
              <w:bottom w:val="single" w:color="000000" w:sz="4" w:space="0"/>
              <w:right w:val="single" w:color="000000" w:sz="4" w:space="0"/>
            </w:tcBorders>
            <w:noWrap/>
            <w:vAlign w:val="center"/>
          </w:tcPr>
          <w:p w14:paraId="3864B8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7.19</w:t>
            </w:r>
          </w:p>
        </w:tc>
        <w:tc>
          <w:tcPr>
            <w:tcW w:w="825" w:type="pct"/>
            <w:tcBorders>
              <w:top w:val="single" w:color="000000" w:sz="4" w:space="0"/>
              <w:left w:val="nil"/>
              <w:bottom w:val="single" w:color="000000" w:sz="4" w:space="0"/>
              <w:right w:val="single" w:color="000000" w:sz="4" w:space="0"/>
            </w:tcBorders>
            <w:noWrap/>
            <w:vAlign w:val="center"/>
          </w:tcPr>
          <w:p w14:paraId="35BFB1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B210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691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C25DF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F2928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w:t>
            </w:r>
          </w:p>
        </w:tc>
        <w:tc>
          <w:tcPr>
            <w:tcW w:w="684" w:type="pct"/>
            <w:tcBorders>
              <w:top w:val="single" w:color="000000" w:sz="4" w:space="0"/>
              <w:left w:val="nil"/>
              <w:bottom w:val="single" w:color="000000" w:sz="4" w:space="0"/>
              <w:right w:val="single" w:color="000000" w:sz="4" w:space="0"/>
            </w:tcBorders>
            <w:noWrap/>
            <w:vAlign w:val="center"/>
          </w:tcPr>
          <w:p w14:paraId="47940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w:t>
            </w:r>
          </w:p>
        </w:tc>
        <w:tc>
          <w:tcPr>
            <w:tcW w:w="825" w:type="pct"/>
            <w:tcBorders>
              <w:top w:val="single" w:color="000000" w:sz="4" w:space="0"/>
              <w:left w:val="nil"/>
              <w:bottom w:val="single" w:color="000000" w:sz="4" w:space="0"/>
              <w:right w:val="single" w:color="000000" w:sz="4" w:space="0"/>
            </w:tcBorders>
            <w:noWrap/>
            <w:vAlign w:val="center"/>
          </w:tcPr>
          <w:p w14:paraId="61D57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71A001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EE304F4">
        <w:tblPrEx>
          <w:tblCellMar>
            <w:top w:w="0" w:type="dxa"/>
            <w:left w:w="108" w:type="dxa"/>
            <w:bottom w:w="0" w:type="dxa"/>
            <w:right w:w="108" w:type="dxa"/>
          </w:tblCellMar>
        </w:tblPrEx>
        <w:trPr>
          <w:trHeight w:val="585" w:hRule="atLeast"/>
        </w:trPr>
        <w:tc>
          <w:tcPr>
            <w:tcW w:w="5000" w:type="pct"/>
            <w:gridSpan w:val="5"/>
            <w:noWrap/>
            <w:vAlign w:val="center"/>
          </w:tcPr>
          <w:p w14:paraId="04F86A5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4C55523">
        <w:tblPrEx>
          <w:tblCellMar>
            <w:top w:w="0" w:type="dxa"/>
            <w:left w:w="108" w:type="dxa"/>
            <w:bottom w:w="0" w:type="dxa"/>
            <w:right w:w="108" w:type="dxa"/>
          </w:tblCellMar>
        </w:tblPrEx>
        <w:trPr>
          <w:trHeight w:val="420" w:hRule="atLeast"/>
        </w:trPr>
        <w:tc>
          <w:tcPr>
            <w:tcW w:w="2398" w:type="pct"/>
            <w:gridSpan w:val="2"/>
            <w:noWrap/>
            <w:vAlign w:val="center"/>
          </w:tcPr>
          <w:p w14:paraId="217F656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填报单位:108中共景德镇市珠山区委统一战线工作部</w:t>
            </w:r>
          </w:p>
        </w:tc>
        <w:tc>
          <w:tcPr>
            <w:tcW w:w="891" w:type="pct"/>
            <w:noWrap/>
            <w:vAlign w:val="bottom"/>
          </w:tcPr>
          <w:p w14:paraId="5E34F48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60128E3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90DA5D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B26356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08B9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8043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D88BA0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4CE7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754D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1B48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9E8FF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C968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559EC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1ADE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627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4D8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301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E5DF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2A0C0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B744D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A7F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1136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104.45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89CE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621C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12.77</w:t>
            </w:r>
          </w:p>
        </w:tc>
      </w:tr>
      <w:tr w14:paraId="6CA5587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EAE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5B8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A436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11A1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4427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E176F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C66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F60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23F4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4673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287A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8BFF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5541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3DE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F8A1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31F4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9AAA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4744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36E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61EB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1530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C67D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B400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168E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C4A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96A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E7E4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4788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62AF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F916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F01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097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8AF6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889F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F50B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8F67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87C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9AF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A2E9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40F0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2FA6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E800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EB2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75D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BDCD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A1C8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ADB6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B1A2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2FB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C64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FF52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1849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03F9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E313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754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44E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879C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B158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DE66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FC1F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2E5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A1F4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76E5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C9B4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8025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12.77</w:t>
            </w:r>
          </w:p>
        </w:tc>
      </w:tr>
      <w:tr w14:paraId="26D7ED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31C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0B0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57DE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3014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9816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4.91</w:t>
            </w:r>
          </w:p>
        </w:tc>
      </w:tr>
      <w:tr w14:paraId="080EF5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19F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DED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8410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7E72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83D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3.49</w:t>
            </w:r>
          </w:p>
        </w:tc>
      </w:tr>
      <w:tr w14:paraId="7A61E8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024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7BC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0C47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FEB3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9183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4.37</w:t>
            </w:r>
          </w:p>
        </w:tc>
      </w:tr>
    </w:tbl>
    <w:p w14:paraId="4A09F31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24437E4">
        <w:tblPrEx>
          <w:tblCellMar>
            <w:top w:w="0" w:type="dxa"/>
            <w:left w:w="108" w:type="dxa"/>
            <w:bottom w:w="0" w:type="dxa"/>
            <w:right w:w="108" w:type="dxa"/>
          </w:tblCellMar>
        </w:tblPrEx>
        <w:trPr>
          <w:trHeight w:val="450" w:hRule="atLeast"/>
          <w:tblHeader/>
        </w:trPr>
        <w:tc>
          <w:tcPr>
            <w:tcW w:w="636" w:type="pct"/>
            <w:noWrap/>
            <w:vAlign w:val="bottom"/>
          </w:tcPr>
          <w:p w14:paraId="4697983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CC01815">
            <w:pPr>
              <w:widowControl/>
              <w:jc w:val="left"/>
              <w:rPr>
                <w:rFonts w:ascii="Times New Roman" w:hAnsi="Times New Roman" w:eastAsia="宋体"/>
                <w:kern w:val="0"/>
                <w:sz w:val="20"/>
                <w:szCs w:val="20"/>
              </w:rPr>
            </w:pPr>
          </w:p>
        </w:tc>
        <w:tc>
          <w:tcPr>
            <w:tcW w:w="684" w:type="pct"/>
            <w:noWrap/>
            <w:vAlign w:val="bottom"/>
          </w:tcPr>
          <w:p w14:paraId="06737954">
            <w:pPr>
              <w:widowControl/>
              <w:jc w:val="left"/>
              <w:rPr>
                <w:rFonts w:ascii="Times New Roman" w:hAnsi="Times New Roman" w:eastAsia="宋体"/>
                <w:kern w:val="0"/>
                <w:sz w:val="20"/>
                <w:szCs w:val="20"/>
              </w:rPr>
            </w:pPr>
          </w:p>
        </w:tc>
        <w:tc>
          <w:tcPr>
            <w:tcW w:w="538" w:type="pct"/>
            <w:noWrap/>
            <w:vAlign w:val="bottom"/>
          </w:tcPr>
          <w:p w14:paraId="73236B64">
            <w:pPr>
              <w:widowControl/>
              <w:jc w:val="left"/>
              <w:rPr>
                <w:rFonts w:ascii="Times New Roman" w:hAnsi="Times New Roman" w:eastAsia="宋体"/>
                <w:kern w:val="0"/>
                <w:sz w:val="20"/>
                <w:szCs w:val="20"/>
              </w:rPr>
            </w:pPr>
          </w:p>
        </w:tc>
        <w:tc>
          <w:tcPr>
            <w:tcW w:w="2836" w:type="pct"/>
            <w:gridSpan w:val="5"/>
            <w:noWrap/>
            <w:vAlign w:val="center"/>
          </w:tcPr>
          <w:p w14:paraId="33ECB03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142404D">
        <w:tblPrEx>
          <w:tblCellMar>
            <w:top w:w="0" w:type="dxa"/>
            <w:left w:w="108" w:type="dxa"/>
            <w:bottom w:w="0" w:type="dxa"/>
            <w:right w:w="108" w:type="dxa"/>
          </w:tblCellMar>
        </w:tblPrEx>
        <w:trPr>
          <w:trHeight w:val="485" w:hRule="atLeast"/>
          <w:tblHeader/>
        </w:trPr>
        <w:tc>
          <w:tcPr>
            <w:tcW w:w="5000" w:type="pct"/>
            <w:gridSpan w:val="9"/>
            <w:noWrap/>
            <w:vAlign w:val="center"/>
          </w:tcPr>
          <w:p w14:paraId="70516DE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7B80FF8">
        <w:tblPrEx>
          <w:tblCellMar>
            <w:top w:w="0" w:type="dxa"/>
            <w:left w:w="108" w:type="dxa"/>
            <w:bottom w:w="0" w:type="dxa"/>
            <w:right w:w="108" w:type="dxa"/>
          </w:tblCellMar>
        </w:tblPrEx>
        <w:trPr>
          <w:trHeight w:val="340" w:hRule="atLeast"/>
          <w:tblHeader/>
        </w:trPr>
        <w:tc>
          <w:tcPr>
            <w:tcW w:w="2163" w:type="pct"/>
            <w:gridSpan w:val="4"/>
            <w:noWrap/>
            <w:vAlign w:val="center"/>
          </w:tcPr>
          <w:p w14:paraId="4C00CEE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填报单位:108中共景德镇市珠山区委统一战线工作部</w:t>
            </w:r>
          </w:p>
        </w:tc>
        <w:tc>
          <w:tcPr>
            <w:tcW w:w="742" w:type="pct"/>
            <w:noWrap/>
            <w:vAlign w:val="bottom"/>
          </w:tcPr>
          <w:p w14:paraId="0CB6BDCB">
            <w:pPr>
              <w:widowControl/>
              <w:jc w:val="left"/>
              <w:rPr>
                <w:rFonts w:ascii="Times New Roman" w:hAnsi="Times New Roman" w:eastAsia="宋体"/>
                <w:kern w:val="0"/>
                <w:sz w:val="20"/>
                <w:szCs w:val="20"/>
              </w:rPr>
            </w:pPr>
          </w:p>
        </w:tc>
        <w:tc>
          <w:tcPr>
            <w:tcW w:w="474" w:type="pct"/>
            <w:noWrap/>
            <w:vAlign w:val="bottom"/>
          </w:tcPr>
          <w:p w14:paraId="14A0B5A8">
            <w:pPr>
              <w:widowControl/>
              <w:jc w:val="left"/>
              <w:rPr>
                <w:rFonts w:ascii="Times New Roman" w:hAnsi="Times New Roman" w:eastAsia="宋体"/>
                <w:kern w:val="0"/>
                <w:sz w:val="20"/>
                <w:szCs w:val="20"/>
              </w:rPr>
            </w:pPr>
          </w:p>
        </w:tc>
        <w:tc>
          <w:tcPr>
            <w:tcW w:w="596" w:type="pct"/>
            <w:noWrap/>
            <w:vAlign w:val="bottom"/>
          </w:tcPr>
          <w:p w14:paraId="08266F2A">
            <w:pPr>
              <w:widowControl/>
              <w:jc w:val="left"/>
              <w:rPr>
                <w:rFonts w:ascii="Times New Roman" w:hAnsi="Times New Roman" w:eastAsia="宋体"/>
                <w:kern w:val="0"/>
                <w:sz w:val="20"/>
                <w:szCs w:val="20"/>
              </w:rPr>
            </w:pPr>
          </w:p>
        </w:tc>
        <w:tc>
          <w:tcPr>
            <w:tcW w:w="1023" w:type="pct"/>
            <w:gridSpan w:val="2"/>
            <w:noWrap/>
            <w:vAlign w:val="bottom"/>
          </w:tcPr>
          <w:p w14:paraId="486A8059">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FF2238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2462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2ED1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73DD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5269F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04E163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641EB6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921B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49E6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B16D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AE62ED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5E724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AD58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9364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A540FB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48E825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A0EA3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D175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195C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AFB0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2639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6EAB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1729A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B4A071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73F0D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w:t>
            </w:r>
          </w:p>
        </w:tc>
        <w:tc>
          <w:tcPr>
            <w:tcW w:w="684" w:type="pct"/>
            <w:tcBorders>
              <w:top w:val="single" w:color="000000" w:sz="4" w:space="0"/>
              <w:left w:val="nil"/>
              <w:bottom w:val="single" w:color="000000" w:sz="4" w:space="0"/>
              <w:right w:val="single" w:color="000000" w:sz="4" w:space="0"/>
            </w:tcBorders>
            <w:vAlign w:val="center"/>
          </w:tcPr>
          <w:p w14:paraId="243D0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D363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28F1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42B52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w:t>
            </w:r>
          </w:p>
        </w:tc>
        <w:tc>
          <w:tcPr>
            <w:tcW w:w="596" w:type="pct"/>
            <w:tcBorders>
              <w:top w:val="single" w:color="000000" w:sz="4" w:space="0"/>
              <w:left w:val="single" w:color="000000" w:sz="4" w:space="0"/>
              <w:bottom w:val="single" w:color="000000" w:sz="4" w:space="0"/>
              <w:right w:val="nil"/>
            </w:tcBorders>
            <w:vAlign w:val="center"/>
          </w:tcPr>
          <w:p w14:paraId="4CDE3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90313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6F7B8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A3F94EB">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B1577EC">
        <w:tblPrEx>
          <w:tblCellMar>
            <w:top w:w="0" w:type="dxa"/>
            <w:left w:w="108" w:type="dxa"/>
            <w:bottom w:w="0" w:type="dxa"/>
            <w:right w:w="108" w:type="dxa"/>
          </w:tblCellMar>
        </w:tblPrEx>
        <w:trPr>
          <w:trHeight w:val="507" w:hRule="atLeast"/>
          <w:tblHeader/>
        </w:trPr>
        <w:tc>
          <w:tcPr>
            <w:tcW w:w="976" w:type="pct"/>
            <w:noWrap/>
            <w:vAlign w:val="bottom"/>
          </w:tcPr>
          <w:p w14:paraId="5327221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D618C52">
            <w:pPr>
              <w:widowControl/>
              <w:jc w:val="left"/>
              <w:rPr>
                <w:rFonts w:ascii="Times New Roman" w:hAnsi="Times New Roman" w:eastAsia="宋体"/>
                <w:kern w:val="0"/>
                <w:sz w:val="20"/>
                <w:szCs w:val="20"/>
              </w:rPr>
            </w:pPr>
          </w:p>
        </w:tc>
        <w:tc>
          <w:tcPr>
            <w:tcW w:w="2801" w:type="pct"/>
            <w:gridSpan w:val="3"/>
            <w:noWrap/>
            <w:vAlign w:val="center"/>
          </w:tcPr>
          <w:p w14:paraId="77F0DF68">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A4433C0">
        <w:tblPrEx>
          <w:tblCellMar>
            <w:top w:w="0" w:type="dxa"/>
            <w:left w:w="108" w:type="dxa"/>
            <w:bottom w:w="0" w:type="dxa"/>
            <w:right w:w="108" w:type="dxa"/>
          </w:tblCellMar>
        </w:tblPrEx>
        <w:trPr>
          <w:trHeight w:val="564" w:hRule="atLeast"/>
          <w:tblHeader/>
        </w:trPr>
        <w:tc>
          <w:tcPr>
            <w:tcW w:w="5000" w:type="pct"/>
            <w:gridSpan w:val="5"/>
            <w:noWrap/>
            <w:vAlign w:val="center"/>
          </w:tcPr>
          <w:p w14:paraId="3F94014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C82E2B1">
        <w:tblPrEx>
          <w:tblCellMar>
            <w:top w:w="0" w:type="dxa"/>
            <w:left w:w="108" w:type="dxa"/>
            <w:bottom w:w="0" w:type="dxa"/>
            <w:right w:w="108" w:type="dxa"/>
          </w:tblCellMar>
        </w:tblPrEx>
        <w:trPr>
          <w:trHeight w:val="405" w:hRule="atLeast"/>
          <w:tblHeader/>
        </w:trPr>
        <w:tc>
          <w:tcPr>
            <w:tcW w:w="2198" w:type="pct"/>
            <w:gridSpan w:val="2"/>
            <w:noWrap/>
            <w:vAlign w:val="center"/>
          </w:tcPr>
          <w:p w14:paraId="640FDD1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填报单位:108中共景德镇市珠山区委统一战线工作部</w:t>
            </w:r>
          </w:p>
        </w:tc>
        <w:tc>
          <w:tcPr>
            <w:tcW w:w="1099" w:type="pct"/>
            <w:noWrap/>
            <w:vAlign w:val="bottom"/>
          </w:tcPr>
          <w:p w14:paraId="35D75DAB">
            <w:pPr>
              <w:rPr>
                <w:rFonts w:hint="eastAsia" w:ascii="宋体" w:hAnsi="宋体" w:eastAsia="宋体" w:cs="Arial"/>
                <w:color w:val="000000"/>
                <w:kern w:val="0"/>
                <w:sz w:val="24"/>
                <w:szCs w:val="24"/>
              </w:rPr>
            </w:pPr>
          </w:p>
        </w:tc>
        <w:tc>
          <w:tcPr>
            <w:tcW w:w="766" w:type="pct"/>
            <w:noWrap/>
            <w:vAlign w:val="bottom"/>
          </w:tcPr>
          <w:p w14:paraId="45F90C9D">
            <w:pPr>
              <w:widowControl/>
              <w:jc w:val="left"/>
              <w:rPr>
                <w:rFonts w:ascii="Times New Roman" w:hAnsi="Times New Roman" w:eastAsia="宋体"/>
                <w:kern w:val="0"/>
                <w:sz w:val="20"/>
                <w:szCs w:val="20"/>
              </w:rPr>
            </w:pPr>
          </w:p>
        </w:tc>
        <w:tc>
          <w:tcPr>
            <w:tcW w:w="935" w:type="pct"/>
            <w:noWrap/>
            <w:vAlign w:val="center"/>
          </w:tcPr>
          <w:p w14:paraId="3A8C26F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023495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9E9B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BF3C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603FFF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C433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2A774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6E985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F7AB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05CB9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22BFEC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C03F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4093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162D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D0797D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89A3A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CF8001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0297E57">
        <w:tblPrEx>
          <w:tblCellMar>
            <w:top w:w="0" w:type="dxa"/>
            <w:left w:w="108" w:type="dxa"/>
            <w:bottom w:w="0" w:type="dxa"/>
            <w:right w:w="108" w:type="dxa"/>
          </w:tblCellMar>
        </w:tblPrEx>
        <w:trPr>
          <w:trHeight w:val="619" w:hRule="atLeast"/>
          <w:tblHeader/>
        </w:trPr>
        <w:tc>
          <w:tcPr>
            <w:tcW w:w="960" w:type="pct"/>
            <w:noWrap/>
            <w:vAlign w:val="bottom"/>
          </w:tcPr>
          <w:p w14:paraId="52EDDB78">
            <w:pPr>
              <w:rPr>
                <w:rStyle w:val="12"/>
                <w:rFonts w:hint="eastAsia" w:ascii="仿宋" w:hAnsi="仿宋" w:eastAsia="仿宋"/>
                <w:bCs/>
                <w:sz w:val="32"/>
                <w:szCs w:val="32"/>
              </w:rPr>
            </w:pPr>
          </w:p>
        </w:tc>
        <w:tc>
          <w:tcPr>
            <w:tcW w:w="1233" w:type="pct"/>
            <w:noWrap/>
            <w:vAlign w:val="bottom"/>
          </w:tcPr>
          <w:p w14:paraId="2E730012">
            <w:pPr>
              <w:widowControl/>
              <w:jc w:val="left"/>
              <w:rPr>
                <w:rFonts w:ascii="Times New Roman" w:hAnsi="Times New Roman" w:eastAsia="宋体"/>
                <w:kern w:val="0"/>
                <w:sz w:val="20"/>
                <w:szCs w:val="20"/>
              </w:rPr>
            </w:pPr>
          </w:p>
        </w:tc>
        <w:tc>
          <w:tcPr>
            <w:tcW w:w="2805" w:type="pct"/>
            <w:gridSpan w:val="3"/>
            <w:noWrap/>
            <w:vAlign w:val="center"/>
          </w:tcPr>
          <w:p w14:paraId="038B955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AEE331C">
        <w:tblPrEx>
          <w:tblCellMar>
            <w:top w:w="0" w:type="dxa"/>
            <w:left w:w="108" w:type="dxa"/>
            <w:bottom w:w="0" w:type="dxa"/>
            <w:right w:w="108" w:type="dxa"/>
          </w:tblCellMar>
        </w:tblPrEx>
        <w:trPr>
          <w:trHeight w:val="613" w:hRule="atLeast"/>
          <w:tblHeader/>
        </w:trPr>
        <w:tc>
          <w:tcPr>
            <w:tcW w:w="5000" w:type="pct"/>
            <w:gridSpan w:val="5"/>
            <w:noWrap/>
            <w:vAlign w:val="center"/>
          </w:tcPr>
          <w:p w14:paraId="51C3DA0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234B6D4">
        <w:tblPrEx>
          <w:tblCellMar>
            <w:top w:w="0" w:type="dxa"/>
            <w:left w:w="108" w:type="dxa"/>
            <w:bottom w:w="0" w:type="dxa"/>
            <w:right w:w="108" w:type="dxa"/>
          </w:tblCellMar>
        </w:tblPrEx>
        <w:trPr>
          <w:trHeight w:val="413" w:hRule="atLeast"/>
          <w:tblHeader/>
        </w:trPr>
        <w:tc>
          <w:tcPr>
            <w:tcW w:w="3282" w:type="pct"/>
            <w:gridSpan w:val="3"/>
            <w:noWrap/>
            <w:vAlign w:val="center"/>
          </w:tcPr>
          <w:p w14:paraId="52A4693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填报单位:108中共景德镇市珠山区委统一战线工作部</w:t>
            </w:r>
          </w:p>
        </w:tc>
        <w:tc>
          <w:tcPr>
            <w:tcW w:w="762" w:type="pct"/>
            <w:noWrap/>
            <w:vAlign w:val="bottom"/>
          </w:tcPr>
          <w:p w14:paraId="4826AF25">
            <w:pPr>
              <w:widowControl/>
              <w:jc w:val="left"/>
              <w:rPr>
                <w:rFonts w:ascii="Times New Roman" w:hAnsi="Times New Roman" w:eastAsia="宋体"/>
                <w:kern w:val="0"/>
                <w:sz w:val="20"/>
                <w:szCs w:val="20"/>
              </w:rPr>
            </w:pPr>
          </w:p>
        </w:tc>
        <w:tc>
          <w:tcPr>
            <w:tcW w:w="954" w:type="pct"/>
            <w:noWrap/>
            <w:vAlign w:val="center"/>
          </w:tcPr>
          <w:p w14:paraId="45C7281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D697CC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E69B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218B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664BEA4">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83A6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4AF1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C4376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9107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6B16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2F860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863A7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B9A3D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E8E8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464FAA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7C13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16B195">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4F1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FFB983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5A4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56588D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F2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108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D3B22D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C52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中共景德镇市珠山区委统一战线工作部</w:t>
            </w:r>
          </w:p>
        </w:tc>
      </w:tr>
      <w:tr w14:paraId="5EEB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6A3A8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7C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建言献策水平，助力民营企业发展，加强统战队伍建设，突出服务中心，全面融入全区高质量发展；凝聚侨界力量，建立专门的诉求反馈解答沟通机制，帮助侨企解决发展问题，促进各组群众交往交流和交融，突出和谐稳定，在社会治理中发挥积极作用，加强宗教事务的督察力度，提升依法管理宗教事务能力等。宗教场所维修处数≥2次，开展各类专题培训、讲座场次≥5次。</w:t>
            </w:r>
          </w:p>
        </w:tc>
      </w:tr>
      <w:tr w14:paraId="2EF2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94E91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D412">
            <w:pPr>
              <w:jc w:val="center"/>
              <w:rPr>
                <w:rFonts w:hint="eastAsia" w:asciiTheme="minorEastAsia" w:hAnsiTheme="minorEastAsia" w:eastAsiaTheme="minorEastAsia" w:cstheme="minorEastAsia"/>
                <w:b w:val="0"/>
                <w:i w:val="0"/>
                <w:iCs w:val="0"/>
                <w:color w:val="000000"/>
                <w:sz w:val="18"/>
                <w:szCs w:val="18"/>
                <w:u w:val="none"/>
              </w:rPr>
            </w:pPr>
          </w:p>
        </w:tc>
      </w:tr>
      <w:tr w14:paraId="3017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A291C4">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327E6">
            <w:pPr>
              <w:jc w:val="center"/>
              <w:rPr>
                <w:rFonts w:hint="eastAsia" w:asciiTheme="minorEastAsia" w:hAnsiTheme="minorEastAsia" w:eastAsiaTheme="minorEastAsia" w:cstheme="minorEastAsia"/>
                <w:b w:val="0"/>
                <w:i w:val="0"/>
                <w:iCs w:val="0"/>
                <w:color w:val="000000"/>
                <w:sz w:val="18"/>
                <w:szCs w:val="18"/>
                <w:u w:val="none"/>
              </w:rPr>
            </w:pPr>
          </w:p>
        </w:tc>
      </w:tr>
      <w:tr w14:paraId="584A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CB72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FCC61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2A6192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AA800B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A50C1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7B9AF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932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94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7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9E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宗教场所维修处数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D7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19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B8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处</w:t>
            </w:r>
          </w:p>
        </w:tc>
      </w:tr>
      <w:tr w14:paraId="6504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83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37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F9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开展各类专题培训、讲座场次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E3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6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03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729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EB5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C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83D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宗教场所维修合格率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89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86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C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D1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E1C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58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F01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培训、讲座主题契合率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9C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30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7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6BA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80F9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3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2F6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宗教场所维修及时率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B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C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08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63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389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990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55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培训、讲座主题开展及时率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4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C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0E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C4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C477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0E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12F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8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B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CD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7C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564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9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71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F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30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67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C52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E98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D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F3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3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A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B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60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138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D9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A1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A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90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05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2A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9D72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9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0E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促进各族群众交往交流和交融</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1B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2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7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A2E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E80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8C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4B7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服务非公政策宣传活动知晓率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8A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0D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52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49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FB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7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7E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宗教人士满意度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DF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8F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0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10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47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EF7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84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受益的党派人士的满意度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06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E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17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F45217B">
      <w:pPr>
        <w:rPr>
          <w:rFonts w:hint="eastAsia"/>
          <w:lang w:eastAsia="zh-CN"/>
        </w:rPr>
      </w:pPr>
    </w:p>
    <w:p w14:paraId="4E725BE9">
      <w:pPr>
        <w:rPr>
          <w:rFonts w:hint="eastAsia"/>
          <w:lang w:eastAsia="zh-CN"/>
        </w:rPr>
      </w:pPr>
    </w:p>
    <w:p w14:paraId="59BE3E01">
      <w:pPr>
        <w:rPr>
          <w:rFonts w:hint="eastAsia"/>
          <w:lang w:eastAsia="zh-CN"/>
        </w:rPr>
      </w:pPr>
    </w:p>
    <w:p w14:paraId="5242293F">
      <w:pPr>
        <w:rPr>
          <w:rFonts w:hint="eastAsia"/>
          <w:lang w:eastAsia="zh-CN"/>
        </w:rPr>
      </w:pPr>
    </w:p>
    <w:p w14:paraId="04453DD2">
      <w:pPr>
        <w:rPr>
          <w:rFonts w:hint="eastAsia"/>
          <w:lang w:eastAsia="zh-CN"/>
        </w:rPr>
      </w:pPr>
    </w:p>
    <w:p w14:paraId="54E3E769">
      <w:pPr>
        <w:rPr>
          <w:rFonts w:hint="eastAsia"/>
          <w:lang w:eastAsia="zh-CN"/>
        </w:rPr>
      </w:pPr>
    </w:p>
    <w:p w14:paraId="5F202627">
      <w:pPr>
        <w:rPr>
          <w:rFonts w:hint="eastAsia"/>
          <w:lang w:eastAsia="zh-CN"/>
        </w:rPr>
      </w:pPr>
    </w:p>
    <w:p w14:paraId="2A0FD277">
      <w:pPr>
        <w:rPr>
          <w:rFonts w:hint="eastAsia"/>
          <w:lang w:eastAsia="zh-CN"/>
        </w:rPr>
      </w:pPr>
    </w:p>
    <w:p w14:paraId="4B91CFCC">
      <w:pPr>
        <w:rPr>
          <w:rFonts w:hint="eastAsia"/>
          <w:lang w:eastAsia="zh-CN"/>
        </w:rPr>
      </w:pPr>
    </w:p>
    <w:p w14:paraId="648947D7">
      <w:pPr>
        <w:rPr>
          <w:rFonts w:hint="eastAsia"/>
          <w:lang w:eastAsia="zh-CN"/>
        </w:rPr>
      </w:pPr>
    </w:p>
    <w:p w14:paraId="72A27A02">
      <w:pPr>
        <w:rPr>
          <w:rFonts w:hint="eastAsia"/>
          <w:lang w:eastAsia="zh-CN"/>
        </w:rPr>
      </w:pPr>
    </w:p>
    <w:p w14:paraId="6E16470D">
      <w:pPr>
        <w:rPr>
          <w:rFonts w:hint="eastAsia"/>
          <w:lang w:eastAsia="zh-CN"/>
        </w:rPr>
      </w:pPr>
    </w:p>
    <w:p w14:paraId="01356102">
      <w:pPr>
        <w:rPr>
          <w:rFonts w:hint="eastAsia"/>
          <w:lang w:eastAsia="zh-CN"/>
        </w:rPr>
      </w:pPr>
    </w:p>
    <w:p w14:paraId="1B49C102">
      <w:pPr>
        <w:rPr>
          <w:rFonts w:hint="eastAsia"/>
          <w:lang w:eastAsia="zh-CN"/>
        </w:rPr>
      </w:pPr>
    </w:p>
    <w:p w14:paraId="10626CD9">
      <w:pPr>
        <w:rPr>
          <w:rFonts w:hint="eastAsia"/>
          <w:lang w:eastAsia="zh-CN"/>
        </w:rPr>
      </w:pPr>
    </w:p>
    <w:p w14:paraId="661FC1B1">
      <w:pPr>
        <w:rPr>
          <w:rFonts w:hint="eastAsia"/>
          <w:lang w:eastAsia="zh-CN"/>
        </w:rPr>
      </w:pPr>
    </w:p>
    <w:p w14:paraId="5AC4D2B8">
      <w:pPr>
        <w:rPr>
          <w:rFonts w:hint="eastAsia"/>
          <w:lang w:eastAsia="zh-CN"/>
        </w:rPr>
      </w:pPr>
    </w:p>
    <w:p w14:paraId="5F351E6B">
      <w:pPr>
        <w:rPr>
          <w:rFonts w:hint="eastAsia"/>
          <w:lang w:eastAsia="zh-CN"/>
        </w:rPr>
      </w:pPr>
    </w:p>
    <w:tbl>
      <w:tblPr>
        <w:tblStyle w:val="6"/>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1809"/>
        <w:gridCol w:w="3519"/>
        <w:gridCol w:w="971"/>
        <w:gridCol w:w="3152"/>
      </w:tblGrid>
      <w:tr w14:paraId="2554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E210">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0E7A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6A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15D9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36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75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民族工作经费_民族宗教专项经费</w:t>
            </w:r>
          </w:p>
        </w:tc>
      </w:tr>
      <w:tr w14:paraId="5AD9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EC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42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108-中共景德镇市珠山区委统一战线工作部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66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3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中共景德镇市珠山区委统一战线工作部</w:t>
            </w:r>
          </w:p>
        </w:tc>
      </w:tr>
      <w:tr w14:paraId="7D69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4E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BF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3E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30.00</w:t>
            </w:r>
          </w:p>
        </w:tc>
      </w:tr>
      <w:tr w14:paraId="1A18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DB53">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70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1C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CF9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ABF2">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3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4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0947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E610">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59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BE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B37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8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61CF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CB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有助于促进各民族团结共同奋斗、共同繁荣发展，有助于提高宗教活动场所建设，增强各族群众对中华民族的认同感和归属感，维护宗教和睦与社会和谐，防范和抵御宗教领域的风险隐患。宗教活动场所巡查次数≥12次，宗教维修场所数量≥3处，民族宗教政策宣传≥4次，少数民族服务站建设数量≥2个，完善宗教工作基层组织数量和宗教领域维稳工作≥11个。</w:t>
            </w:r>
          </w:p>
        </w:tc>
      </w:tr>
      <w:tr w14:paraId="6259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F1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95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92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80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2608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F0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49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A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民族团结进步创建成本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6A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≤20000元</w:t>
            </w:r>
          </w:p>
        </w:tc>
      </w:tr>
      <w:tr w14:paraId="0503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EE0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A9B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32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宗教场所维修成本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B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≤100000元</w:t>
            </w:r>
          </w:p>
        </w:tc>
      </w:tr>
      <w:tr w14:paraId="349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DE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035C">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FA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民族宗教政策宣传成本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3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≤50000元</w:t>
            </w:r>
          </w:p>
        </w:tc>
      </w:tr>
      <w:tr w14:paraId="5FAD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6BF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84D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C5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完善宗教工作基层组织和宗教领域维稳工作成本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63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≤50000元</w:t>
            </w:r>
          </w:p>
        </w:tc>
      </w:tr>
      <w:tr w14:paraId="6783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A20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A2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15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少数民族工作服务站建设成本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40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≤50000元</w:t>
            </w:r>
          </w:p>
        </w:tc>
      </w:tr>
      <w:tr w14:paraId="39F2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A50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C3E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1E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落实宗教活动场所管理机构成本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39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≤30000元</w:t>
            </w:r>
          </w:p>
        </w:tc>
      </w:tr>
      <w:tr w14:paraId="4F04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1E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98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6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宗教活动场所巡查次数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B8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≥12次</w:t>
            </w:r>
          </w:p>
        </w:tc>
      </w:tr>
      <w:tr w14:paraId="1714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FA0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1D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ED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宗教维修场所数量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72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≥3处</w:t>
            </w:r>
          </w:p>
        </w:tc>
      </w:tr>
      <w:tr w14:paraId="04A1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D46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A42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B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民族宗教政策宣传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CC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≥4次</w:t>
            </w:r>
          </w:p>
        </w:tc>
      </w:tr>
      <w:tr w14:paraId="4EDA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96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261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少数民族服务站建设数量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77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≥2个</w:t>
            </w:r>
          </w:p>
        </w:tc>
      </w:tr>
      <w:tr w14:paraId="5CB8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D54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F6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3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完善宗教工作基层组织数量和宗教领域维稳工作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3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≥11个</w:t>
            </w:r>
          </w:p>
        </w:tc>
      </w:tr>
      <w:tr w14:paraId="75FB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4554">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BD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AE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场所维修质量达标率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49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AC0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CE53">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22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21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政策宣传合法率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F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51BE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97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495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39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场所巡查达标率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1B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C4D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F8C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E7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C1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少数民族服务站建设完成率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F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1109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6558">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3B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61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专项资金支付及时率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0F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5F58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030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86E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71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政策宣传及时率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FD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796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B1F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1AD6">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2C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场所维修验收及时率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7C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BB2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FD0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E85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3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少数民族服务站建设及时率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5F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02AD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28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D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7B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促进民族团结、维护宗教和谐稳定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C3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定性有效促进</w:t>
            </w:r>
          </w:p>
        </w:tc>
      </w:tr>
      <w:tr w14:paraId="357B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01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42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AE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民族宗教界人士满意度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AB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5BBCA913">
      <w:pPr>
        <w:rPr>
          <w:rFonts w:hint="eastAsia"/>
          <w:lang w:eastAsia="zh-CN"/>
        </w:rPr>
        <w:sectPr>
          <w:pgSz w:w="11906" w:h="16838"/>
          <w:pgMar w:top="720" w:right="720" w:bottom="720" w:left="720" w:header="851" w:footer="992" w:gutter="0"/>
          <w:cols w:space="425" w:num="1"/>
          <w:docGrid w:type="lines" w:linePitch="312" w:charSpace="0"/>
        </w:sectPr>
      </w:pPr>
    </w:p>
    <w:p w14:paraId="4F1F537E">
      <w:pPr>
        <w:pStyle w:val="17"/>
        <w:numPr>
          <w:ilvl w:val="0"/>
          <w:numId w:val="0"/>
        </w:numPr>
        <w:bidi w:val="0"/>
        <w:ind w:left="420" w:leftChars="200"/>
        <w:jc w:val="center"/>
        <w:rPr>
          <w:rFonts w:hint="eastAsia"/>
          <w:lang w:eastAsia="zh-CN"/>
        </w:rPr>
      </w:pPr>
      <w:r>
        <w:rPr>
          <w:rFonts w:hint="eastAsia"/>
          <w:lang w:val="en-US" w:eastAsia="zh-CN"/>
        </w:rPr>
        <w:t>第三部分  中共景德镇市珠山区委统一战线工作部2026年部门预算情况说明</w:t>
      </w:r>
    </w:p>
    <w:p w14:paraId="68DB0872">
      <w:pPr>
        <w:widowControl/>
        <w:spacing w:line="580" w:lineRule="exact"/>
        <w:jc w:val="center"/>
        <w:rPr>
          <w:rFonts w:ascii="仿宋_GB2312" w:eastAsia="仿宋_GB2312"/>
          <w:b/>
          <w:sz w:val="32"/>
          <w:szCs w:val="30"/>
        </w:rPr>
      </w:pPr>
    </w:p>
    <w:p w14:paraId="4A2F0514">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017B0B0">
      <w:pPr>
        <w:pStyle w:val="19"/>
        <w:numPr>
          <w:ilvl w:val="0"/>
          <w:numId w:val="0"/>
        </w:numPr>
        <w:bidi w:val="0"/>
        <w:ind w:left="420" w:leftChars="200"/>
        <w:rPr>
          <w:rFonts w:hint="eastAsia"/>
        </w:rPr>
      </w:pPr>
      <w:r>
        <w:rPr>
          <w:rFonts w:hint="eastAsia"/>
        </w:rPr>
        <w:t xml:space="preserve"> (一)收入预算情况</w:t>
      </w:r>
    </w:p>
    <w:p w14:paraId="74BB0AB2">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中共景德镇市珠山区委统一战线工作部</w:t>
      </w:r>
      <w:r>
        <w:rPr>
          <w:rFonts w:hint="eastAsia"/>
          <w:u w:val="none"/>
        </w:rPr>
        <w:t>收入预算总额为194.45万元</w:t>
      </w:r>
      <w:r>
        <w:rPr>
          <w:rFonts w:hint="eastAsia"/>
          <w:u w:val="none"/>
          <w:lang w:eastAsia="zh-CN"/>
        </w:rPr>
        <w:t>，</w:t>
      </w:r>
      <w:r>
        <w:rPr>
          <w:rFonts w:hint="eastAsia"/>
          <w:u w:val="none"/>
        </w:rPr>
        <w:t>较上年预算安排增加</w:t>
      </w:r>
      <w:r>
        <w:rPr>
          <w:rFonts w:hint="eastAsia"/>
          <w:u w:val="none"/>
          <w:lang w:val="en-US" w:eastAsia="zh-CN"/>
        </w:rPr>
        <w:t>24.01</w:t>
      </w:r>
      <w:r>
        <w:rPr>
          <w:rFonts w:hint="eastAsia"/>
          <w:u w:val="none"/>
        </w:rPr>
        <w:t>万元</w:t>
      </w:r>
      <w:r>
        <w:rPr>
          <w:rFonts w:hint="eastAsia"/>
          <w:u w:val="none"/>
          <w:lang w:eastAsia="zh-CN"/>
        </w:rPr>
        <w:t>；本年收入合计194.45万元，较上年预算安排</w:t>
      </w:r>
      <w:r>
        <w:rPr>
          <w:rFonts w:hint="eastAsia"/>
          <w:u w:val="none"/>
        </w:rPr>
        <w:t>增加</w:t>
      </w:r>
      <w:r>
        <w:rPr>
          <w:rFonts w:hint="eastAsia"/>
          <w:u w:val="none"/>
          <w:lang w:val="en-US" w:eastAsia="zh-CN"/>
        </w:rPr>
        <w:t>24.01</w:t>
      </w:r>
      <w:r>
        <w:rPr>
          <w:rFonts w:hint="eastAsia"/>
          <w:u w:val="none"/>
          <w:lang w:eastAsia="zh-CN"/>
        </w:rPr>
        <w:t>万元；包括：财政拨款收入194.45万元，较上年预算安排</w:t>
      </w:r>
      <w:r>
        <w:rPr>
          <w:rFonts w:hint="eastAsia"/>
          <w:u w:val="none"/>
        </w:rPr>
        <w:t>增加</w:t>
      </w:r>
      <w:r>
        <w:rPr>
          <w:rFonts w:hint="eastAsia"/>
          <w:u w:val="none"/>
          <w:lang w:val="en-US" w:eastAsia="zh-CN"/>
        </w:rPr>
        <w:t>24.01</w:t>
      </w:r>
      <w:r>
        <w:rPr>
          <w:rFonts w:hint="eastAsia"/>
          <w:u w:val="none"/>
          <w:lang w:eastAsia="zh-CN"/>
        </w:rPr>
        <w:t>万元。</w:t>
      </w:r>
    </w:p>
    <w:p w14:paraId="68CF6472">
      <w:pPr>
        <w:pStyle w:val="19"/>
        <w:numPr>
          <w:ilvl w:val="0"/>
          <w:numId w:val="0"/>
        </w:numPr>
        <w:bidi w:val="0"/>
        <w:ind w:left="420" w:leftChars="200"/>
        <w:rPr>
          <w:rFonts w:hint="eastAsia"/>
          <w:u w:val="none"/>
        </w:rPr>
      </w:pPr>
      <w:r>
        <w:rPr>
          <w:rFonts w:hint="eastAsia"/>
          <w:u w:val="none"/>
        </w:rPr>
        <w:t xml:space="preserve"> </w:t>
      </w:r>
      <w:r>
        <w:rPr>
          <w:rFonts w:hint="eastAsia"/>
          <w:u w:val="none"/>
          <w:lang w:val="en-US" w:eastAsia="zh-CN"/>
        </w:rPr>
        <w:t>(二)支出预算情况</w:t>
      </w:r>
    </w:p>
    <w:p w14:paraId="108ECF77">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中共景德镇市珠山区委统一战线工作部</w:t>
      </w:r>
      <w:r>
        <w:rPr>
          <w:rFonts w:hint="eastAsia"/>
          <w:u w:val="none"/>
        </w:rPr>
        <w:t>支出预算总额为194.45万元</w:t>
      </w:r>
      <w:r>
        <w:rPr>
          <w:rFonts w:hint="eastAsia"/>
          <w:u w:val="none"/>
          <w:lang w:eastAsia="zh-CN"/>
        </w:rPr>
        <w:t>，</w:t>
      </w:r>
      <w:r>
        <w:rPr>
          <w:rFonts w:hint="eastAsia"/>
          <w:u w:val="none"/>
        </w:rPr>
        <w:t>较上年预算安排增加</w:t>
      </w:r>
      <w:r>
        <w:rPr>
          <w:rFonts w:hint="eastAsia"/>
          <w:u w:val="none"/>
          <w:lang w:val="en-US" w:eastAsia="zh-CN"/>
        </w:rPr>
        <w:t>24.01</w:t>
      </w:r>
      <w:r>
        <w:rPr>
          <w:rFonts w:hint="eastAsia"/>
          <w:u w:val="none"/>
        </w:rPr>
        <w:t xml:space="preserve">万元。 </w:t>
      </w:r>
    </w:p>
    <w:p w14:paraId="204E42DE">
      <w:pPr>
        <w:pStyle w:val="18"/>
        <w:bidi w:val="0"/>
        <w:rPr>
          <w:rFonts w:hint="eastAsia"/>
          <w:u w:val="none"/>
        </w:rPr>
      </w:pPr>
      <w:r>
        <w:rPr>
          <w:rFonts w:hint="eastAsia"/>
          <w:u w:val="none"/>
        </w:rPr>
        <w:t>按支出项目类别划分：基本支出104.45万元</w:t>
      </w:r>
      <w:r>
        <w:rPr>
          <w:rFonts w:hint="eastAsia"/>
          <w:u w:val="none"/>
          <w:lang w:eastAsia="zh-CN"/>
        </w:rPr>
        <w:t>，</w:t>
      </w:r>
      <w:r>
        <w:rPr>
          <w:rFonts w:hint="eastAsia"/>
          <w:u w:val="none"/>
        </w:rPr>
        <w:t>较上年预算安排减少</w:t>
      </w:r>
      <w:r>
        <w:rPr>
          <w:rFonts w:hint="eastAsia"/>
          <w:u w:val="none"/>
          <w:lang w:val="en-US" w:eastAsia="zh-CN"/>
        </w:rPr>
        <w:t>6.49</w:t>
      </w:r>
      <w:r>
        <w:rPr>
          <w:rFonts w:hint="eastAsia"/>
          <w:u w:val="none"/>
        </w:rPr>
        <w:t>万元</w:t>
      </w:r>
      <w:r>
        <w:rPr>
          <w:rFonts w:hint="eastAsia"/>
          <w:u w:val="none"/>
          <w:lang w:eastAsia="zh-CN"/>
        </w:rPr>
        <w:t>；</w:t>
      </w:r>
      <w:r>
        <w:rPr>
          <w:rFonts w:hint="eastAsia"/>
          <w:u w:val="none"/>
        </w:rPr>
        <w:t>项目支出90.00万元</w:t>
      </w:r>
      <w:r>
        <w:rPr>
          <w:rFonts w:hint="eastAsia"/>
          <w:u w:val="none"/>
          <w:lang w:eastAsia="zh-CN"/>
        </w:rPr>
        <w:t>，</w:t>
      </w:r>
      <w:r>
        <w:rPr>
          <w:rFonts w:hint="eastAsia"/>
          <w:u w:val="none"/>
        </w:rPr>
        <w:t>较上年预算安排增加</w:t>
      </w:r>
      <w:r>
        <w:rPr>
          <w:rFonts w:hint="eastAsia"/>
          <w:u w:val="none"/>
          <w:lang w:val="en-US" w:eastAsia="zh-CN"/>
        </w:rPr>
        <w:t>30.5</w:t>
      </w:r>
      <w:r>
        <w:rPr>
          <w:rFonts w:hint="eastAsia"/>
          <w:u w:val="none"/>
        </w:rPr>
        <w:t>万元。</w:t>
      </w:r>
    </w:p>
    <w:p w14:paraId="6A325AAF">
      <w:pPr>
        <w:pStyle w:val="18"/>
        <w:bidi w:val="0"/>
        <w:rPr>
          <w:rFonts w:hint="eastAsia"/>
          <w:u w:val="none"/>
        </w:rPr>
      </w:pPr>
      <w:r>
        <w:rPr>
          <w:rFonts w:hint="eastAsia"/>
          <w:u w:val="none"/>
        </w:rPr>
        <w:t>按支出功能科目划分：一般公共服务支出173.48万元，较上年预算安排增加</w:t>
      </w:r>
      <w:r>
        <w:rPr>
          <w:rFonts w:hint="eastAsia"/>
          <w:u w:val="none"/>
          <w:lang w:val="en-US" w:eastAsia="zh-CN"/>
        </w:rPr>
        <w:t>23.71</w:t>
      </w:r>
      <w:r>
        <w:rPr>
          <w:rFonts w:hint="eastAsia"/>
          <w:u w:val="none"/>
        </w:rPr>
        <w:t>万元；社会保障和就业支出9.71万元，较上年预算安排增加</w:t>
      </w:r>
      <w:r>
        <w:rPr>
          <w:rFonts w:hint="eastAsia"/>
          <w:u w:val="none"/>
          <w:lang w:val="en-US" w:eastAsia="zh-CN"/>
        </w:rPr>
        <w:t>0.06</w:t>
      </w:r>
      <w:r>
        <w:rPr>
          <w:rFonts w:hint="eastAsia"/>
          <w:u w:val="none"/>
        </w:rPr>
        <w:t>万元；卫生健康支出4.07万元，较上年预算安排增加</w:t>
      </w:r>
      <w:r>
        <w:rPr>
          <w:rFonts w:hint="eastAsia"/>
          <w:u w:val="none"/>
          <w:lang w:val="en-US" w:eastAsia="zh-CN"/>
        </w:rPr>
        <w:t>0.2</w:t>
      </w:r>
      <w:r>
        <w:rPr>
          <w:rFonts w:hint="eastAsia"/>
          <w:u w:val="none"/>
        </w:rPr>
        <w:t>万元；住房保障支出7.19万元，较上年预算安排增加</w:t>
      </w:r>
      <w:r>
        <w:rPr>
          <w:rFonts w:hint="eastAsia"/>
          <w:u w:val="none"/>
          <w:lang w:val="en-US" w:eastAsia="zh-CN"/>
        </w:rPr>
        <w:t>0.04</w:t>
      </w:r>
      <w:r>
        <w:rPr>
          <w:rFonts w:hint="eastAsia"/>
          <w:u w:val="none"/>
        </w:rPr>
        <w:t>万元。</w:t>
      </w:r>
    </w:p>
    <w:p w14:paraId="00A6D52E">
      <w:pPr>
        <w:pStyle w:val="18"/>
        <w:bidi w:val="0"/>
        <w:rPr>
          <w:rFonts w:hint="eastAsia"/>
        </w:rPr>
      </w:pPr>
      <w:r>
        <w:rPr>
          <w:rFonts w:hint="eastAsia"/>
          <w:u w:val="none"/>
        </w:rPr>
        <w:t>按支出经济分类划分：工资福利支出91.69万元，较上年预算安排减少</w:t>
      </w:r>
      <w:r>
        <w:rPr>
          <w:rFonts w:hint="eastAsia"/>
          <w:u w:val="none"/>
          <w:lang w:val="en-US" w:eastAsia="zh-CN"/>
        </w:rPr>
        <w:t>8.38</w:t>
      </w:r>
      <w:r>
        <w:rPr>
          <w:rFonts w:hint="eastAsia"/>
          <w:u w:val="none"/>
        </w:rPr>
        <w:t>万元；商品和服务支出102.77万元，较上年预算安排增加</w:t>
      </w:r>
      <w:r>
        <w:rPr>
          <w:rFonts w:hint="eastAsia"/>
          <w:u w:val="none"/>
          <w:lang w:val="en-US" w:eastAsia="zh-CN"/>
        </w:rPr>
        <w:t>91.90</w:t>
      </w:r>
      <w:r>
        <w:rPr>
          <w:rFonts w:hint="eastAsia"/>
          <w:u w:val="none"/>
        </w:rPr>
        <w:t>万元。</w:t>
      </w:r>
    </w:p>
    <w:p w14:paraId="7520B7A6">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64F2113">
      <w:pPr>
        <w:pStyle w:val="18"/>
        <w:bidi w:val="0"/>
        <w:rPr>
          <w:rFonts w:hint="eastAsia"/>
        </w:rPr>
      </w:pPr>
      <w:r>
        <w:rPr>
          <w:rFonts w:hint="eastAsia"/>
          <w:lang w:eastAsia="zh-CN"/>
        </w:rPr>
        <w:t>2026</w:t>
      </w:r>
      <w:r>
        <w:rPr>
          <w:rFonts w:hint="eastAsia"/>
        </w:rPr>
        <w:t>年</w:t>
      </w:r>
      <w:r>
        <w:rPr>
          <w:rFonts w:hint="eastAsia"/>
          <w:lang w:eastAsia="zh-CN"/>
        </w:rPr>
        <w:t>中共景德镇市珠山区委统一战线工作部</w:t>
      </w:r>
      <w:r>
        <w:rPr>
          <w:rFonts w:hint="eastAsia"/>
        </w:rPr>
        <w:t>财政拨款支出预算总额194.45万元,较上年预算安排增加</w:t>
      </w:r>
      <w:r>
        <w:rPr>
          <w:rFonts w:hint="eastAsia"/>
          <w:u w:val="none"/>
          <w:lang w:val="en-US" w:eastAsia="zh-CN"/>
        </w:rPr>
        <w:t>24.01</w:t>
      </w:r>
      <w:r>
        <w:rPr>
          <w:rFonts w:hint="eastAsia"/>
        </w:rPr>
        <w:t>万元。</w:t>
      </w:r>
    </w:p>
    <w:p w14:paraId="6EA0910D">
      <w:pPr>
        <w:pStyle w:val="18"/>
        <w:bidi w:val="0"/>
        <w:rPr>
          <w:rFonts w:hint="eastAsia"/>
        </w:rPr>
      </w:pPr>
      <w:r>
        <w:rPr>
          <w:rFonts w:hint="eastAsia"/>
        </w:rPr>
        <w:t>按支出功能科目划分：一般公共服务支出173.48万元，社会保障和就业支出9.71万元，卫生健康支出4.07万元，住房保障支出7.19万元。</w:t>
      </w:r>
    </w:p>
    <w:p w14:paraId="5ABFA25D">
      <w:pPr>
        <w:pStyle w:val="18"/>
        <w:bidi w:val="0"/>
        <w:rPr>
          <w:rFonts w:hint="eastAsia"/>
        </w:rPr>
      </w:pPr>
      <w:r>
        <w:rPr>
          <w:rFonts w:hint="eastAsia"/>
        </w:rPr>
        <w:t>按支出项目类别划分：基本支出104.45万元,项目支出90.00万元。</w:t>
      </w:r>
    </w:p>
    <w:p w14:paraId="43090CCC">
      <w:pPr>
        <w:pStyle w:val="18"/>
        <w:bidi w:val="0"/>
        <w:rPr>
          <w:rFonts w:hint="eastAsia"/>
        </w:rPr>
      </w:pPr>
      <w:r>
        <w:rPr>
          <w:rFonts w:hint="eastAsia"/>
        </w:rPr>
        <w:t>按支</w:t>
      </w:r>
      <w:r>
        <w:rPr>
          <w:rFonts w:hint="eastAsia"/>
          <w:lang w:val="en-US" w:eastAsia="zh-CN"/>
        </w:rPr>
        <w:t>出经济分类</w:t>
      </w:r>
      <w:r>
        <w:rPr>
          <w:rFonts w:hint="eastAsia"/>
        </w:rPr>
        <w:t>划分：工资福利支出91.69万元，商品和服务支出102.77万元。</w:t>
      </w:r>
    </w:p>
    <w:p w14:paraId="3E2425C5">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4F675F53">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66BEC1D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02214A47">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EE56A61">
      <w:pPr>
        <w:pStyle w:val="18"/>
        <w:bidi w:val="0"/>
        <w:rPr>
          <w:rFonts w:hint="eastAsia"/>
          <w:u w:val="none"/>
        </w:rPr>
      </w:pPr>
      <w:r>
        <w:rPr>
          <w:rFonts w:hint="eastAsia"/>
          <w:u w:val="none"/>
          <w:lang w:eastAsia="zh-CN"/>
        </w:rPr>
        <w:t>2026</w:t>
      </w:r>
      <w:r>
        <w:rPr>
          <w:rFonts w:hint="eastAsia"/>
          <w:u w:val="none"/>
        </w:rPr>
        <w:t>年部门机关运行费预算</w:t>
      </w:r>
      <w:r>
        <w:rPr>
          <w:rFonts w:hint="eastAsia"/>
          <w:u w:val="none"/>
          <w:lang w:val="en-US" w:eastAsia="zh-CN"/>
        </w:rPr>
        <w:t>12.77</w:t>
      </w:r>
      <w:r>
        <w:rPr>
          <w:rFonts w:hint="eastAsia"/>
          <w:u w:val="none"/>
        </w:rPr>
        <w:t>万元，比2025年预算增加</w:t>
      </w:r>
      <w:r>
        <w:rPr>
          <w:rFonts w:hint="eastAsia"/>
          <w:u w:val="none"/>
          <w:lang w:val="en-US" w:eastAsia="zh-CN"/>
        </w:rPr>
        <w:t>1.90</w:t>
      </w:r>
      <w:r>
        <w:rPr>
          <w:rFonts w:hint="eastAsia"/>
          <w:u w:val="none"/>
        </w:rPr>
        <w:t>万元，增长</w:t>
      </w:r>
      <w:r>
        <w:rPr>
          <w:rFonts w:hint="eastAsia"/>
          <w:u w:val="none"/>
          <w:lang w:val="en-US" w:eastAsia="zh-CN"/>
        </w:rPr>
        <w:t>0.17</w:t>
      </w:r>
      <w:r>
        <w:rPr>
          <w:rFonts w:hint="eastAsia"/>
          <w:u w:val="none"/>
        </w:rPr>
        <w:t>%。</w:t>
      </w:r>
    </w:p>
    <w:p w14:paraId="3052F34C">
      <w:pPr>
        <w:widowControl/>
        <w:spacing w:line="580" w:lineRule="exact"/>
        <w:ind w:firstLine="636"/>
        <w:jc w:val="left"/>
        <w:rPr>
          <w:rFonts w:ascii="Adobe 仿宋 Std R" w:hAnsi="Adobe 仿宋 Std R" w:eastAsia="Adobe 仿宋 Std R"/>
          <w:sz w:val="32"/>
          <w:szCs w:val="32"/>
        </w:rPr>
      </w:pPr>
    </w:p>
    <w:p w14:paraId="55743644">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5E3AEE9C">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E708C62">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AA4AE4D">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0C8902EA">
      <w:pPr>
        <w:spacing w:before="2" w:line="357" w:lineRule="auto"/>
        <w:ind w:left="14" w:right="12" w:firstLine="640"/>
        <w:rPr>
          <w:rFonts w:hint="eastAsia"/>
          <w:lang w:eastAsia="zh-CN"/>
        </w:rPr>
      </w:pPr>
      <w:r>
        <w:rPr>
          <w:rFonts w:hint="eastAsia" w:ascii="仿宋" w:hAnsi="仿宋" w:eastAsia="仿宋" w:cs="仿宋"/>
          <w:spacing w:val="5"/>
          <w:sz w:val="31"/>
          <w:szCs w:val="31"/>
          <w:lang w:eastAsia="zh-CN"/>
        </w:rPr>
        <w:t>2026年部门预算安排购置车辆</w:t>
      </w:r>
      <w:r>
        <w:rPr>
          <w:rFonts w:hint="eastAsia" w:ascii="仿宋" w:hAnsi="仿宋" w:eastAsia="仿宋" w:cs="仿宋"/>
          <w:spacing w:val="5"/>
          <w:sz w:val="31"/>
          <w:szCs w:val="31"/>
          <w:lang w:val="en-US" w:eastAsia="zh-CN"/>
        </w:rPr>
        <w:t>0</w:t>
      </w:r>
      <w:r>
        <w:rPr>
          <w:rFonts w:hint="eastAsia" w:ascii="仿宋" w:hAnsi="仿宋" w:eastAsia="仿宋" w:cs="仿宋"/>
          <w:spacing w:val="5"/>
          <w:sz w:val="31"/>
          <w:szCs w:val="31"/>
          <w:lang w:eastAsia="zh-CN"/>
        </w:rPr>
        <w:t>辆，</w:t>
      </w:r>
      <w:r>
        <w:rPr>
          <w:rFonts w:ascii="仿宋" w:hAnsi="仿宋" w:eastAsia="仿宋" w:cs="仿宋"/>
          <w:spacing w:val="5"/>
          <w:sz w:val="31"/>
          <w:szCs w:val="31"/>
        </w:rPr>
        <w:t>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42EA340E">
      <w:pPr>
        <w:pStyle w:val="19"/>
        <w:numPr>
          <w:ilvl w:val="0"/>
          <w:numId w:val="0"/>
        </w:numPr>
        <w:bidi w:val="0"/>
        <w:ind w:firstLine="643" w:firstLineChars="200"/>
        <w:rPr>
          <w:rFonts w:hint="eastAsia"/>
          <w:lang w:val="en-US" w:eastAsia="zh-CN"/>
        </w:rPr>
      </w:pPr>
      <w:r>
        <w:rPr>
          <w:rFonts w:hint="eastAsia"/>
          <w:lang w:val="en-US" w:eastAsia="zh-CN"/>
        </w:rPr>
        <w:t>(九)民族宗教专项经费项目情况说明</w:t>
      </w:r>
    </w:p>
    <w:p w14:paraId="4CFBC208">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eastAsia="zh-CN"/>
        </w:rPr>
        <w:t>（</w:t>
      </w:r>
      <w:r>
        <w:rPr>
          <w:rFonts w:hint="eastAsia"/>
          <w:lang w:eastAsia="zh-CN"/>
        </w:rPr>
        <w:t>1）项目概述</w:t>
      </w:r>
    </w:p>
    <w:p w14:paraId="3A38EB43">
      <w:pPr>
        <w:pStyle w:val="18"/>
        <w:bidi w:val="0"/>
        <w:rPr>
          <w:rFonts w:hint="eastAsia"/>
          <w:lang w:eastAsia="zh-CN"/>
        </w:rPr>
      </w:pPr>
      <w:r>
        <w:rPr>
          <w:rFonts w:hint="eastAsia"/>
          <w:lang w:eastAsia="zh-CN"/>
        </w:rPr>
        <w:t>有助于铸牢中华民族共同体意识，促进民族团结进步创建、少数民族工作服务站发挥作用，维护宗教和睦和社会和谐，防范和抵御宗教领域的风险和隐患，加强宗教工作基层组织建设和落实宗教活动场所管理机构建设。</w:t>
      </w:r>
    </w:p>
    <w:p w14:paraId="615CA3A6">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2）</w:t>
      </w:r>
      <w:r>
        <w:rPr>
          <w:rFonts w:hint="eastAsia"/>
          <w:lang w:eastAsia="zh-CN"/>
        </w:rPr>
        <w:t>立项依据</w:t>
      </w:r>
    </w:p>
    <w:p w14:paraId="4CA99B9E">
      <w:pPr>
        <w:pStyle w:val="18"/>
        <w:numPr>
          <w:ilvl w:val="0"/>
          <w:numId w:val="0"/>
        </w:numPr>
        <w:bidi w:val="0"/>
        <w:ind w:firstLine="640" w:firstLineChars="200"/>
        <w:rPr>
          <w:rFonts w:hint="eastAsia"/>
          <w:lang w:eastAsia="zh-CN"/>
        </w:rPr>
      </w:pPr>
      <w:r>
        <w:rPr>
          <w:rFonts w:hint="eastAsia"/>
          <w:lang w:eastAsia="zh-CN"/>
        </w:rPr>
        <w:t>项目立项符合国家法律法规、国民经济发展规划和相关政策；符合行业发展规划和政策要求；与部门职责范围相符，属于部门履职所需。</w:t>
      </w:r>
    </w:p>
    <w:p w14:paraId="52B2A9A6">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3）</w:t>
      </w:r>
      <w:r>
        <w:rPr>
          <w:rFonts w:hint="eastAsia"/>
          <w:lang w:eastAsia="zh-CN"/>
        </w:rPr>
        <w:t>实施主体</w:t>
      </w:r>
    </w:p>
    <w:p w14:paraId="1FAC6284">
      <w:pPr>
        <w:pStyle w:val="18"/>
        <w:numPr>
          <w:ilvl w:val="0"/>
          <w:numId w:val="0"/>
        </w:numPr>
        <w:bidi w:val="0"/>
        <w:ind w:firstLine="640" w:firstLineChars="200"/>
        <w:rPr>
          <w:rFonts w:hint="default"/>
          <w:lang w:val="en-US" w:eastAsia="zh-CN"/>
        </w:rPr>
      </w:pPr>
      <w:r>
        <w:rPr>
          <w:rFonts w:hint="eastAsia"/>
          <w:lang w:val="en-US" w:eastAsia="zh-CN"/>
        </w:rPr>
        <w:t>中共景德镇市珠山区委统一战线工作部</w:t>
      </w:r>
    </w:p>
    <w:p w14:paraId="3A6AF562">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4）</w:t>
      </w:r>
      <w:r>
        <w:rPr>
          <w:rFonts w:hint="eastAsia"/>
          <w:lang w:eastAsia="zh-CN"/>
        </w:rPr>
        <w:t>实施方案</w:t>
      </w:r>
    </w:p>
    <w:p w14:paraId="39129440">
      <w:pPr>
        <w:pStyle w:val="18"/>
        <w:numPr>
          <w:ilvl w:val="0"/>
          <w:numId w:val="0"/>
        </w:numPr>
        <w:bidi w:val="0"/>
        <w:ind w:firstLine="640" w:firstLineChars="200"/>
        <w:rPr>
          <w:rFonts w:hint="default"/>
          <w:lang w:val="en-US" w:eastAsia="zh-CN"/>
        </w:rPr>
      </w:pPr>
      <w:r>
        <w:rPr>
          <w:rFonts w:hint="eastAsia"/>
          <w:lang w:val="en-US" w:eastAsia="zh-CN"/>
        </w:rPr>
        <w:t>加强</w:t>
      </w:r>
      <w:r>
        <w:rPr>
          <w:rFonts w:hint="default"/>
          <w:lang w:val="en-US" w:eastAsia="zh-CN"/>
        </w:rPr>
        <w:t>宗教活动场所巡查</w:t>
      </w:r>
      <w:r>
        <w:rPr>
          <w:rFonts w:hint="eastAsia"/>
          <w:lang w:val="en-US" w:eastAsia="zh-CN"/>
        </w:rPr>
        <w:t>和</w:t>
      </w:r>
      <w:r>
        <w:rPr>
          <w:rFonts w:hint="default"/>
          <w:lang w:val="en-US" w:eastAsia="zh-CN"/>
        </w:rPr>
        <w:t>宗教维修场所</w:t>
      </w:r>
      <w:r>
        <w:rPr>
          <w:rFonts w:hint="eastAsia"/>
          <w:lang w:val="en-US" w:eastAsia="zh-CN"/>
        </w:rPr>
        <w:t>以及</w:t>
      </w:r>
      <w:r>
        <w:rPr>
          <w:rFonts w:hint="default"/>
          <w:lang w:val="en-US" w:eastAsia="zh-CN"/>
        </w:rPr>
        <w:t>民族宗教政策宣传少数民族服务站建设数量，完善宗教工作基层组织数量和宗教领域维稳工作。</w:t>
      </w:r>
    </w:p>
    <w:p w14:paraId="793C9330">
      <w:pPr>
        <w:pStyle w:val="18"/>
        <w:bidi w:val="0"/>
        <w:rPr>
          <w:rFonts w:hint="eastAsia"/>
          <w:lang w:eastAsia="zh-CN"/>
        </w:rPr>
      </w:pPr>
      <w:r>
        <w:rPr>
          <w:rFonts w:hint="eastAsia"/>
          <w:lang w:eastAsia="zh-CN"/>
        </w:rPr>
        <w:t xml:space="preserve">   （</w:t>
      </w:r>
      <w:r>
        <w:rPr>
          <w:rFonts w:hint="eastAsia"/>
          <w:lang w:val="en-US" w:eastAsia="zh-CN"/>
        </w:rPr>
        <w:t>5）</w:t>
      </w:r>
      <w:r>
        <w:rPr>
          <w:rFonts w:hint="eastAsia"/>
          <w:lang w:eastAsia="zh-CN"/>
        </w:rPr>
        <w:t>实施周期</w:t>
      </w:r>
    </w:p>
    <w:p w14:paraId="74813B24">
      <w:pPr>
        <w:spacing w:before="227" w:line="222" w:lineRule="auto"/>
        <w:ind w:left="645"/>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162E751D">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6）</w:t>
      </w:r>
      <w:r>
        <w:rPr>
          <w:rFonts w:hint="eastAsia"/>
          <w:lang w:eastAsia="zh-CN"/>
        </w:rPr>
        <w:t>年度预算安排</w:t>
      </w:r>
    </w:p>
    <w:p w14:paraId="370404B5">
      <w:pPr>
        <w:spacing w:before="227" w:line="222" w:lineRule="auto"/>
        <w:ind w:left="645"/>
        <w:rPr>
          <w:rFonts w:hint="eastAsia"/>
          <w:lang w:val="en-US"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ascii="仿宋" w:hAnsi="仿宋" w:eastAsia="仿宋" w:cs="仿宋"/>
          <w:sz w:val="31"/>
          <w:szCs w:val="31"/>
        </w:rPr>
        <w:t>30</w:t>
      </w:r>
      <w:r>
        <w:rPr>
          <w:rFonts w:ascii="仿宋" w:hAnsi="仿宋" w:eastAsia="仿宋" w:cs="仿宋"/>
          <w:spacing w:val="-44"/>
          <w:sz w:val="31"/>
          <w:szCs w:val="31"/>
        </w:rPr>
        <w:t xml:space="preserve"> </w:t>
      </w:r>
      <w:r>
        <w:rPr>
          <w:rFonts w:ascii="仿宋" w:hAnsi="仿宋" w:eastAsia="仿宋" w:cs="仿宋"/>
          <w:sz w:val="31"/>
          <w:szCs w:val="31"/>
        </w:rPr>
        <w:t>万元</w:t>
      </w:r>
    </w:p>
    <w:p w14:paraId="032FE7A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0C052F0">
      <w:pPr>
        <w:pStyle w:val="18"/>
        <w:bidi w:val="0"/>
        <w:rPr>
          <w:rFonts w:hint="eastAsia"/>
          <w:lang w:eastAsia="zh-CN"/>
        </w:rPr>
      </w:pPr>
      <w:r>
        <w:rPr>
          <w:rFonts w:hint="eastAsia"/>
          <w:lang w:eastAsia="zh-CN"/>
        </w:rPr>
        <w:t>2026年中共景德镇市珠山区委统一战线工作部财政拨款"三公"经费安排3.49万元，其中：</w:t>
      </w:r>
    </w:p>
    <w:p w14:paraId="5C1A7FDA">
      <w:pPr>
        <w:pStyle w:val="18"/>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p>
    <w:p w14:paraId="7CCD8DE2">
      <w:pPr>
        <w:pStyle w:val="18"/>
        <w:bidi w:val="0"/>
        <w:rPr>
          <w:rFonts w:hint="eastAsia"/>
          <w:lang w:eastAsia="zh-CN"/>
        </w:rPr>
      </w:pPr>
      <w:r>
        <w:rPr>
          <w:rFonts w:hint="eastAsia"/>
          <w:lang w:eastAsia="zh-CN"/>
        </w:rPr>
        <w:t>公务接待3.49万元,比上年增</w:t>
      </w:r>
      <w:r>
        <w:rPr>
          <w:rFonts w:hint="eastAsia"/>
          <w:lang w:val="en-US" w:eastAsia="zh-CN"/>
        </w:rPr>
        <w:t>加</w:t>
      </w:r>
      <w:r>
        <w:rPr>
          <w:rFonts w:hint="eastAsia"/>
          <w:u w:val="none"/>
          <w:lang w:val="en-US" w:eastAsia="zh-CN"/>
        </w:rPr>
        <w:t>0.03</w:t>
      </w:r>
      <w:r>
        <w:rPr>
          <w:rFonts w:hint="eastAsia"/>
          <w:lang w:eastAsia="zh-CN"/>
        </w:rPr>
        <w:t>万元，主要原因是：</w:t>
      </w:r>
      <w:r>
        <w:rPr>
          <w:rFonts w:hint="eastAsia"/>
          <w:u w:val="none"/>
          <w:lang w:eastAsia="zh-CN"/>
        </w:rPr>
        <w:t>安排工作接待增加</w:t>
      </w:r>
      <w:r>
        <w:rPr>
          <w:rFonts w:hint="eastAsia"/>
          <w:lang w:eastAsia="zh-CN"/>
        </w:rPr>
        <w:t>。</w:t>
      </w:r>
    </w:p>
    <w:p w14:paraId="6A09421C">
      <w:pPr>
        <w:pStyle w:val="18"/>
        <w:bidi w:val="0"/>
        <w:rPr>
          <w:rFonts w:hint="eastAsia"/>
          <w:lang w:eastAsia="zh-CN"/>
        </w:rPr>
      </w:pPr>
      <w:r>
        <w:rPr>
          <w:rFonts w:hint="eastAsia"/>
          <w:lang w:eastAsia="zh-CN"/>
        </w:rPr>
        <w:t>公务用车运行0.00万元,比上年增</w:t>
      </w:r>
      <w:r>
        <w:rPr>
          <w:rFonts w:hint="eastAsia"/>
          <w:lang w:val="en-US" w:eastAsia="zh-CN"/>
        </w:rPr>
        <w:t>加0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p>
    <w:p w14:paraId="3A4C3069">
      <w:pPr>
        <w:pStyle w:val="18"/>
        <w:bidi w:val="0"/>
        <w:rPr>
          <w:rStyle w:val="12"/>
          <w:rFonts w:hint="eastAsia" w:ascii="仿宋" w:hAnsi="仿宋" w:eastAsia="仿宋"/>
          <w:sz w:val="32"/>
          <w:szCs w:val="32"/>
        </w:rPr>
      </w:pPr>
      <w:r>
        <w:rPr>
          <w:rFonts w:hint="eastAsia"/>
          <w:lang w:eastAsia="zh-CN"/>
        </w:rPr>
        <w:t>公务用车购置0.00万元,比上年增</w:t>
      </w:r>
      <w:r>
        <w:rPr>
          <w:rFonts w:hint="eastAsia"/>
          <w:lang w:val="en-US" w:eastAsia="zh-CN"/>
        </w:rPr>
        <w:t>加0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r>
        <w:rPr>
          <w:rStyle w:val="12"/>
          <w:rFonts w:hint="eastAsia" w:ascii="仿宋" w:hAnsi="仿宋" w:eastAsia="仿宋"/>
          <w:sz w:val="32"/>
          <w:szCs w:val="32"/>
        </w:rPr>
        <w:br w:type="page"/>
      </w:r>
    </w:p>
    <w:p w14:paraId="159F6F8C">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B98A0E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534127E">
      <w:pPr>
        <w:pStyle w:val="18"/>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011D1306">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422E0CA">
      <w:pPr>
        <w:pStyle w:val="18"/>
        <w:bidi w:val="0"/>
        <w:rPr>
          <w:rFonts w:hint="eastAsia"/>
          <w:lang w:eastAsia="zh-CN"/>
        </w:rPr>
      </w:pPr>
      <w:r>
        <w:rPr>
          <w:rFonts w:hint="eastAsia"/>
          <w:lang w:eastAsia="zh-CN"/>
        </w:rPr>
        <w:t>（三）事业收入：指事业单位开展专业业务活动及辅助活动取得的收入。</w:t>
      </w:r>
    </w:p>
    <w:p w14:paraId="505AAC94">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E4A5314">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07C07CB">
      <w:pPr>
        <w:pStyle w:val="18"/>
        <w:bidi w:val="0"/>
        <w:rPr>
          <w:rFonts w:hint="eastAsia"/>
          <w:lang w:eastAsia="zh-CN"/>
        </w:rPr>
      </w:pPr>
      <w:r>
        <w:rPr>
          <w:rFonts w:hint="eastAsia"/>
          <w:lang w:eastAsia="zh-CN"/>
        </w:rPr>
        <w:t>（六）上级补助收入：指事业单位从主管部门和上级单位取得的非财政补助收入。</w:t>
      </w:r>
    </w:p>
    <w:p w14:paraId="5948EB6F">
      <w:pPr>
        <w:pStyle w:val="18"/>
        <w:bidi w:val="0"/>
        <w:rPr>
          <w:rFonts w:hint="eastAsia"/>
          <w:lang w:eastAsia="zh-CN"/>
        </w:rPr>
      </w:pPr>
      <w:r>
        <w:rPr>
          <w:rFonts w:hint="eastAsia"/>
          <w:lang w:eastAsia="zh-CN"/>
        </w:rPr>
        <w:t>（七）其他收入：指除财政拨款、事业收入、事业单位经营收入等以外的各项收入。</w:t>
      </w:r>
    </w:p>
    <w:p w14:paraId="4C1A7457">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944A1EC">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3902953">
      <w:pPr>
        <w:ind w:firstLine="640" w:firstLineChars="200"/>
        <w:rPr>
          <w:rFonts w:ascii="Adobe 仿宋 Std R" w:hAnsi="Adobe 仿宋 Std R" w:eastAsia="Adobe 仿宋 Std R"/>
          <w:sz w:val="32"/>
          <w:szCs w:val="32"/>
        </w:rPr>
      </w:pPr>
    </w:p>
    <w:p w14:paraId="1CAFC87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18230013">
      <w:pPr>
        <w:spacing w:before="206" w:line="222" w:lineRule="auto"/>
        <w:ind w:left="631"/>
        <w:rPr>
          <w:rFonts w:ascii="仿宋" w:hAnsi="仿宋" w:eastAsia="仿宋" w:cs="仿宋"/>
          <w:spacing w:val="9"/>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27A80E3">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12B5547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4A6355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BA2C18B">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B99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1E97F09"/>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7039D7"/>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0E1380C"/>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5403A0"/>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2F57F3"/>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586278"/>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5C5C3D"/>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3348</Words>
  <Characters>4306</Characters>
  <Lines>47</Lines>
  <Paragraphs>13</Paragraphs>
  <TotalTime>1</TotalTime>
  <ScaleCrop>false</ScaleCrop>
  <LinksUpToDate>false</LinksUpToDate>
  <CharactersWithSpaces>4377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2026-03-04T02:39:41Z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F08B4FA3ABC14DF2ADC259522F413030_13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