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EFBDF">
      <w:pPr>
        <w:pStyle w:val="16"/>
        <w:bidi w:val="0"/>
        <w:rPr>
          <w:rFonts w:hint="eastAsia"/>
        </w:rPr>
      </w:pPr>
      <w:r>
        <w:rPr>
          <w:rFonts w:hint="eastAsia"/>
          <w:lang w:eastAsia="zh-CN"/>
        </w:rPr>
        <w:t>景德镇市珠山区政务服务管理局2026</w:t>
      </w:r>
      <w:r>
        <w:rPr>
          <w:rFonts w:hint="eastAsia"/>
        </w:rPr>
        <w:t>年部门预算</w:t>
      </w:r>
    </w:p>
    <w:p w14:paraId="4803925D">
      <w:pPr>
        <w:pStyle w:val="13"/>
        <w:spacing w:line="600" w:lineRule="atLeast"/>
        <w:jc w:val="center"/>
        <w:rPr>
          <w:rFonts w:ascii="黑体" w:hAnsi="黑体" w:eastAsia="黑体"/>
          <w:color w:val="000000"/>
          <w:sz w:val="32"/>
          <w:szCs w:val="32"/>
        </w:rPr>
      </w:pPr>
    </w:p>
    <w:p w14:paraId="42DD8818">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2E6B13C3">
      <w:pPr>
        <w:pStyle w:val="13"/>
        <w:rPr>
          <w:rFonts w:ascii="宋体" w:hAnsi="宋体"/>
          <w:color w:val="000000"/>
        </w:rPr>
      </w:pPr>
    </w:p>
    <w:p w14:paraId="15DB4EEE">
      <w:pPr>
        <w:pStyle w:val="17"/>
        <w:numPr>
          <w:ilvl w:val="0"/>
          <w:numId w:val="0"/>
        </w:numPr>
        <w:bidi w:val="0"/>
        <w:ind w:left="420" w:leftChars="200"/>
        <w:jc w:val="left"/>
        <w:rPr>
          <w:rFonts w:hint="eastAsia"/>
          <w:lang w:eastAsia="zh-CN"/>
        </w:rPr>
      </w:pPr>
      <w:r>
        <w:rPr>
          <w:rFonts w:hint="eastAsia"/>
          <w:lang w:val="en-US" w:eastAsia="zh-CN"/>
        </w:rPr>
        <w:t>第一部分  景德镇市珠山区政务服务管理局概况</w:t>
      </w:r>
    </w:p>
    <w:p w14:paraId="05FE8B89">
      <w:pPr>
        <w:pStyle w:val="18"/>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0AFE65DB">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1564E4BE">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景德镇市珠山区政务服务管理局2026</w:t>
      </w:r>
      <w:r>
        <w:rPr>
          <w:rFonts w:hint="eastAsia"/>
        </w:rPr>
        <w:t>年部门预算表</w:t>
      </w:r>
    </w:p>
    <w:p w14:paraId="29B7ABF9">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2626199D">
      <w:pPr>
        <w:pStyle w:val="18"/>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285E0050">
      <w:pPr>
        <w:pStyle w:val="18"/>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2C31FEB1">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0D85E6AD">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3537D7F6">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3E037E5C">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3C05DAE4">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6E1B7B8E">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4AC13143">
      <w:pPr>
        <w:pStyle w:val="18"/>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22C1CB21">
      <w:pPr>
        <w:pStyle w:val="18"/>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4CE2AE1C">
      <w:pPr>
        <w:pStyle w:val="17"/>
        <w:numPr>
          <w:ilvl w:val="0"/>
          <w:numId w:val="0"/>
        </w:numPr>
        <w:bidi w:val="0"/>
        <w:ind w:left="420" w:leftChars="200"/>
        <w:jc w:val="left"/>
        <w:rPr>
          <w:rFonts w:hint="eastAsia"/>
          <w:lang w:eastAsia="zh-CN"/>
        </w:rPr>
      </w:pPr>
      <w:r>
        <w:rPr>
          <w:rFonts w:hint="eastAsia"/>
          <w:lang w:eastAsia="zh-CN"/>
        </w:rPr>
        <w:t>第三部分 景德镇市珠山区政务服务管理局 2026年部门预算情况说明</w:t>
      </w:r>
    </w:p>
    <w:p w14:paraId="1476A3A7">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1940B699">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2A8DE27D">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4AA270AE">
      <w:pPr>
        <w:pStyle w:val="17"/>
        <w:numPr>
          <w:ilvl w:val="0"/>
          <w:numId w:val="0"/>
        </w:numPr>
        <w:bidi w:val="0"/>
        <w:ind w:left="420" w:leftChars="200"/>
        <w:jc w:val="left"/>
        <w:rPr>
          <w:rFonts w:hint="eastAsia"/>
          <w:lang w:eastAsia="zh-CN"/>
        </w:rPr>
      </w:pPr>
      <w:r>
        <w:rPr>
          <w:rFonts w:hint="eastAsia"/>
          <w:lang w:eastAsia="zh-CN"/>
        </w:rPr>
        <w:t>第四部分  名词解释</w:t>
      </w:r>
    </w:p>
    <w:p w14:paraId="1025DA53">
      <w:pPr>
        <w:widowControl/>
        <w:spacing w:line="580" w:lineRule="exact"/>
        <w:jc w:val="center"/>
        <w:rPr>
          <w:rFonts w:ascii="仿宋_GB2312" w:eastAsia="仿宋_GB2312"/>
          <w:b/>
          <w:sz w:val="32"/>
          <w:szCs w:val="30"/>
        </w:rPr>
      </w:pPr>
    </w:p>
    <w:p w14:paraId="201D5A1D">
      <w:pPr>
        <w:widowControl/>
        <w:spacing w:line="580" w:lineRule="exact"/>
        <w:jc w:val="center"/>
        <w:rPr>
          <w:rFonts w:ascii="仿宋_GB2312" w:eastAsia="仿宋_GB2312"/>
          <w:b/>
          <w:sz w:val="32"/>
          <w:szCs w:val="30"/>
        </w:rPr>
      </w:pPr>
    </w:p>
    <w:p w14:paraId="7A45018A">
      <w:pPr>
        <w:widowControl/>
        <w:spacing w:line="580" w:lineRule="exact"/>
        <w:jc w:val="center"/>
        <w:rPr>
          <w:rFonts w:ascii="仿宋_GB2312" w:eastAsia="仿宋_GB2312"/>
          <w:b/>
          <w:sz w:val="32"/>
          <w:szCs w:val="30"/>
        </w:rPr>
      </w:pPr>
    </w:p>
    <w:p w14:paraId="1E5757E9">
      <w:pPr>
        <w:widowControl/>
        <w:spacing w:line="580" w:lineRule="exact"/>
        <w:jc w:val="center"/>
        <w:rPr>
          <w:rFonts w:ascii="仿宋_GB2312" w:eastAsia="仿宋_GB2312"/>
          <w:b/>
          <w:sz w:val="32"/>
          <w:szCs w:val="30"/>
        </w:rPr>
      </w:pPr>
    </w:p>
    <w:p w14:paraId="3042449C">
      <w:pPr>
        <w:widowControl/>
        <w:spacing w:line="580" w:lineRule="exact"/>
        <w:jc w:val="center"/>
        <w:rPr>
          <w:rFonts w:ascii="仿宋_GB2312" w:eastAsia="仿宋_GB2312"/>
          <w:b/>
          <w:sz w:val="32"/>
          <w:szCs w:val="30"/>
        </w:rPr>
      </w:pPr>
    </w:p>
    <w:p w14:paraId="3E981092">
      <w:pPr>
        <w:widowControl/>
        <w:spacing w:line="580" w:lineRule="exact"/>
        <w:jc w:val="center"/>
        <w:rPr>
          <w:rFonts w:ascii="仿宋_GB2312" w:eastAsia="仿宋_GB2312"/>
          <w:b/>
          <w:sz w:val="32"/>
          <w:szCs w:val="30"/>
        </w:rPr>
      </w:pPr>
    </w:p>
    <w:p w14:paraId="7F3477C5">
      <w:pPr>
        <w:widowControl/>
        <w:spacing w:line="580" w:lineRule="exact"/>
        <w:jc w:val="center"/>
        <w:rPr>
          <w:rFonts w:ascii="仿宋_GB2312" w:eastAsia="仿宋_GB2312"/>
          <w:b/>
          <w:sz w:val="32"/>
          <w:szCs w:val="30"/>
        </w:rPr>
      </w:pPr>
    </w:p>
    <w:p w14:paraId="6F36CC28">
      <w:pPr>
        <w:widowControl/>
        <w:spacing w:line="580" w:lineRule="exact"/>
        <w:jc w:val="center"/>
        <w:rPr>
          <w:rFonts w:ascii="仿宋_GB2312" w:eastAsia="仿宋_GB2312"/>
          <w:b/>
          <w:sz w:val="32"/>
          <w:szCs w:val="30"/>
        </w:rPr>
      </w:pPr>
    </w:p>
    <w:p w14:paraId="5233408C">
      <w:pPr>
        <w:widowControl/>
        <w:spacing w:line="580" w:lineRule="exact"/>
        <w:jc w:val="center"/>
        <w:rPr>
          <w:rFonts w:ascii="仿宋_GB2312" w:eastAsia="仿宋_GB2312"/>
          <w:b/>
          <w:sz w:val="32"/>
          <w:szCs w:val="30"/>
        </w:rPr>
      </w:pPr>
    </w:p>
    <w:p w14:paraId="142D0E3F">
      <w:pPr>
        <w:widowControl/>
        <w:spacing w:line="580" w:lineRule="exact"/>
        <w:jc w:val="center"/>
        <w:rPr>
          <w:rFonts w:ascii="仿宋_GB2312" w:eastAsia="仿宋_GB2312"/>
          <w:b/>
          <w:sz w:val="32"/>
          <w:szCs w:val="30"/>
        </w:rPr>
      </w:pPr>
    </w:p>
    <w:p w14:paraId="54748B43">
      <w:pPr>
        <w:widowControl/>
        <w:spacing w:line="580" w:lineRule="exact"/>
        <w:jc w:val="center"/>
        <w:rPr>
          <w:rFonts w:ascii="仿宋_GB2312" w:eastAsia="仿宋_GB2312"/>
          <w:b/>
          <w:sz w:val="32"/>
          <w:szCs w:val="30"/>
        </w:rPr>
      </w:pPr>
    </w:p>
    <w:p w14:paraId="3B19FCD9">
      <w:pPr>
        <w:widowControl/>
        <w:spacing w:line="580" w:lineRule="exact"/>
        <w:jc w:val="center"/>
        <w:rPr>
          <w:rFonts w:ascii="仿宋_GB2312" w:eastAsia="仿宋_GB2312"/>
          <w:b/>
          <w:sz w:val="32"/>
          <w:szCs w:val="30"/>
        </w:rPr>
      </w:pPr>
    </w:p>
    <w:p w14:paraId="6D9528E8">
      <w:pPr>
        <w:widowControl/>
        <w:spacing w:line="580" w:lineRule="exact"/>
        <w:jc w:val="center"/>
        <w:rPr>
          <w:rFonts w:ascii="仿宋_GB2312" w:eastAsia="仿宋_GB2312"/>
          <w:b/>
          <w:sz w:val="32"/>
          <w:szCs w:val="30"/>
        </w:rPr>
      </w:pPr>
    </w:p>
    <w:p w14:paraId="1462DEC9">
      <w:pPr>
        <w:widowControl/>
        <w:spacing w:line="580" w:lineRule="exact"/>
        <w:jc w:val="center"/>
        <w:rPr>
          <w:rFonts w:ascii="仿宋_GB2312" w:eastAsia="仿宋_GB2312"/>
          <w:b/>
          <w:sz w:val="32"/>
          <w:szCs w:val="30"/>
        </w:rPr>
      </w:pPr>
    </w:p>
    <w:p w14:paraId="139F63D9">
      <w:pPr>
        <w:pStyle w:val="17"/>
        <w:numPr>
          <w:ilvl w:val="0"/>
          <w:numId w:val="0"/>
        </w:numPr>
        <w:bidi w:val="0"/>
        <w:ind w:left="420" w:leftChars="200"/>
        <w:jc w:val="center"/>
        <w:rPr>
          <w:rFonts w:hint="eastAsia"/>
          <w:lang w:eastAsia="zh-CN"/>
        </w:rPr>
      </w:pPr>
      <w:r>
        <w:rPr>
          <w:rFonts w:hint="eastAsia"/>
          <w:lang w:eastAsia="zh-CN"/>
        </w:rPr>
        <w:t>第一部分  景德镇市珠山区政务服务管理局概况</w:t>
      </w:r>
    </w:p>
    <w:p w14:paraId="08E2A28E">
      <w:pPr>
        <w:widowControl/>
        <w:spacing w:line="580" w:lineRule="exact"/>
        <w:jc w:val="left"/>
        <w:rPr>
          <w:rFonts w:asciiTheme="minorEastAsia" w:hAnsiTheme="minorEastAsia"/>
          <w:b/>
          <w:sz w:val="36"/>
          <w:szCs w:val="36"/>
        </w:rPr>
      </w:pPr>
    </w:p>
    <w:p w14:paraId="222FFCBA">
      <w:pPr>
        <w:pStyle w:val="17"/>
        <w:numPr>
          <w:ilvl w:val="0"/>
          <w:numId w:val="0"/>
        </w:numPr>
        <w:bidi w:val="0"/>
        <w:ind w:left="420" w:leftChars="200" w:firstLine="320" w:firstLineChars="100"/>
        <w:rPr>
          <w:rFonts w:hint="eastAsia"/>
        </w:rPr>
      </w:pPr>
      <w:r>
        <w:rPr>
          <w:rFonts w:hint="eastAsia"/>
        </w:rPr>
        <w:t>一、部门主要职责</w:t>
      </w:r>
    </w:p>
    <w:p w14:paraId="25A835B6">
      <w:pPr>
        <w:keepNext w:val="0"/>
        <w:keepLines w:val="0"/>
        <w:widowControl/>
        <w:suppressLineNumbers w:val="0"/>
        <w:ind w:firstLine="620" w:firstLineChars="200"/>
        <w:jc w:val="left"/>
      </w:pPr>
      <w:r>
        <w:rPr>
          <w:rFonts w:hint="eastAsia" w:ascii="仿宋_GB2312" w:hAnsi="仿宋_GB2312" w:eastAsia="仿宋_GB2312" w:cs="仿宋_GB2312"/>
          <w:color w:val="000000"/>
          <w:kern w:val="0"/>
          <w:sz w:val="31"/>
          <w:szCs w:val="31"/>
          <w:lang w:val="en-US" w:eastAsia="zh-CN" w:bidi="ar"/>
        </w:rPr>
        <w:t>景德镇市珠山</w:t>
      </w:r>
      <w:r>
        <w:rPr>
          <w:rFonts w:ascii="仿宋_GB2312" w:hAnsi="仿宋_GB2312" w:eastAsia="仿宋_GB2312" w:cs="仿宋_GB2312"/>
          <w:color w:val="000000"/>
          <w:kern w:val="0"/>
          <w:sz w:val="31"/>
          <w:szCs w:val="31"/>
          <w:lang w:val="en-US" w:eastAsia="zh-CN" w:bidi="ar"/>
        </w:rPr>
        <w:t xml:space="preserve">区政务服务管理局贯彻落实党中央、省委、市委及区委关于行政审批、政务服务、数字政府工作的方针政策和决策部署， 在履行职责过程中坚持和加强党对行政审批、政务服务、数字政府工作的集中统一领导。主要职责是： </w:t>
      </w:r>
    </w:p>
    <w:p w14:paraId="477D6742">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（一）贯彻执行国家、省、市、区有关行政审批、政务服务、</w:t>
      </w:r>
      <w:r>
        <w:rPr>
          <w:rFonts w:hint="eastAsia" w:ascii="仿宋_GB2312" w:hAnsi="仿宋_GB2312" w:eastAsia="仿宋_GB2312" w:cs="仿宋_GB2312"/>
          <w:color w:val="000000"/>
          <w:kern w:val="0"/>
          <w:sz w:val="31"/>
          <w:szCs w:val="31"/>
          <w:lang w:val="en-US" w:eastAsia="zh-CN" w:bidi="ar"/>
        </w:rPr>
        <w:t>电</w:t>
      </w:r>
      <w:r>
        <w:rPr>
          <w:rFonts w:ascii="仿宋_GB2312" w:hAnsi="仿宋_GB2312" w:eastAsia="仿宋_GB2312" w:cs="仿宋_GB2312"/>
          <w:color w:val="000000"/>
          <w:kern w:val="0"/>
          <w:sz w:val="31"/>
          <w:szCs w:val="31"/>
          <w:lang w:val="en-US" w:eastAsia="zh-CN" w:bidi="ar"/>
        </w:rPr>
        <w:t xml:space="preserve">子政务、政务数据管理等方面的方针政策、法律法规和决策部署，拟定有关政策，并组织实施和监督考核。 </w:t>
      </w:r>
    </w:p>
    <w:p w14:paraId="2D4BAB04">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（二）负责组织推进、指导、协调、督促全区推进数字政府建设、政务服务和行政审批制度改革工作。 </w:t>
      </w:r>
    </w:p>
    <w:p w14:paraId="7C2D815F">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（三）统筹推进全区政务服务体系建设和标准化建设，指导各街道、各部门开展政务服务工作。 </w:t>
      </w:r>
    </w:p>
    <w:p w14:paraId="59386B8B">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（四）负责统筹推进跨部门综合监管，推进行政审批与行业监管协同联动。 </w:t>
      </w:r>
    </w:p>
    <w:p w14:paraId="07FD973E">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（五）负责统筹推进政务应用系统集约建设、互联互通、业务协同；负责江西政务服务网珠山分厅等政务服务平台的业务运行工作。 </w:t>
      </w:r>
    </w:p>
    <w:p w14:paraId="7F748111">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（六）组织、协调、督办全区帮代办服务工作；负责全区网上中介服务超市的管理工作；负责 12345 政务服务热线的建设管理工作。 </w:t>
      </w:r>
    </w:p>
    <w:p w14:paraId="64DAB746">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（七）负责统筹推进“数字政府”建设，协助推进“智慧城市”建设，拟订有关发展规划、年度计划并组织实施。 </w:t>
      </w:r>
    </w:p>
    <w:p w14:paraId="341C4884">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八）负责协调推进全区政务服务体系建设，指导全区政务服务职能部门、街道政务服务管理部门开展政务服务工作，检查、督办全区政务服务的优化提升工作；统筹受理全区政务服务投诉，并会同、协调相关部门按规定处理。 </w:t>
      </w:r>
    </w:p>
    <w:p w14:paraId="5F32AD4D">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（九）承接国务院和省、市人民政府下放的相关行政审批事项，落实国务院和省、市人民政府取消或暂停实施的相关行政审批事项。 </w:t>
      </w:r>
    </w:p>
    <w:p w14:paraId="3C03AB2C">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（十）负责协调区本级划转事项以外的政务服务事项集中办理和规范运行，承担相关部门委托事项的受理；负责区政务服务中心进驻单位及人员的日常管理考核工作。 </w:t>
      </w:r>
    </w:p>
    <w:p w14:paraId="7600C4B2">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（十一）完成区委、区政府交办的其他工作任务。</w:t>
      </w:r>
    </w:p>
    <w:p w14:paraId="4080AB61">
      <w:pPr>
        <w:pStyle w:val="18"/>
        <w:bidi w:val="0"/>
        <w:rPr>
          <w:rFonts w:hint="eastAsia" w:ascii="仿宋_GB2312" w:hAnsi="仿宋_GB2312" w:eastAsia="仿宋_GB2312" w:cs="仿宋_GB2312"/>
        </w:rPr>
      </w:pPr>
    </w:p>
    <w:p w14:paraId="76BC285A">
      <w:pPr>
        <w:pStyle w:val="17"/>
        <w:numPr>
          <w:ilvl w:val="0"/>
          <w:numId w:val="0"/>
        </w:numPr>
        <w:bidi w:val="0"/>
        <w:ind w:left="420" w:leftChars="200" w:firstLine="320" w:firstLineChars="100"/>
        <w:rPr>
          <w:rFonts w:hint="eastAsia"/>
        </w:rPr>
      </w:pPr>
      <w:r>
        <w:rPr>
          <w:rFonts w:hint="eastAsia"/>
        </w:rPr>
        <w:t>二、机构设置及人员情况</w:t>
      </w:r>
    </w:p>
    <w:p w14:paraId="48A42E83">
      <w:pPr>
        <w:pStyle w:val="18"/>
        <w:bidi w:val="0"/>
        <w:rPr>
          <w:rFonts w:hint="eastAsia" w:ascii="仿宋_GB2312" w:hAnsi="仿宋_GB2312" w:eastAsia="仿宋_GB2312" w:cs="仿宋_GB2312"/>
        </w:rPr>
      </w:pPr>
      <w:r>
        <w:rPr>
          <w:rFonts w:hint="eastAsia" w:ascii="仿宋_GB2312" w:hAnsi="仿宋_GB2312" w:eastAsia="仿宋_GB2312" w:cs="仿宋_GB2312"/>
          <w:lang w:eastAsia="zh-CN"/>
        </w:rPr>
        <w:t>景德镇市珠山区政务服务管理局共有预算单位1个，包括景德镇市珠山区政务服务管理局</w:t>
      </w:r>
      <w:r>
        <w:rPr>
          <w:rFonts w:hint="eastAsia" w:ascii="仿宋_GB2312" w:hAnsi="仿宋_GB2312" w:eastAsia="仿宋_GB2312" w:cs="仿宋_GB2312"/>
        </w:rPr>
        <w:t>。</w:t>
      </w:r>
    </w:p>
    <w:p w14:paraId="0A0F9F63">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编制人数小计13人,其中：行政编制人数 9 人,参照公务</w:t>
      </w:r>
      <w:r>
        <w:rPr>
          <w:rFonts w:hint="eastAsia" w:ascii="仿宋" w:hAnsi="仿宋" w:eastAsia="仿宋" w:cs="仿宋"/>
          <w:color w:val="000000"/>
          <w:kern w:val="0"/>
          <w:sz w:val="31"/>
          <w:szCs w:val="31"/>
          <w:lang w:val="en-US" w:eastAsia="zh-CN" w:bidi="ar"/>
        </w:rPr>
        <w:t>员管理的事业编制人数0 人,全部补助事业编制人数4人, 自收自支编制人数 0 人。实有人数小计13人,其中：在职人数小计 13 人,行政在职人数 9 人,参照公务员管理的事业单位在职人数 0 人,全部补助事业在职人数 4 人。离休人数小计 0人,退休人数小计 0 人,退职人员 0人,遗 属人数 0 人。</w:t>
      </w:r>
    </w:p>
    <w:p w14:paraId="53A0187D">
      <w:pPr>
        <w:pStyle w:val="18"/>
        <w:bidi w:val="0"/>
        <w:rPr>
          <w:rFonts w:hint="eastAsia" w:ascii="仿宋_GB2312" w:hAnsi="仿宋_GB2312" w:eastAsia="仿宋_GB2312" w:cs="仿宋_GB2312"/>
        </w:rPr>
      </w:pPr>
    </w:p>
    <w:p w14:paraId="5DFF27AE">
      <w:pPr>
        <w:widowControl/>
        <w:spacing w:line="580" w:lineRule="exact"/>
        <w:jc w:val="center"/>
        <w:rPr>
          <w:rFonts w:ascii="仿宋_GB2312" w:eastAsia="仿宋_GB2312"/>
          <w:b/>
          <w:szCs w:val="30"/>
        </w:rPr>
      </w:pPr>
    </w:p>
    <w:p w14:paraId="05A649BB">
      <w:pPr>
        <w:pStyle w:val="17"/>
        <w:numPr>
          <w:ilvl w:val="0"/>
          <w:numId w:val="0"/>
        </w:numPr>
        <w:bidi w:val="0"/>
        <w:ind w:left="420" w:leftChars="200"/>
        <w:jc w:val="center"/>
        <w:rPr>
          <w:rFonts w:hint="eastAsia"/>
          <w:lang w:eastAsia="zh-CN"/>
        </w:rPr>
      </w:pPr>
      <w:r>
        <w:rPr>
          <w:rFonts w:hint="eastAsia"/>
          <w:lang w:eastAsia="zh-CN"/>
        </w:rPr>
        <w:t>第二部分  景德镇市珠山区政务服务管理局2026年部门预算表</w:t>
      </w:r>
    </w:p>
    <w:p w14:paraId="50F0801D">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50AD008D">
        <w:trPr>
          <w:trHeight w:val="585" w:hRule="atLeast"/>
          <w:tblHeader/>
          <w:jc w:val="center"/>
        </w:trPr>
        <w:tc>
          <w:tcPr>
            <w:tcW w:w="5000" w:type="pct"/>
            <w:gridSpan w:val="4"/>
            <w:noWrap/>
            <w:vAlign w:val="center"/>
          </w:tcPr>
          <w:p w14:paraId="4DE70D0F">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76EABCCD">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12097A47">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139景德镇市珠山区政务服务管理局</w:t>
            </w:r>
          </w:p>
        </w:tc>
        <w:tc>
          <w:tcPr>
            <w:tcW w:w="1655" w:type="pct"/>
            <w:noWrap/>
            <w:vAlign w:val="bottom"/>
          </w:tcPr>
          <w:p w14:paraId="7198221C">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468CABB7">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56635872">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416C68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09CD01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3D4A8138">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1887FDB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4A27E2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431D29F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3D42CDA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7E6F992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EC336B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3D9E07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753.40</w:t>
            </w:r>
          </w:p>
        </w:tc>
        <w:tc>
          <w:tcPr>
            <w:tcW w:w="1655" w:type="pct"/>
            <w:tcBorders>
              <w:top w:val="nil"/>
              <w:left w:val="nil"/>
              <w:bottom w:val="single" w:color="000000" w:sz="4" w:space="0"/>
              <w:right w:val="single" w:color="000000" w:sz="4" w:space="0"/>
            </w:tcBorders>
            <w:noWrap/>
            <w:vAlign w:val="center"/>
          </w:tcPr>
          <w:p w14:paraId="1C6D56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社会保障和就业支出</w:t>
            </w:r>
          </w:p>
        </w:tc>
        <w:tc>
          <w:tcPr>
            <w:tcW w:w="829" w:type="pct"/>
            <w:tcBorders>
              <w:top w:val="nil"/>
              <w:left w:val="nil"/>
              <w:bottom w:val="single" w:color="000000" w:sz="4" w:space="0"/>
              <w:right w:val="single" w:color="000000" w:sz="4" w:space="0"/>
            </w:tcBorders>
            <w:noWrap/>
            <w:vAlign w:val="center"/>
          </w:tcPr>
          <w:p w14:paraId="049D45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18.72</w:t>
            </w:r>
          </w:p>
        </w:tc>
      </w:tr>
      <w:tr w14:paraId="69A2373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3E70CF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29BAF5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753.40</w:t>
            </w:r>
          </w:p>
        </w:tc>
        <w:tc>
          <w:tcPr>
            <w:tcW w:w="1655" w:type="pct"/>
            <w:tcBorders>
              <w:top w:val="nil"/>
              <w:left w:val="nil"/>
              <w:bottom w:val="single" w:color="000000" w:sz="4" w:space="0"/>
              <w:right w:val="single" w:color="000000" w:sz="4" w:space="0"/>
            </w:tcBorders>
            <w:noWrap/>
            <w:vAlign w:val="center"/>
          </w:tcPr>
          <w:p w14:paraId="7EFBC2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762A89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7.86</w:t>
            </w:r>
          </w:p>
        </w:tc>
      </w:tr>
      <w:tr w14:paraId="4B2B854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ABA0FE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29F151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B7E3A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城乡社区支出</w:t>
            </w:r>
          </w:p>
        </w:tc>
        <w:tc>
          <w:tcPr>
            <w:tcW w:w="829" w:type="pct"/>
            <w:tcBorders>
              <w:top w:val="nil"/>
              <w:left w:val="nil"/>
              <w:bottom w:val="single" w:color="000000" w:sz="4" w:space="0"/>
              <w:right w:val="single" w:color="000000" w:sz="4" w:space="0"/>
            </w:tcBorders>
            <w:noWrap/>
            <w:vAlign w:val="center"/>
          </w:tcPr>
          <w:p w14:paraId="1D9E27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712.96</w:t>
            </w:r>
          </w:p>
        </w:tc>
      </w:tr>
      <w:tr w14:paraId="1EF4351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697298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06A5C4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682FB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304F0F7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13.86</w:t>
            </w:r>
          </w:p>
        </w:tc>
      </w:tr>
      <w:tr w14:paraId="52D6700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EA9BD4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27BAC5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7F6D3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E8D2E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93F31F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27318E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3CE6687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551AB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55254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E06860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0FE991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48DC3A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6AB0DD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66FE46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D60236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AB5C08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4354BB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23EE51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147E5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67A74A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2112FF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633DFD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526F7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433E4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1A60B6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8C24D6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2D24DCE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07436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929DD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E7A4B4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FC670E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4276A13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18608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D4350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A79F22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0218BF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4F0BCC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E8A49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FB59E7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22B930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92B2E9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4E88A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FA1B9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D6D15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502FAA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540896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D1463F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7BA8C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8281E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EE1F0D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8AEC1C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FCE0B7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6218C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9B3944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4DF0B9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9236C4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446AF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4F748A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6298D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B5893F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54C5BF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559A2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EA4A12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7D32F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D7D954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F1FE8F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9157B7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75EA33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24F4FD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E88F2C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F16B2F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E8459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8DD1D0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9EE612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C116DE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4ADAD6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1A42F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8C191C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277D7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525221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774538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F7277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0F6E4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5A4DB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816C5E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B72922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8CD7F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37B1B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8D98C2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070DB0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4CBEFD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A301B1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A29EB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D759C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51EF8E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6F636D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6A5A65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77B7C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972F13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C87D24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BB3503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5EB8C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C8C80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36C25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BB57DB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67C3D8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7558C5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F4571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247CAE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8CD2D9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EA12BA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E2410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C0BCAE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6FDDF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E6C14A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0ED39D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581957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AA0E0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D11863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48C984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C6F0B9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3A5BF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E0B7B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8C262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0D16DD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568A758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5E99CD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753.40</w:t>
            </w:r>
          </w:p>
        </w:tc>
        <w:tc>
          <w:tcPr>
            <w:tcW w:w="1655" w:type="pct"/>
            <w:tcBorders>
              <w:top w:val="nil"/>
              <w:left w:val="nil"/>
              <w:bottom w:val="single" w:color="auto" w:sz="4" w:space="0"/>
              <w:right w:val="single" w:color="000000" w:sz="4" w:space="0"/>
            </w:tcBorders>
            <w:noWrap/>
            <w:vAlign w:val="center"/>
          </w:tcPr>
          <w:p w14:paraId="7BB23D8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09484B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753.40</w:t>
            </w:r>
          </w:p>
        </w:tc>
      </w:tr>
      <w:tr w14:paraId="310B9EB0">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01F5FAA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79531C4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3D82AD4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2287B9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169DF353">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60942C5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23D5F8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528EDB9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1EEB8A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7481F70">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715D402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33419C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753.40</w:t>
            </w:r>
          </w:p>
        </w:tc>
        <w:tc>
          <w:tcPr>
            <w:tcW w:w="1655" w:type="pct"/>
            <w:tcBorders>
              <w:top w:val="single" w:color="auto" w:sz="4" w:space="0"/>
              <w:left w:val="single" w:color="auto" w:sz="4" w:space="0"/>
              <w:bottom w:val="single" w:color="auto" w:sz="4" w:space="0"/>
              <w:right w:val="single" w:color="auto" w:sz="4" w:space="0"/>
            </w:tcBorders>
            <w:noWrap/>
            <w:vAlign w:val="center"/>
          </w:tcPr>
          <w:p w14:paraId="6C6BF7A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2F466E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753.40</w:t>
            </w:r>
          </w:p>
        </w:tc>
      </w:tr>
    </w:tbl>
    <w:p w14:paraId="3863F8FA">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5EE81038">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21F79249">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5B0E2ACB">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24DFCDFE">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填报单位:139景德镇市珠山区政务服务管理局</w:t>
            </w:r>
          </w:p>
        </w:tc>
        <w:tc>
          <w:tcPr>
            <w:tcW w:w="422" w:type="pct"/>
            <w:tcBorders>
              <w:top w:val="nil"/>
              <w:left w:val="nil"/>
              <w:bottom w:val="single" w:color="auto" w:sz="4" w:space="0"/>
              <w:right w:val="nil"/>
            </w:tcBorders>
            <w:shd w:val="clear" w:color="auto" w:fill="auto"/>
            <w:noWrap/>
            <w:vAlign w:val="bottom"/>
          </w:tcPr>
          <w:p w14:paraId="21E6F820">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645978C4">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3BBBD954">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4D36FD41">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03053927">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2C5E3E0A">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55A608CC">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714459A7">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19B09CEE">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1135E21D">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3459F653">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63B9A6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C66DE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DFC175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EA587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DEFC4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07E76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9E37E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83582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FDD17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CE739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3EE8C7C5">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3EB2997B">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2E8ED875">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27C2A36B">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769209C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596D4F2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5245CAA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184CE42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29E7160F">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76EC96ED">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77AB996F">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53FCB276">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0AC71499">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07F1C755">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721C728F">
            <w:pPr>
              <w:widowControl/>
              <w:jc w:val="left"/>
              <w:rPr>
                <w:rFonts w:ascii="宋体" w:hAnsi="宋体" w:eastAsia="宋体" w:cs="Arial"/>
                <w:color w:val="000000"/>
                <w:kern w:val="0"/>
                <w:sz w:val="13"/>
                <w:szCs w:val="13"/>
              </w:rPr>
            </w:pPr>
          </w:p>
        </w:tc>
      </w:tr>
      <w:tr w14:paraId="64673CCD">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B4F9EF">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2D0FE4">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B07D0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400AE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E0DE1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414F2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07DDD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C035C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F2AF5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945AA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5E164B">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BC2E89">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D7F30A">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483E4E">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4C086B66">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3D2DE9">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4901E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753.40</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B8824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F818F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753.40</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A3971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753.40</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88A40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7BC0C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F37FA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8B776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4B7CE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B446D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AF527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7BC73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7035943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02926AFF">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6CFEDD">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景德镇市珠山区政务服务管理局</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70D44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753.40</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DCF9F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EB23C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753.40</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8F9B3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753.40</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02ABA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02DB2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650E1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35192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1856D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6032E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85F7F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0CFA1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782F230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7F7A326F">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502CC9DD">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6646520E">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473390A6">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133F3304">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139景德镇市珠山区政务服务管理局</w:t>
            </w:r>
          </w:p>
        </w:tc>
        <w:tc>
          <w:tcPr>
            <w:tcW w:w="914" w:type="pct"/>
            <w:tcBorders>
              <w:top w:val="nil"/>
              <w:left w:val="nil"/>
              <w:bottom w:val="nil"/>
              <w:right w:val="nil"/>
            </w:tcBorders>
            <w:shd w:val="clear" w:color="auto" w:fill="auto"/>
            <w:noWrap/>
            <w:vAlign w:val="bottom"/>
          </w:tcPr>
          <w:p w14:paraId="31A16FB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0752AD3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2ED8779D">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F5BC60C">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C4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4BE9C8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3E8484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A4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070052A">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388D82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0E5D5A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3BF053D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4F93107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7F75CE09">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2347B107">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45C52C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6CC386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58541E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0DDAB38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6741D26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2587771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793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7E373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22B73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753.40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8E3CD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238.80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5AA96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514.60</w:t>
            </w:r>
          </w:p>
        </w:tc>
      </w:tr>
      <w:tr w14:paraId="0A4076E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E0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E97F3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5B1EA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18.72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78603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18.72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CA33E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123309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DE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CB209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BF1E4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18.72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D8A88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18.72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CB95A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C4D478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AC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D3C21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C3779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18.72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D283B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18.72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B8C6E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69E6DE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9F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9EBB2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20FA1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7.86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C30F6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7.86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43227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0D57F3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89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5B3C1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3C12C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7.86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AA505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7.86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4BDFC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A28B6C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3D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21525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10EC2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7.86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91676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7.86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4092A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1C9C86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44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7559E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45946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712.96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F5702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198.36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9CA9C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514.60</w:t>
            </w:r>
          </w:p>
        </w:tc>
      </w:tr>
      <w:tr w14:paraId="0DC24C1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F8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5D41C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5E8E3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712.96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4E58C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198.36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FA478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514.60</w:t>
            </w:r>
          </w:p>
        </w:tc>
      </w:tr>
      <w:tr w14:paraId="32ED5C4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0A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2120101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B155D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08508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198.36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9EA3C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198.36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B8A96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4F7F04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37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2120199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AE72E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其他城乡社区管理事务支出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3F034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514.60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D01CF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3536D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514.60</w:t>
            </w:r>
          </w:p>
        </w:tc>
      </w:tr>
      <w:tr w14:paraId="5260CEF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56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9E064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D585D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13.86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39987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13.86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8B9DA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F48BFD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91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67337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F0687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13.86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A2711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13.86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960CA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8D87EE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4E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46940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814FE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13.86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329FF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13.86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21DA6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5F0DC5D9">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28588618">
        <w:tblPrEx>
          <w:tblCellMar>
            <w:top w:w="0" w:type="dxa"/>
            <w:left w:w="108" w:type="dxa"/>
            <w:bottom w:w="0" w:type="dxa"/>
            <w:right w:w="108" w:type="dxa"/>
          </w:tblCellMar>
        </w:tblPrEx>
        <w:trPr>
          <w:trHeight w:val="585" w:hRule="atLeast"/>
          <w:tblHeader/>
        </w:trPr>
        <w:tc>
          <w:tcPr>
            <w:tcW w:w="5000" w:type="pct"/>
            <w:gridSpan w:val="7"/>
            <w:noWrap/>
            <w:vAlign w:val="center"/>
          </w:tcPr>
          <w:p w14:paraId="3BF31A3E">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47D2360B">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523C13EF">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填报单位:139景德镇市珠山区政务服务管理局</w:t>
            </w:r>
          </w:p>
        </w:tc>
        <w:tc>
          <w:tcPr>
            <w:tcW w:w="577" w:type="pct"/>
            <w:noWrap/>
            <w:vAlign w:val="bottom"/>
          </w:tcPr>
          <w:p w14:paraId="64973538">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777DCF0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709CB0AD">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6918280F">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53047B0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5FE3D8A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10FBCCBB">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4EF0BBD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696249A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6A6BDF9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03CCECB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62A3CC0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716EC4A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54A8E15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32FD50D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054ABF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2D548C1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753.40</w:t>
            </w:r>
          </w:p>
        </w:tc>
        <w:tc>
          <w:tcPr>
            <w:tcW w:w="948" w:type="pct"/>
            <w:tcBorders>
              <w:top w:val="nil"/>
              <w:left w:val="nil"/>
              <w:bottom w:val="single" w:color="000000" w:sz="4" w:space="0"/>
              <w:right w:val="single" w:color="000000" w:sz="4" w:space="0"/>
            </w:tcBorders>
            <w:noWrap/>
            <w:vAlign w:val="center"/>
          </w:tcPr>
          <w:p w14:paraId="2E29F5E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社会保障和就业支出</w:t>
            </w:r>
          </w:p>
        </w:tc>
        <w:tc>
          <w:tcPr>
            <w:tcW w:w="577" w:type="pct"/>
            <w:tcBorders>
              <w:top w:val="nil"/>
              <w:left w:val="nil"/>
              <w:bottom w:val="single" w:color="000000" w:sz="4" w:space="0"/>
              <w:right w:val="single" w:color="000000" w:sz="4" w:space="0"/>
            </w:tcBorders>
            <w:noWrap/>
            <w:vAlign w:val="center"/>
          </w:tcPr>
          <w:p w14:paraId="74D67B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18.72</w:t>
            </w:r>
          </w:p>
        </w:tc>
        <w:tc>
          <w:tcPr>
            <w:tcW w:w="612" w:type="pct"/>
            <w:tcBorders>
              <w:top w:val="nil"/>
              <w:left w:val="nil"/>
              <w:bottom w:val="single" w:color="000000" w:sz="4" w:space="0"/>
              <w:right w:val="single" w:color="000000" w:sz="4" w:space="0"/>
            </w:tcBorders>
            <w:noWrap/>
            <w:vAlign w:val="center"/>
          </w:tcPr>
          <w:p w14:paraId="6E19459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18.72</w:t>
            </w:r>
          </w:p>
        </w:tc>
        <w:tc>
          <w:tcPr>
            <w:tcW w:w="602" w:type="pct"/>
            <w:tcBorders>
              <w:top w:val="nil"/>
              <w:left w:val="nil"/>
              <w:bottom w:val="single" w:color="000000" w:sz="4" w:space="0"/>
              <w:right w:val="single" w:color="000000" w:sz="4" w:space="0"/>
            </w:tcBorders>
            <w:noWrap/>
            <w:vAlign w:val="center"/>
          </w:tcPr>
          <w:p w14:paraId="6DF51D9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283F30B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1A5A7F3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1C6E76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34FD525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753.40</w:t>
            </w:r>
          </w:p>
        </w:tc>
        <w:tc>
          <w:tcPr>
            <w:tcW w:w="948" w:type="pct"/>
            <w:tcBorders>
              <w:top w:val="nil"/>
              <w:left w:val="single" w:color="000000" w:sz="4" w:space="0"/>
              <w:bottom w:val="single" w:color="000000" w:sz="4" w:space="0"/>
              <w:right w:val="single" w:color="000000" w:sz="4" w:space="0"/>
            </w:tcBorders>
            <w:noWrap/>
            <w:vAlign w:val="center"/>
          </w:tcPr>
          <w:p w14:paraId="532CA5BB">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58919C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7.86</w:t>
            </w:r>
          </w:p>
        </w:tc>
        <w:tc>
          <w:tcPr>
            <w:tcW w:w="612" w:type="pct"/>
            <w:tcBorders>
              <w:top w:val="nil"/>
              <w:left w:val="nil"/>
              <w:bottom w:val="single" w:color="000000" w:sz="4" w:space="0"/>
              <w:right w:val="single" w:color="000000" w:sz="4" w:space="0"/>
            </w:tcBorders>
            <w:noWrap/>
            <w:vAlign w:val="center"/>
          </w:tcPr>
          <w:p w14:paraId="0A2BC6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7.86</w:t>
            </w:r>
          </w:p>
        </w:tc>
        <w:tc>
          <w:tcPr>
            <w:tcW w:w="602" w:type="pct"/>
            <w:tcBorders>
              <w:top w:val="nil"/>
              <w:left w:val="nil"/>
              <w:bottom w:val="single" w:color="000000" w:sz="4" w:space="0"/>
              <w:right w:val="single" w:color="000000" w:sz="4" w:space="0"/>
            </w:tcBorders>
            <w:noWrap/>
            <w:vAlign w:val="center"/>
          </w:tcPr>
          <w:p w14:paraId="3E6780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6133AE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3D94B1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B34CDE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1464F38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4166399B">
            <w:pPr>
              <w:widowControl/>
              <w:snapToGrid w:val="0"/>
              <w:jc w:val="center"/>
              <w:textAlignment w:val="center"/>
              <w:rPr>
                <w:rFonts w:hint="eastAsia" w:asciiTheme="minorEastAsia" w:hAnsiTheme="minorEastAsia" w:cstheme="minorEastAsia"/>
                <w:color w:val="000000"/>
                <w:kern w:val="0"/>
                <w:sz w:val="21"/>
                <w:szCs w:val="21"/>
                <w:lang w:bidi="ar"/>
              </w:rPr>
            </w:pPr>
            <w:r>
              <w:t>城乡社区支出</w:t>
            </w:r>
          </w:p>
        </w:tc>
        <w:tc>
          <w:tcPr>
            <w:tcW w:w="577" w:type="pct"/>
            <w:tcBorders>
              <w:top w:val="nil"/>
              <w:left w:val="nil"/>
              <w:bottom w:val="single" w:color="000000" w:sz="4" w:space="0"/>
              <w:right w:val="single" w:color="000000" w:sz="4" w:space="0"/>
            </w:tcBorders>
            <w:noWrap/>
            <w:vAlign w:val="center"/>
          </w:tcPr>
          <w:p w14:paraId="26DF93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712.96</w:t>
            </w:r>
          </w:p>
        </w:tc>
        <w:tc>
          <w:tcPr>
            <w:tcW w:w="612" w:type="pct"/>
            <w:tcBorders>
              <w:top w:val="nil"/>
              <w:left w:val="nil"/>
              <w:bottom w:val="single" w:color="000000" w:sz="4" w:space="0"/>
              <w:right w:val="single" w:color="000000" w:sz="4" w:space="0"/>
            </w:tcBorders>
            <w:noWrap/>
            <w:vAlign w:val="center"/>
          </w:tcPr>
          <w:p w14:paraId="13E721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712.96</w:t>
            </w:r>
          </w:p>
        </w:tc>
        <w:tc>
          <w:tcPr>
            <w:tcW w:w="602" w:type="pct"/>
            <w:tcBorders>
              <w:top w:val="nil"/>
              <w:left w:val="nil"/>
              <w:bottom w:val="single" w:color="000000" w:sz="4" w:space="0"/>
              <w:right w:val="single" w:color="000000" w:sz="4" w:space="0"/>
            </w:tcBorders>
            <w:noWrap/>
            <w:vAlign w:val="center"/>
          </w:tcPr>
          <w:p w14:paraId="76CA23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6F0E18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BBC780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434A67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1A91226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1D32CA55">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621F16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13.86</w:t>
            </w:r>
          </w:p>
        </w:tc>
        <w:tc>
          <w:tcPr>
            <w:tcW w:w="612" w:type="pct"/>
            <w:tcBorders>
              <w:top w:val="nil"/>
              <w:left w:val="nil"/>
              <w:bottom w:val="single" w:color="000000" w:sz="4" w:space="0"/>
              <w:right w:val="single" w:color="000000" w:sz="4" w:space="0"/>
            </w:tcBorders>
            <w:noWrap/>
            <w:vAlign w:val="center"/>
          </w:tcPr>
          <w:p w14:paraId="3B65E1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13.86</w:t>
            </w:r>
          </w:p>
        </w:tc>
        <w:tc>
          <w:tcPr>
            <w:tcW w:w="602" w:type="pct"/>
            <w:tcBorders>
              <w:top w:val="nil"/>
              <w:left w:val="nil"/>
              <w:bottom w:val="single" w:color="000000" w:sz="4" w:space="0"/>
              <w:right w:val="single" w:color="000000" w:sz="4" w:space="0"/>
            </w:tcBorders>
            <w:noWrap/>
            <w:vAlign w:val="center"/>
          </w:tcPr>
          <w:p w14:paraId="3C607A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4A1888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2FD0C6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92CF02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753C8D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1C8A1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E161B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17F43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98942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49134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CD3F78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F456D1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AC8F71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C38DE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90116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7A66B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47A28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BBC80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CEAF8A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593011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BF37AA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29DB1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33717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2C8BB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22183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8989F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EF4B47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45E309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80A443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BE1F0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9094E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EFCE0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045E4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7F68B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C6B416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2BA505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0D5B91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EA122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8F12B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99C91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B2A7D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D8F51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46D8A9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730424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10330A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A80D1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2B969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A4AC5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6BDAE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41935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5BC0E6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CC6497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504432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D76C3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D8061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74073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B4930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01451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86742B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B9C823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B769CF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FC106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5A2B9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60552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AD2C6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DA7B1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B30DC0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092626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CD5499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B0FE0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4023E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21BBB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5C173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1C466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32106F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1E4C80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74BED9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3BF8A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BCD46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B7E88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001B4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CED4C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83773B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5A68C5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2C0FD0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CA2AB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36147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4D1DE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DBF09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F03FF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254277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27508A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255392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98CE1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D162A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F3189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19E2F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0ED7B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705F60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ED3366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5CBFA2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15699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66A84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C5F49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3C8FB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E2EF1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BA3016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F2E6AD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F884E6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C84FF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D8E6A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FFEE0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A7717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3C5E2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2E5995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0F7BCB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9E2C4B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3ED4E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1048D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65FA1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A754B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BC69F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859392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B66125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9A9925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41259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D1197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8AC92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D4ED4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41B2D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9EC5C9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B4EEE5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CB52D3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82013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3F5B9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CCF93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14752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FFFBB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65F626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839D5C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3970BB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63ACC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25B89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3819B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8F44D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73EAD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F5E9E4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C385AD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847600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DA9A4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4AA01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BBB63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6595C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902F4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70FF42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85A28F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E77005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28206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2523A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09380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FDA3C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4DF49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8678490">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79C0AD2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13337DF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514949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ADF1E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F34B4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3C6E4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53479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855642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F058C5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6B2B55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4DA86D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D8211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DC751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457EA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5A84B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4D17B6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8179A9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C427E1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A081C1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BFFB3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C4241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F5288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07671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89846B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4A97EC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4FA9E96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00A3165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E59DC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E9C5F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59D2B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A59A1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D3B9729">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84477D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1A6715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0E2FCA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C802E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C735F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D6494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8B8C8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F680A5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7050F3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238CD37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4E705887">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222391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46152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84F2A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0D9FB16">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45E578D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413634D2">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0C1AD9E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4CCA906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019E0F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659963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2ABDE4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1D6D6368">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DA3724F">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09A62C1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41F0900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43B9E8E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4DDA9D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16A71D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447816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7A6C19AC">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7E1239E">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738D3A7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5BAA67D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753.40</w:t>
            </w:r>
          </w:p>
        </w:tc>
        <w:tc>
          <w:tcPr>
            <w:tcW w:w="948" w:type="pct"/>
            <w:tcBorders>
              <w:top w:val="single" w:color="auto" w:sz="4" w:space="0"/>
              <w:left w:val="single" w:color="auto" w:sz="4" w:space="0"/>
              <w:bottom w:val="single" w:color="auto" w:sz="4" w:space="0"/>
              <w:right w:val="single" w:color="auto" w:sz="4" w:space="0"/>
            </w:tcBorders>
            <w:noWrap/>
            <w:vAlign w:val="center"/>
          </w:tcPr>
          <w:p w14:paraId="3192613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080F7F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753.40</w:t>
            </w:r>
          </w:p>
        </w:tc>
        <w:tc>
          <w:tcPr>
            <w:tcW w:w="612" w:type="pct"/>
            <w:tcBorders>
              <w:top w:val="single" w:color="auto" w:sz="4" w:space="0"/>
              <w:left w:val="single" w:color="auto" w:sz="4" w:space="0"/>
              <w:bottom w:val="single" w:color="auto" w:sz="4" w:space="0"/>
              <w:right w:val="single" w:color="auto" w:sz="4" w:space="0"/>
            </w:tcBorders>
            <w:noWrap/>
            <w:vAlign w:val="center"/>
          </w:tcPr>
          <w:p w14:paraId="0A8187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753.40</w:t>
            </w:r>
          </w:p>
        </w:tc>
        <w:tc>
          <w:tcPr>
            <w:tcW w:w="602" w:type="pct"/>
            <w:tcBorders>
              <w:top w:val="single" w:color="auto" w:sz="4" w:space="0"/>
              <w:left w:val="single" w:color="auto" w:sz="4" w:space="0"/>
              <w:bottom w:val="single" w:color="auto" w:sz="4" w:space="0"/>
              <w:right w:val="single" w:color="auto" w:sz="4" w:space="0"/>
            </w:tcBorders>
            <w:noWrap/>
            <w:vAlign w:val="center"/>
          </w:tcPr>
          <w:p w14:paraId="1E392D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534DCB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35807FEF">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290D76EA">
        <w:tblPrEx>
          <w:tblCellMar>
            <w:top w:w="0" w:type="dxa"/>
            <w:left w:w="108" w:type="dxa"/>
            <w:bottom w:w="0" w:type="dxa"/>
            <w:right w:w="108" w:type="dxa"/>
          </w:tblCellMar>
        </w:tblPrEx>
        <w:trPr>
          <w:trHeight w:val="585" w:hRule="atLeast"/>
          <w:tblHeader/>
        </w:trPr>
        <w:tc>
          <w:tcPr>
            <w:tcW w:w="5000" w:type="pct"/>
            <w:gridSpan w:val="5"/>
            <w:noWrap/>
            <w:vAlign w:val="center"/>
          </w:tcPr>
          <w:p w14:paraId="059F7E62">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50BFF995">
        <w:tblPrEx>
          <w:tblCellMar>
            <w:top w:w="0" w:type="dxa"/>
            <w:left w:w="108" w:type="dxa"/>
            <w:bottom w:w="0" w:type="dxa"/>
            <w:right w:w="108" w:type="dxa"/>
          </w:tblCellMar>
        </w:tblPrEx>
        <w:trPr>
          <w:trHeight w:val="420" w:hRule="atLeast"/>
          <w:tblHeader/>
        </w:trPr>
        <w:tc>
          <w:tcPr>
            <w:tcW w:w="2433" w:type="pct"/>
            <w:gridSpan w:val="2"/>
            <w:noWrap/>
            <w:vAlign w:val="center"/>
          </w:tcPr>
          <w:p w14:paraId="74C6087B">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填报单位:139景德镇市珠山区政务服务管理局</w:t>
            </w:r>
          </w:p>
        </w:tc>
        <w:tc>
          <w:tcPr>
            <w:tcW w:w="1056" w:type="pct"/>
            <w:noWrap/>
            <w:vAlign w:val="bottom"/>
          </w:tcPr>
          <w:p w14:paraId="654F7C3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1762AE3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0CB2FC15">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A2012A5">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6C1BE6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2AC891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4680000">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4EF7FA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18AA11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792E3C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45EE66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7B390F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66A456C">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4F6A3B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6D5991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4BD193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5CF7FE1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596347F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4005A88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11D9FF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761913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4622DA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753.40</w:t>
            </w:r>
          </w:p>
        </w:tc>
        <w:tc>
          <w:tcPr>
            <w:tcW w:w="684" w:type="pct"/>
            <w:tcBorders>
              <w:top w:val="single" w:color="000000" w:sz="4" w:space="0"/>
              <w:left w:val="nil"/>
              <w:bottom w:val="single" w:color="000000" w:sz="4" w:space="0"/>
              <w:right w:val="single" w:color="000000" w:sz="4" w:space="0"/>
            </w:tcBorders>
            <w:noWrap/>
            <w:vAlign w:val="center"/>
          </w:tcPr>
          <w:p w14:paraId="627439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238.80</w:t>
            </w:r>
          </w:p>
        </w:tc>
        <w:tc>
          <w:tcPr>
            <w:tcW w:w="825" w:type="pct"/>
            <w:tcBorders>
              <w:top w:val="single" w:color="000000" w:sz="4" w:space="0"/>
              <w:left w:val="nil"/>
              <w:bottom w:val="single" w:color="000000" w:sz="4" w:space="0"/>
              <w:right w:val="single" w:color="000000" w:sz="4" w:space="0"/>
            </w:tcBorders>
            <w:noWrap/>
            <w:vAlign w:val="center"/>
          </w:tcPr>
          <w:p w14:paraId="482FC5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514.60</w:t>
            </w:r>
          </w:p>
        </w:tc>
      </w:tr>
      <w:tr w14:paraId="2765D8D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AE523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7524DB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204343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18.72</w:t>
            </w:r>
          </w:p>
        </w:tc>
        <w:tc>
          <w:tcPr>
            <w:tcW w:w="684" w:type="pct"/>
            <w:tcBorders>
              <w:top w:val="single" w:color="000000" w:sz="4" w:space="0"/>
              <w:left w:val="nil"/>
              <w:bottom w:val="single" w:color="000000" w:sz="4" w:space="0"/>
              <w:right w:val="single" w:color="000000" w:sz="4" w:space="0"/>
            </w:tcBorders>
            <w:noWrap/>
            <w:vAlign w:val="center"/>
          </w:tcPr>
          <w:p w14:paraId="61955D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18.72</w:t>
            </w:r>
          </w:p>
        </w:tc>
        <w:tc>
          <w:tcPr>
            <w:tcW w:w="825" w:type="pct"/>
            <w:tcBorders>
              <w:top w:val="single" w:color="000000" w:sz="4" w:space="0"/>
              <w:left w:val="nil"/>
              <w:bottom w:val="single" w:color="000000" w:sz="4" w:space="0"/>
              <w:right w:val="single" w:color="000000" w:sz="4" w:space="0"/>
            </w:tcBorders>
            <w:noWrap/>
            <w:vAlign w:val="center"/>
          </w:tcPr>
          <w:p w14:paraId="4B460C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36EF04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739CC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3B9F7C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45AE0C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18.72</w:t>
            </w:r>
          </w:p>
        </w:tc>
        <w:tc>
          <w:tcPr>
            <w:tcW w:w="684" w:type="pct"/>
            <w:tcBorders>
              <w:top w:val="single" w:color="000000" w:sz="4" w:space="0"/>
              <w:left w:val="nil"/>
              <w:bottom w:val="single" w:color="000000" w:sz="4" w:space="0"/>
              <w:right w:val="single" w:color="000000" w:sz="4" w:space="0"/>
            </w:tcBorders>
            <w:noWrap/>
            <w:vAlign w:val="center"/>
          </w:tcPr>
          <w:p w14:paraId="2A83D0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18.72</w:t>
            </w:r>
          </w:p>
        </w:tc>
        <w:tc>
          <w:tcPr>
            <w:tcW w:w="825" w:type="pct"/>
            <w:tcBorders>
              <w:top w:val="single" w:color="000000" w:sz="4" w:space="0"/>
              <w:left w:val="nil"/>
              <w:bottom w:val="single" w:color="000000" w:sz="4" w:space="0"/>
              <w:right w:val="single" w:color="000000" w:sz="4" w:space="0"/>
            </w:tcBorders>
            <w:noWrap/>
            <w:vAlign w:val="center"/>
          </w:tcPr>
          <w:p w14:paraId="2EA017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7B6665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E68DA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42ACE2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032B9A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18.72</w:t>
            </w:r>
          </w:p>
        </w:tc>
        <w:tc>
          <w:tcPr>
            <w:tcW w:w="684" w:type="pct"/>
            <w:tcBorders>
              <w:top w:val="single" w:color="000000" w:sz="4" w:space="0"/>
              <w:left w:val="nil"/>
              <w:bottom w:val="single" w:color="000000" w:sz="4" w:space="0"/>
              <w:right w:val="single" w:color="000000" w:sz="4" w:space="0"/>
            </w:tcBorders>
            <w:noWrap/>
            <w:vAlign w:val="center"/>
          </w:tcPr>
          <w:p w14:paraId="6E74BB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18.72</w:t>
            </w:r>
          </w:p>
        </w:tc>
        <w:tc>
          <w:tcPr>
            <w:tcW w:w="825" w:type="pct"/>
            <w:tcBorders>
              <w:top w:val="single" w:color="000000" w:sz="4" w:space="0"/>
              <w:left w:val="nil"/>
              <w:bottom w:val="single" w:color="000000" w:sz="4" w:space="0"/>
              <w:right w:val="single" w:color="000000" w:sz="4" w:space="0"/>
            </w:tcBorders>
            <w:noWrap/>
            <w:vAlign w:val="center"/>
          </w:tcPr>
          <w:p w14:paraId="487A1C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40B53D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BFED4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4122DE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6D9190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7.86</w:t>
            </w:r>
          </w:p>
        </w:tc>
        <w:tc>
          <w:tcPr>
            <w:tcW w:w="684" w:type="pct"/>
            <w:tcBorders>
              <w:top w:val="single" w:color="000000" w:sz="4" w:space="0"/>
              <w:left w:val="nil"/>
              <w:bottom w:val="single" w:color="000000" w:sz="4" w:space="0"/>
              <w:right w:val="single" w:color="000000" w:sz="4" w:space="0"/>
            </w:tcBorders>
            <w:noWrap/>
            <w:vAlign w:val="center"/>
          </w:tcPr>
          <w:p w14:paraId="50583E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7.86</w:t>
            </w:r>
          </w:p>
        </w:tc>
        <w:tc>
          <w:tcPr>
            <w:tcW w:w="825" w:type="pct"/>
            <w:tcBorders>
              <w:top w:val="single" w:color="000000" w:sz="4" w:space="0"/>
              <w:left w:val="nil"/>
              <w:bottom w:val="single" w:color="000000" w:sz="4" w:space="0"/>
              <w:right w:val="single" w:color="000000" w:sz="4" w:space="0"/>
            </w:tcBorders>
            <w:noWrap/>
            <w:vAlign w:val="center"/>
          </w:tcPr>
          <w:p w14:paraId="14F51F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ED6B7D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33452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680DAC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74C748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7.86</w:t>
            </w:r>
          </w:p>
        </w:tc>
        <w:tc>
          <w:tcPr>
            <w:tcW w:w="684" w:type="pct"/>
            <w:tcBorders>
              <w:top w:val="single" w:color="000000" w:sz="4" w:space="0"/>
              <w:left w:val="nil"/>
              <w:bottom w:val="single" w:color="000000" w:sz="4" w:space="0"/>
              <w:right w:val="single" w:color="000000" w:sz="4" w:space="0"/>
            </w:tcBorders>
            <w:noWrap/>
            <w:vAlign w:val="center"/>
          </w:tcPr>
          <w:p w14:paraId="242124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7.86</w:t>
            </w:r>
          </w:p>
        </w:tc>
        <w:tc>
          <w:tcPr>
            <w:tcW w:w="825" w:type="pct"/>
            <w:tcBorders>
              <w:top w:val="single" w:color="000000" w:sz="4" w:space="0"/>
              <w:left w:val="nil"/>
              <w:bottom w:val="single" w:color="000000" w:sz="4" w:space="0"/>
              <w:right w:val="single" w:color="000000" w:sz="4" w:space="0"/>
            </w:tcBorders>
            <w:noWrap/>
            <w:vAlign w:val="center"/>
          </w:tcPr>
          <w:p w14:paraId="624A1F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257E54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F4A15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7E76D2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4484A7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7.86</w:t>
            </w:r>
          </w:p>
        </w:tc>
        <w:tc>
          <w:tcPr>
            <w:tcW w:w="684" w:type="pct"/>
            <w:tcBorders>
              <w:top w:val="single" w:color="000000" w:sz="4" w:space="0"/>
              <w:left w:val="nil"/>
              <w:bottom w:val="single" w:color="000000" w:sz="4" w:space="0"/>
              <w:right w:val="single" w:color="000000" w:sz="4" w:space="0"/>
            </w:tcBorders>
            <w:noWrap/>
            <w:vAlign w:val="center"/>
          </w:tcPr>
          <w:p w14:paraId="2C9E9C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7.86</w:t>
            </w:r>
          </w:p>
        </w:tc>
        <w:tc>
          <w:tcPr>
            <w:tcW w:w="825" w:type="pct"/>
            <w:tcBorders>
              <w:top w:val="single" w:color="000000" w:sz="4" w:space="0"/>
              <w:left w:val="nil"/>
              <w:bottom w:val="single" w:color="000000" w:sz="4" w:space="0"/>
              <w:right w:val="single" w:color="000000" w:sz="4" w:space="0"/>
            </w:tcBorders>
            <w:noWrap/>
            <w:vAlign w:val="center"/>
          </w:tcPr>
          <w:p w14:paraId="09254E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751DE8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9572E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w:t>
            </w:r>
          </w:p>
        </w:tc>
        <w:tc>
          <w:tcPr>
            <w:tcW w:w="1579" w:type="pct"/>
            <w:tcBorders>
              <w:top w:val="single" w:color="000000" w:sz="4" w:space="0"/>
              <w:left w:val="nil"/>
              <w:bottom w:val="single" w:color="000000" w:sz="4" w:space="0"/>
              <w:right w:val="single" w:color="000000" w:sz="4" w:space="0"/>
            </w:tcBorders>
            <w:noWrap/>
            <w:vAlign w:val="center"/>
          </w:tcPr>
          <w:p w14:paraId="706ED0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城乡社区支出</w:t>
            </w:r>
          </w:p>
        </w:tc>
        <w:tc>
          <w:tcPr>
            <w:tcW w:w="1056" w:type="pct"/>
            <w:tcBorders>
              <w:top w:val="single" w:color="000000" w:sz="4" w:space="0"/>
              <w:left w:val="nil"/>
              <w:bottom w:val="single" w:color="000000" w:sz="4" w:space="0"/>
              <w:right w:val="single" w:color="000000" w:sz="4" w:space="0"/>
            </w:tcBorders>
            <w:noWrap/>
            <w:vAlign w:val="center"/>
          </w:tcPr>
          <w:p w14:paraId="0F2DA6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712.96</w:t>
            </w:r>
          </w:p>
        </w:tc>
        <w:tc>
          <w:tcPr>
            <w:tcW w:w="684" w:type="pct"/>
            <w:tcBorders>
              <w:top w:val="single" w:color="000000" w:sz="4" w:space="0"/>
              <w:left w:val="nil"/>
              <w:bottom w:val="single" w:color="000000" w:sz="4" w:space="0"/>
              <w:right w:val="single" w:color="000000" w:sz="4" w:space="0"/>
            </w:tcBorders>
            <w:noWrap/>
            <w:vAlign w:val="center"/>
          </w:tcPr>
          <w:p w14:paraId="636A47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198.36</w:t>
            </w:r>
          </w:p>
        </w:tc>
        <w:tc>
          <w:tcPr>
            <w:tcW w:w="825" w:type="pct"/>
            <w:tcBorders>
              <w:top w:val="single" w:color="000000" w:sz="4" w:space="0"/>
              <w:left w:val="nil"/>
              <w:bottom w:val="single" w:color="000000" w:sz="4" w:space="0"/>
              <w:right w:val="single" w:color="000000" w:sz="4" w:space="0"/>
            </w:tcBorders>
            <w:noWrap/>
            <w:vAlign w:val="center"/>
          </w:tcPr>
          <w:p w14:paraId="52E9A9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514.60</w:t>
            </w:r>
          </w:p>
        </w:tc>
      </w:tr>
      <w:tr w14:paraId="1C61929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DC6C8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21201</w:t>
            </w:r>
          </w:p>
        </w:tc>
        <w:tc>
          <w:tcPr>
            <w:tcW w:w="1579" w:type="pct"/>
            <w:tcBorders>
              <w:top w:val="single" w:color="000000" w:sz="4" w:space="0"/>
              <w:left w:val="nil"/>
              <w:bottom w:val="single" w:color="000000" w:sz="4" w:space="0"/>
              <w:right w:val="single" w:color="000000" w:sz="4" w:space="0"/>
            </w:tcBorders>
            <w:noWrap/>
            <w:vAlign w:val="center"/>
          </w:tcPr>
          <w:p w14:paraId="7E30A3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城乡社区管理事务</w:t>
            </w:r>
          </w:p>
        </w:tc>
        <w:tc>
          <w:tcPr>
            <w:tcW w:w="1056" w:type="pct"/>
            <w:tcBorders>
              <w:top w:val="single" w:color="000000" w:sz="4" w:space="0"/>
              <w:left w:val="nil"/>
              <w:bottom w:val="single" w:color="000000" w:sz="4" w:space="0"/>
              <w:right w:val="single" w:color="000000" w:sz="4" w:space="0"/>
            </w:tcBorders>
            <w:noWrap/>
            <w:vAlign w:val="center"/>
          </w:tcPr>
          <w:p w14:paraId="1CE4C6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712.96</w:t>
            </w:r>
          </w:p>
        </w:tc>
        <w:tc>
          <w:tcPr>
            <w:tcW w:w="684" w:type="pct"/>
            <w:tcBorders>
              <w:top w:val="single" w:color="000000" w:sz="4" w:space="0"/>
              <w:left w:val="nil"/>
              <w:bottom w:val="single" w:color="000000" w:sz="4" w:space="0"/>
              <w:right w:val="single" w:color="000000" w:sz="4" w:space="0"/>
            </w:tcBorders>
            <w:noWrap/>
            <w:vAlign w:val="center"/>
          </w:tcPr>
          <w:p w14:paraId="327C9A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198.36</w:t>
            </w:r>
          </w:p>
        </w:tc>
        <w:tc>
          <w:tcPr>
            <w:tcW w:w="825" w:type="pct"/>
            <w:tcBorders>
              <w:top w:val="single" w:color="000000" w:sz="4" w:space="0"/>
              <w:left w:val="nil"/>
              <w:bottom w:val="single" w:color="000000" w:sz="4" w:space="0"/>
              <w:right w:val="single" w:color="000000" w:sz="4" w:space="0"/>
            </w:tcBorders>
            <w:noWrap/>
            <w:vAlign w:val="center"/>
          </w:tcPr>
          <w:p w14:paraId="279D6D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514.60</w:t>
            </w:r>
          </w:p>
        </w:tc>
      </w:tr>
      <w:tr w14:paraId="76E0BE1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76908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2120101</w:t>
            </w:r>
          </w:p>
        </w:tc>
        <w:tc>
          <w:tcPr>
            <w:tcW w:w="1579" w:type="pct"/>
            <w:tcBorders>
              <w:top w:val="single" w:color="000000" w:sz="4" w:space="0"/>
              <w:left w:val="nil"/>
              <w:bottom w:val="single" w:color="000000" w:sz="4" w:space="0"/>
              <w:right w:val="single" w:color="000000" w:sz="4" w:space="0"/>
            </w:tcBorders>
            <w:noWrap/>
            <w:vAlign w:val="center"/>
          </w:tcPr>
          <w:p w14:paraId="3008A6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26CA1F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198.36</w:t>
            </w:r>
          </w:p>
        </w:tc>
        <w:tc>
          <w:tcPr>
            <w:tcW w:w="684" w:type="pct"/>
            <w:tcBorders>
              <w:top w:val="single" w:color="000000" w:sz="4" w:space="0"/>
              <w:left w:val="nil"/>
              <w:bottom w:val="single" w:color="000000" w:sz="4" w:space="0"/>
              <w:right w:val="single" w:color="000000" w:sz="4" w:space="0"/>
            </w:tcBorders>
            <w:noWrap/>
            <w:vAlign w:val="center"/>
          </w:tcPr>
          <w:p w14:paraId="2EBD6A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198.36</w:t>
            </w:r>
          </w:p>
        </w:tc>
        <w:tc>
          <w:tcPr>
            <w:tcW w:w="825" w:type="pct"/>
            <w:tcBorders>
              <w:top w:val="single" w:color="000000" w:sz="4" w:space="0"/>
              <w:left w:val="nil"/>
              <w:bottom w:val="single" w:color="000000" w:sz="4" w:space="0"/>
              <w:right w:val="single" w:color="000000" w:sz="4" w:space="0"/>
            </w:tcBorders>
            <w:noWrap/>
            <w:vAlign w:val="center"/>
          </w:tcPr>
          <w:p w14:paraId="546778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421DD9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B3180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2120199</w:t>
            </w:r>
          </w:p>
        </w:tc>
        <w:tc>
          <w:tcPr>
            <w:tcW w:w="1579" w:type="pct"/>
            <w:tcBorders>
              <w:top w:val="single" w:color="000000" w:sz="4" w:space="0"/>
              <w:left w:val="nil"/>
              <w:bottom w:val="single" w:color="000000" w:sz="4" w:space="0"/>
              <w:right w:val="single" w:color="000000" w:sz="4" w:space="0"/>
            </w:tcBorders>
            <w:noWrap/>
            <w:vAlign w:val="center"/>
          </w:tcPr>
          <w:p w14:paraId="30E90B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其他城乡社区管理事务支出</w:t>
            </w:r>
          </w:p>
        </w:tc>
        <w:tc>
          <w:tcPr>
            <w:tcW w:w="1056" w:type="pct"/>
            <w:tcBorders>
              <w:top w:val="single" w:color="000000" w:sz="4" w:space="0"/>
              <w:left w:val="nil"/>
              <w:bottom w:val="single" w:color="000000" w:sz="4" w:space="0"/>
              <w:right w:val="single" w:color="000000" w:sz="4" w:space="0"/>
            </w:tcBorders>
            <w:noWrap/>
            <w:vAlign w:val="center"/>
          </w:tcPr>
          <w:p w14:paraId="7118D8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514.60</w:t>
            </w:r>
          </w:p>
        </w:tc>
        <w:tc>
          <w:tcPr>
            <w:tcW w:w="684" w:type="pct"/>
            <w:tcBorders>
              <w:top w:val="single" w:color="000000" w:sz="4" w:space="0"/>
              <w:left w:val="nil"/>
              <w:bottom w:val="single" w:color="000000" w:sz="4" w:space="0"/>
              <w:right w:val="single" w:color="000000" w:sz="4" w:space="0"/>
            </w:tcBorders>
            <w:noWrap/>
            <w:vAlign w:val="center"/>
          </w:tcPr>
          <w:p w14:paraId="1C1D10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126A41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514.60</w:t>
            </w:r>
          </w:p>
        </w:tc>
      </w:tr>
      <w:tr w14:paraId="714A988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F9DBD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5B8CBC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20F383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13.86</w:t>
            </w:r>
          </w:p>
        </w:tc>
        <w:tc>
          <w:tcPr>
            <w:tcW w:w="684" w:type="pct"/>
            <w:tcBorders>
              <w:top w:val="single" w:color="000000" w:sz="4" w:space="0"/>
              <w:left w:val="nil"/>
              <w:bottom w:val="single" w:color="000000" w:sz="4" w:space="0"/>
              <w:right w:val="single" w:color="000000" w:sz="4" w:space="0"/>
            </w:tcBorders>
            <w:noWrap/>
            <w:vAlign w:val="center"/>
          </w:tcPr>
          <w:p w14:paraId="1C6109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13.86</w:t>
            </w:r>
          </w:p>
        </w:tc>
        <w:tc>
          <w:tcPr>
            <w:tcW w:w="825" w:type="pct"/>
            <w:tcBorders>
              <w:top w:val="single" w:color="000000" w:sz="4" w:space="0"/>
              <w:left w:val="nil"/>
              <w:bottom w:val="single" w:color="000000" w:sz="4" w:space="0"/>
              <w:right w:val="single" w:color="000000" w:sz="4" w:space="0"/>
            </w:tcBorders>
            <w:noWrap/>
            <w:vAlign w:val="center"/>
          </w:tcPr>
          <w:p w14:paraId="64A0F6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294449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BBF6B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3C21D2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178139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13.86</w:t>
            </w:r>
          </w:p>
        </w:tc>
        <w:tc>
          <w:tcPr>
            <w:tcW w:w="684" w:type="pct"/>
            <w:tcBorders>
              <w:top w:val="single" w:color="000000" w:sz="4" w:space="0"/>
              <w:left w:val="nil"/>
              <w:bottom w:val="single" w:color="000000" w:sz="4" w:space="0"/>
              <w:right w:val="single" w:color="000000" w:sz="4" w:space="0"/>
            </w:tcBorders>
            <w:noWrap/>
            <w:vAlign w:val="center"/>
          </w:tcPr>
          <w:p w14:paraId="18F0EE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13.86</w:t>
            </w:r>
          </w:p>
        </w:tc>
        <w:tc>
          <w:tcPr>
            <w:tcW w:w="825" w:type="pct"/>
            <w:tcBorders>
              <w:top w:val="single" w:color="000000" w:sz="4" w:space="0"/>
              <w:left w:val="nil"/>
              <w:bottom w:val="single" w:color="000000" w:sz="4" w:space="0"/>
              <w:right w:val="single" w:color="000000" w:sz="4" w:space="0"/>
            </w:tcBorders>
            <w:noWrap/>
            <w:vAlign w:val="center"/>
          </w:tcPr>
          <w:p w14:paraId="7B7348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DECF69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F2EB4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319FE6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038C87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13.86</w:t>
            </w:r>
          </w:p>
        </w:tc>
        <w:tc>
          <w:tcPr>
            <w:tcW w:w="684" w:type="pct"/>
            <w:tcBorders>
              <w:top w:val="single" w:color="000000" w:sz="4" w:space="0"/>
              <w:left w:val="nil"/>
              <w:bottom w:val="single" w:color="000000" w:sz="4" w:space="0"/>
              <w:right w:val="single" w:color="000000" w:sz="4" w:space="0"/>
            </w:tcBorders>
            <w:noWrap/>
            <w:vAlign w:val="center"/>
          </w:tcPr>
          <w:p w14:paraId="614777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13.86</w:t>
            </w:r>
          </w:p>
        </w:tc>
        <w:tc>
          <w:tcPr>
            <w:tcW w:w="825" w:type="pct"/>
            <w:tcBorders>
              <w:top w:val="single" w:color="000000" w:sz="4" w:space="0"/>
              <w:left w:val="nil"/>
              <w:bottom w:val="single" w:color="000000" w:sz="4" w:space="0"/>
              <w:right w:val="single" w:color="000000" w:sz="4" w:space="0"/>
            </w:tcBorders>
            <w:noWrap/>
            <w:vAlign w:val="center"/>
          </w:tcPr>
          <w:p w14:paraId="64216E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6FE7F8B3">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693C91C7">
        <w:tblPrEx>
          <w:tblCellMar>
            <w:top w:w="0" w:type="dxa"/>
            <w:left w:w="108" w:type="dxa"/>
            <w:bottom w:w="0" w:type="dxa"/>
            <w:right w:w="108" w:type="dxa"/>
          </w:tblCellMar>
        </w:tblPrEx>
        <w:trPr>
          <w:trHeight w:val="585" w:hRule="atLeast"/>
        </w:trPr>
        <w:tc>
          <w:tcPr>
            <w:tcW w:w="5000" w:type="pct"/>
            <w:gridSpan w:val="5"/>
            <w:noWrap/>
            <w:vAlign w:val="center"/>
          </w:tcPr>
          <w:p w14:paraId="126164BD">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7CF876A8">
        <w:tblPrEx>
          <w:tblCellMar>
            <w:top w:w="0" w:type="dxa"/>
            <w:left w:w="108" w:type="dxa"/>
            <w:bottom w:w="0" w:type="dxa"/>
            <w:right w:w="108" w:type="dxa"/>
          </w:tblCellMar>
        </w:tblPrEx>
        <w:trPr>
          <w:trHeight w:val="420" w:hRule="atLeast"/>
        </w:trPr>
        <w:tc>
          <w:tcPr>
            <w:tcW w:w="2398" w:type="pct"/>
            <w:gridSpan w:val="2"/>
            <w:noWrap/>
            <w:vAlign w:val="center"/>
          </w:tcPr>
          <w:p w14:paraId="1687E840">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填报单位:139景德镇市珠山区政务服务管理局</w:t>
            </w:r>
          </w:p>
        </w:tc>
        <w:tc>
          <w:tcPr>
            <w:tcW w:w="891" w:type="pct"/>
            <w:noWrap/>
            <w:vAlign w:val="bottom"/>
          </w:tcPr>
          <w:p w14:paraId="336C53D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47F70A1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0AC33DA6">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A077AEA">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4B191C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780BF7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39BFF5C6">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1B249B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7F120D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2BB393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167834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4CBCE2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79C226A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BEC6E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CDAAB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BE43C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A4D88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9A81A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5D74CBD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9D1973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BEEAD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472BF0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238.80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90953A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217.38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CEADB7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21.42</w:t>
            </w:r>
          </w:p>
        </w:tc>
      </w:tr>
      <w:tr w14:paraId="14F6119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BCA55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E28B8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1BBC00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217.38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04CBEF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217.38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1E4742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49A5EAD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C1E13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61083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4D572F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49.20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00F1C3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49.20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F1A46A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1F914F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08830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6470B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FA674F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24.66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CD1852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24.66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B4653F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1322F9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FE9EF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BD8D7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A71719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19E237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E60CB0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04D11A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D987D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E5175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A2BF40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38.88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0507A1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38.88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8B0AB4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DA1CD0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44FD8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54A7C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37ABF3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18.49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AF9D1F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18.49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CEAE7B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92FD97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40C53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9C912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AFEAFF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7.86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4B4631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7.86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267474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606709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FA488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1FBC4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976FFE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8F069E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BC054E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FB8BE0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A6B67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FCF70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3189A4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13.86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5DAD8D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13.86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9AA834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7550C3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4D9DE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6D056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275C3D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61.40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45521E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61.40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763EDE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F7C7A9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75B6C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1AC66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C88483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21.42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82C838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7187BD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21.42</w:t>
            </w:r>
          </w:p>
        </w:tc>
      </w:tr>
      <w:tr w14:paraId="2308DEC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E9C2D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42AF0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684C04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15.21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6FA57E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81E803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15.21</w:t>
            </w:r>
          </w:p>
        </w:tc>
      </w:tr>
      <w:tr w14:paraId="46F12A8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6650E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17453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19D5E1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853CDC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C3E864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0.39</w:t>
            </w:r>
          </w:p>
        </w:tc>
      </w:tr>
      <w:tr w14:paraId="1D5611E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5020E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4F96F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A4E612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5.82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025ADC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6DAA4E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5.82</w:t>
            </w:r>
          </w:p>
        </w:tc>
      </w:tr>
    </w:tbl>
    <w:p w14:paraId="030752C7">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34E817EF">
        <w:tblPrEx>
          <w:tblCellMar>
            <w:top w:w="0" w:type="dxa"/>
            <w:left w:w="108" w:type="dxa"/>
            <w:bottom w:w="0" w:type="dxa"/>
            <w:right w:w="108" w:type="dxa"/>
          </w:tblCellMar>
        </w:tblPrEx>
        <w:trPr>
          <w:trHeight w:val="450" w:hRule="atLeast"/>
          <w:tblHeader/>
        </w:trPr>
        <w:tc>
          <w:tcPr>
            <w:tcW w:w="636" w:type="pct"/>
            <w:noWrap/>
            <w:vAlign w:val="bottom"/>
          </w:tcPr>
          <w:p w14:paraId="7800527A">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36D27E72">
            <w:pPr>
              <w:widowControl/>
              <w:jc w:val="left"/>
              <w:rPr>
                <w:rFonts w:ascii="Times New Roman" w:hAnsi="Times New Roman" w:eastAsia="宋体"/>
                <w:kern w:val="0"/>
                <w:sz w:val="20"/>
                <w:szCs w:val="20"/>
              </w:rPr>
            </w:pPr>
          </w:p>
        </w:tc>
        <w:tc>
          <w:tcPr>
            <w:tcW w:w="684" w:type="pct"/>
            <w:noWrap/>
            <w:vAlign w:val="bottom"/>
          </w:tcPr>
          <w:p w14:paraId="5DB23E09">
            <w:pPr>
              <w:widowControl/>
              <w:jc w:val="left"/>
              <w:rPr>
                <w:rFonts w:ascii="Times New Roman" w:hAnsi="Times New Roman" w:eastAsia="宋体"/>
                <w:kern w:val="0"/>
                <w:sz w:val="20"/>
                <w:szCs w:val="20"/>
              </w:rPr>
            </w:pPr>
          </w:p>
        </w:tc>
        <w:tc>
          <w:tcPr>
            <w:tcW w:w="538" w:type="pct"/>
            <w:noWrap/>
            <w:vAlign w:val="bottom"/>
          </w:tcPr>
          <w:p w14:paraId="51A21603">
            <w:pPr>
              <w:widowControl/>
              <w:jc w:val="left"/>
              <w:rPr>
                <w:rFonts w:ascii="Times New Roman" w:hAnsi="Times New Roman" w:eastAsia="宋体"/>
                <w:kern w:val="0"/>
                <w:sz w:val="20"/>
                <w:szCs w:val="20"/>
              </w:rPr>
            </w:pPr>
          </w:p>
        </w:tc>
        <w:tc>
          <w:tcPr>
            <w:tcW w:w="2836" w:type="pct"/>
            <w:gridSpan w:val="5"/>
            <w:noWrap/>
            <w:vAlign w:val="center"/>
          </w:tcPr>
          <w:p w14:paraId="78E22B94">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6DC4B35C">
        <w:tblPrEx>
          <w:tblCellMar>
            <w:top w:w="0" w:type="dxa"/>
            <w:left w:w="108" w:type="dxa"/>
            <w:bottom w:w="0" w:type="dxa"/>
            <w:right w:w="108" w:type="dxa"/>
          </w:tblCellMar>
        </w:tblPrEx>
        <w:trPr>
          <w:trHeight w:val="485" w:hRule="atLeast"/>
          <w:tblHeader/>
        </w:trPr>
        <w:tc>
          <w:tcPr>
            <w:tcW w:w="5000" w:type="pct"/>
            <w:gridSpan w:val="9"/>
            <w:noWrap/>
            <w:vAlign w:val="center"/>
          </w:tcPr>
          <w:p w14:paraId="32D0E098">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0EC784D9">
        <w:tblPrEx>
          <w:tblCellMar>
            <w:top w:w="0" w:type="dxa"/>
            <w:left w:w="108" w:type="dxa"/>
            <w:bottom w:w="0" w:type="dxa"/>
            <w:right w:w="108" w:type="dxa"/>
          </w:tblCellMar>
        </w:tblPrEx>
        <w:trPr>
          <w:trHeight w:val="340" w:hRule="atLeast"/>
          <w:tblHeader/>
        </w:trPr>
        <w:tc>
          <w:tcPr>
            <w:tcW w:w="2163" w:type="pct"/>
            <w:gridSpan w:val="4"/>
            <w:noWrap/>
            <w:vAlign w:val="center"/>
          </w:tcPr>
          <w:p w14:paraId="494CAF17">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填报单位:139景德镇市珠山区政务服务管理局</w:t>
            </w:r>
          </w:p>
        </w:tc>
        <w:tc>
          <w:tcPr>
            <w:tcW w:w="742" w:type="pct"/>
            <w:noWrap/>
            <w:vAlign w:val="bottom"/>
          </w:tcPr>
          <w:p w14:paraId="04E218C6">
            <w:pPr>
              <w:widowControl/>
              <w:jc w:val="left"/>
              <w:rPr>
                <w:rFonts w:ascii="Times New Roman" w:hAnsi="Times New Roman" w:eastAsia="宋体"/>
                <w:kern w:val="0"/>
                <w:sz w:val="20"/>
                <w:szCs w:val="20"/>
              </w:rPr>
            </w:pPr>
          </w:p>
        </w:tc>
        <w:tc>
          <w:tcPr>
            <w:tcW w:w="474" w:type="pct"/>
            <w:noWrap/>
            <w:vAlign w:val="bottom"/>
          </w:tcPr>
          <w:p w14:paraId="6E17CF14">
            <w:pPr>
              <w:widowControl/>
              <w:jc w:val="left"/>
              <w:rPr>
                <w:rFonts w:ascii="Times New Roman" w:hAnsi="Times New Roman" w:eastAsia="宋体"/>
                <w:kern w:val="0"/>
                <w:sz w:val="20"/>
                <w:szCs w:val="20"/>
              </w:rPr>
            </w:pPr>
          </w:p>
        </w:tc>
        <w:tc>
          <w:tcPr>
            <w:tcW w:w="596" w:type="pct"/>
            <w:noWrap/>
            <w:vAlign w:val="bottom"/>
          </w:tcPr>
          <w:p w14:paraId="5416F0CA">
            <w:pPr>
              <w:widowControl/>
              <w:jc w:val="left"/>
              <w:rPr>
                <w:rFonts w:ascii="Times New Roman" w:hAnsi="Times New Roman" w:eastAsia="宋体"/>
                <w:kern w:val="0"/>
                <w:sz w:val="20"/>
                <w:szCs w:val="20"/>
              </w:rPr>
            </w:pPr>
          </w:p>
        </w:tc>
        <w:tc>
          <w:tcPr>
            <w:tcW w:w="1023" w:type="pct"/>
            <w:gridSpan w:val="2"/>
            <w:noWrap/>
            <w:vAlign w:val="bottom"/>
          </w:tcPr>
          <w:p w14:paraId="6D1A88B7">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001E56E0">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4B23B3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235C9C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25EF3B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4BD27B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40827247">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684F6F8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36CE95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095155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68AE25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4FEDC75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631028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19B4E6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164917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46FF61E3">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2A8C3165">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2F6E63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73E91E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0B6904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5177A4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612A37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34CE3C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0BA2AB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209912CF">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659E13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0.39</w:t>
            </w:r>
          </w:p>
        </w:tc>
        <w:tc>
          <w:tcPr>
            <w:tcW w:w="684" w:type="pct"/>
            <w:tcBorders>
              <w:top w:val="single" w:color="000000" w:sz="4" w:space="0"/>
              <w:left w:val="nil"/>
              <w:bottom w:val="single" w:color="000000" w:sz="4" w:space="0"/>
              <w:right w:val="single" w:color="000000" w:sz="4" w:space="0"/>
            </w:tcBorders>
            <w:vAlign w:val="center"/>
          </w:tcPr>
          <w:p w14:paraId="56C433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4C392D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4CA0CB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36A08E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0.39</w:t>
            </w:r>
          </w:p>
        </w:tc>
        <w:tc>
          <w:tcPr>
            <w:tcW w:w="596" w:type="pct"/>
            <w:tcBorders>
              <w:top w:val="single" w:color="000000" w:sz="4" w:space="0"/>
              <w:left w:val="single" w:color="000000" w:sz="4" w:space="0"/>
              <w:bottom w:val="single" w:color="000000" w:sz="4" w:space="0"/>
              <w:right w:val="nil"/>
            </w:tcBorders>
            <w:vAlign w:val="center"/>
          </w:tcPr>
          <w:p w14:paraId="559178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269B187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2CF9C82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4774D08B">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740A7FA8">
        <w:tblPrEx>
          <w:tblCellMar>
            <w:top w:w="0" w:type="dxa"/>
            <w:left w:w="108" w:type="dxa"/>
            <w:bottom w:w="0" w:type="dxa"/>
            <w:right w:w="108" w:type="dxa"/>
          </w:tblCellMar>
        </w:tblPrEx>
        <w:trPr>
          <w:trHeight w:val="507" w:hRule="atLeast"/>
          <w:tblHeader/>
        </w:trPr>
        <w:tc>
          <w:tcPr>
            <w:tcW w:w="976" w:type="pct"/>
            <w:noWrap/>
            <w:vAlign w:val="bottom"/>
          </w:tcPr>
          <w:p w14:paraId="5069BFF0">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3D3B1EFD">
            <w:pPr>
              <w:widowControl/>
              <w:jc w:val="left"/>
              <w:rPr>
                <w:rFonts w:ascii="Times New Roman" w:hAnsi="Times New Roman" w:eastAsia="宋体"/>
                <w:kern w:val="0"/>
                <w:sz w:val="20"/>
                <w:szCs w:val="20"/>
              </w:rPr>
            </w:pPr>
          </w:p>
        </w:tc>
        <w:tc>
          <w:tcPr>
            <w:tcW w:w="2801" w:type="pct"/>
            <w:gridSpan w:val="3"/>
            <w:noWrap/>
            <w:vAlign w:val="center"/>
          </w:tcPr>
          <w:p w14:paraId="1CB9BD40">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40FBDD20">
        <w:tblPrEx>
          <w:tblCellMar>
            <w:top w:w="0" w:type="dxa"/>
            <w:left w:w="108" w:type="dxa"/>
            <w:bottom w:w="0" w:type="dxa"/>
            <w:right w:w="108" w:type="dxa"/>
          </w:tblCellMar>
        </w:tblPrEx>
        <w:trPr>
          <w:trHeight w:val="564" w:hRule="atLeast"/>
          <w:tblHeader/>
        </w:trPr>
        <w:tc>
          <w:tcPr>
            <w:tcW w:w="5000" w:type="pct"/>
            <w:gridSpan w:val="5"/>
            <w:noWrap/>
            <w:vAlign w:val="center"/>
          </w:tcPr>
          <w:p w14:paraId="4A6F37EE">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0CDB265B">
        <w:tblPrEx>
          <w:tblCellMar>
            <w:top w:w="0" w:type="dxa"/>
            <w:left w:w="108" w:type="dxa"/>
            <w:bottom w:w="0" w:type="dxa"/>
            <w:right w:w="108" w:type="dxa"/>
          </w:tblCellMar>
        </w:tblPrEx>
        <w:trPr>
          <w:trHeight w:val="405" w:hRule="atLeast"/>
          <w:tblHeader/>
        </w:trPr>
        <w:tc>
          <w:tcPr>
            <w:tcW w:w="2198" w:type="pct"/>
            <w:gridSpan w:val="2"/>
            <w:noWrap/>
            <w:vAlign w:val="center"/>
          </w:tcPr>
          <w:p w14:paraId="4E1BEB4A">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填报单位:139景德镇市珠山区政务服务管理局</w:t>
            </w:r>
          </w:p>
        </w:tc>
        <w:tc>
          <w:tcPr>
            <w:tcW w:w="1099" w:type="pct"/>
            <w:noWrap/>
            <w:vAlign w:val="bottom"/>
          </w:tcPr>
          <w:p w14:paraId="0A89F922">
            <w:pPr>
              <w:rPr>
                <w:rFonts w:hint="eastAsia" w:ascii="宋体" w:hAnsi="宋体" w:eastAsia="宋体" w:cs="Arial"/>
                <w:color w:val="000000"/>
                <w:kern w:val="0"/>
                <w:sz w:val="24"/>
                <w:szCs w:val="24"/>
              </w:rPr>
            </w:pPr>
          </w:p>
        </w:tc>
        <w:tc>
          <w:tcPr>
            <w:tcW w:w="766" w:type="pct"/>
            <w:noWrap/>
            <w:vAlign w:val="bottom"/>
          </w:tcPr>
          <w:p w14:paraId="67D5B7A8">
            <w:pPr>
              <w:widowControl/>
              <w:jc w:val="left"/>
              <w:rPr>
                <w:rFonts w:ascii="Times New Roman" w:hAnsi="Times New Roman" w:eastAsia="宋体"/>
                <w:kern w:val="0"/>
                <w:sz w:val="20"/>
                <w:szCs w:val="20"/>
              </w:rPr>
            </w:pPr>
          </w:p>
        </w:tc>
        <w:tc>
          <w:tcPr>
            <w:tcW w:w="935" w:type="pct"/>
            <w:noWrap/>
            <w:vAlign w:val="center"/>
          </w:tcPr>
          <w:p w14:paraId="0FE7CD98">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6535220C">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0313F2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0E99CF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A7A5502">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063D1D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45417E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017582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1CF9AB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16384A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FDEAC59">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7669B5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378B1F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091B6B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3F3C2F5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6A7C2D1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7748A589">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2DD41093">
        <w:tblPrEx>
          <w:tblCellMar>
            <w:top w:w="0" w:type="dxa"/>
            <w:left w:w="108" w:type="dxa"/>
            <w:bottom w:w="0" w:type="dxa"/>
            <w:right w:w="108" w:type="dxa"/>
          </w:tblCellMar>
        </w:tblPrEx>
        <w:trPr>
          <w:trHeight w:val="619" w:hRule="atLeast"/>
          <w:tblHeader/>
        </w:trPr>
        <w:tc>
          <w:tcPr>
            <w:tcW w:w="960" w:type="pct"/>
            <w:noWrap/>
            <w:vAlign w:val="bottom"/>
          </w:tcPr>
          <w:p w14:paraId="07D0B089">
            <w:pPr>
              <w:rPr>
                <w:rStyle w:val="12"/>
                <w:rFonts w:hint="eastAsia" w:ascii="仿宋" w:hAnsi="仿宋" w:eastAsia="仿宋"/>
                <w:bCs/>
                <w:sz w:val="32"/>
                <w:szCs w:val="32"/>
              </w:rPr>
            </w:pPr>
          </w:p>
        </w:tc>
        <w:tc>
          <w:tcPr>
            <w:tcW w:w="1233" w:type="pct"/>
            <w:noWrap/>
            <w:vAlign w:val="bottom"/>
          </w:tcPr>
          <w:p w14:paraId="1DD22D3F">
            <w:pPr>
              <w:widowControl/>
              <w:jc w:val="left"/>
              <w:rPr>
                <w:rFonts w:ascii="Times New Roman" w:hAnsi="Times New Roman" w:eastAsia="宋体"/>
                <w:kern w:val="0"/>
                <w:sz w:val="20"/>
                <w:szCs w:val="20"/>
              </w:rPr>
            </w:pPr>
          </w:p>
        </w:tc>
        <w:tc>
          <w:tcPr>
            <w:tcW w:w="2805" w:type="pct"/>
            <w:gridSpan w:val="3"/>
            <w:noWrap/>
            <w:vAlign w:val="center"/>
          </w:tcPr>
          <w:p w14:paraId="4E0432DC">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05D70FA3">
        <w:tblPrEx>
          <w:tblCellMar>
            <w:top w:w="0" w:type="dxa"/>
            <w:left w:w="108" w:type="dxa"/>
            <w:bottom w:w="0" w:type="dxa"/>
            <w:right w:w="108" w:type="dxa"/>
          </w:tblCellMar>
        </w:tblPrEx>
        <w:trPr>
          <w:trHeight w:val="613" w:hRule="atLeast"/>
          <w:tblHeader/>
        </w:trPr>
        <w:tc>
          <w:tcPr>
            <w:tcW w:w="5000" w:type="pct"/>
            <w:gridSpan w:val="5"/>
            <w:noWrap/>
            <w:vAlign w:val="center"/>
          </w:tcPr>
          <w:p w14:paraId="0DF38AFD">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53FAB847">
        <w:tblPrEx>
          <w:tblCellMar>
            <w:top w:w="0" w:type="dxa"/>
            <w:left w:w="108" w:type="dxa"/>
            <w:bottom w:w="0" w:type="dxa"/>
            <w:right w:w="108" w:type="dxa"/>
          </w:tblCellMar>
        </w:tblPrEx>
        <w:trPr>
          <w:trHeight w:val="413" w:hRule="atLeast"/>
          <w:tblHeader/>
        </w:trPr>
        <w:tc>
          <w:tcPr>
            <w:tcW w:w="3282" w:type="pct"/>
            <w:gridSpan w:val="3"/>
            <w:noWrap/>
            <w:vAlign w:val="center"/>
          </w:tcPr>
          <w:p w14:paraId="77334BA9">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填报单位:139景德镇市珠山区政务服务管理局</w:t>
            </w:r>
          </w:p>
        </w:tc>
        <w:tc>
          <w:tcPr>
            <w:tcW w:w="762" w:type="pct"/>
            <w:noWrap/>
            <w:vAlign w:val="bottom"/>
          </w:tcPr>
          <w:p w14:paraId="575409E0">
            <w:pPr>
              <w:widowControl/>
              <w:jc w:val="left"/>
              <w:rPr>
                <w:rFonts w:ascii="Times New Roman" w:hAnsi="Times New Roman" w:eastAsia="宋体"/>
                <w:kern w:val="0"/>
                <w:sz w:val="20"/>
                <w:szCs w:val="20"/>
              </w:rPr>
            </w:pPr>
          </w:p>
        </w:tc>
        <w:tc>
          <w:tcPr>
            <w:tcW w:w="954" w:type="pct"/>
            <w:noWrap/>
            <w:vAlign w:val="center"/>
          </w:tcPr>
          <w:p w14:paraId="75344E27">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6A8320AB">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594567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6A4298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4A6432D7">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5C4ED2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60EB28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70F538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7B9208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490082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70DD971">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2B843C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0C0E9B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0A687C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7052F1F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7F6EED2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6B8D2004">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04678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53E4293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0E395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40F703A">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92F9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139</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48B363E">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B4A0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景德镇市珠山区社区服务中心</w:t>
            </w:r>
          </w:p>
        </w:tc>
      </w:tr>
      <w:tr w14:paraId="7C89D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1202C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5"/>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4CCC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推进“高效办成一件事”工作，提升电子证照的应用率和12345热线服务质效，积极打造政务服务示范大厅，保障中心的正常运转；公安民警日常工作用餐，保障民警日常工作正常开展。大厅服务驻场人员≥20人，新办理印章雕刻企业和个体数量≥300家，高效办成一件事处理数量≥1000件，民警用餐人数≤49人，服务窗口单位个数≥10个。</w:t>
            </w:r>
          </w:p>
        </w:tc>
      </w:tr>
      <w:tr w14:paraId="1965F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CB1D35C">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5EE02">
            <w:pPr>
              <w:jc w:val="center"/>
              <w:rPr>
                <w:rFonts w:hint="eastAsia" w:asciiTheme="minorEastAsia" w:hAnsiTheme="minorEastAsia" w:eastAsiaTheme="minorEastAsia" w:cstheme="minorEastAsia"/>
                <w:b w:val="0"/>
                <w:i w:val="0"/>
                <w:iCs w:val="0"/>
                <w:color w:val="000000"/>
                <w:sz w:val="18"/>
                <w:szCs w:val="18"/>
                <w:u w:val="none"/>
              </w:rPr>
            </w:pPr>
          </w:p>
        </w:tc>
      </w:tr>
      <w:tr w14:paraId="624F6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0823947">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20CA7">
            <w:pPr>
              <w:jc w:val="center"/>
              <w:rPr>
                <w:rFonts w:hint="eastAsia" w:asciiTheme="minorEastAsia" w:hAnsiTheme="minorEastAsia" w:eastAsiaTheme="minorEastAsia" w:cstheme="minorEastAsia"/>
                <w:b w:val="0"/>
                <w:i w:val="0"/>
                <w:iCs w:val="0"/>
                <w:color w:val="000000"/>
                <w:sz w:val="18"/>
                <w:szCs w:val="18"/>
                <w:u w:val="none"/>
              </w:rPr>
            </w:pPr>
          </w:p>
        </w:tc>
      </w:tr>
      <w:tr w14:paraId="305F1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2548A6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347D82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B83A31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FFD1DC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3EBF7F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6A5FF9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2977B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473B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83E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C949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高效办成一件事处理数量</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58C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9AA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595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件</w:t>
            </w:r>
          </w:p>
        </w:tc>
      </w:tr>
      <w:tr w14:paraId="05CE4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D132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6F7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7DB9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民警用餐人数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547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F4F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49</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249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14:paraId="67BB8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F2E0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4F8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40B1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服务窗口单位个数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8EA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580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0B0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14:paraId="3A87D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C839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5C6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A738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大厅服务驻场人员</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C61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545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62F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14:paraId="5CD8B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300E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807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03C6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新办理印章雕刻企业和个体数量</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78C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8A8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EED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家</w:t>
            </w:r>
          </w:p>
        </w:tc>
      </w:tr>
      <w:tr w14:paraId="18EAD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4C0A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036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4AD0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窗口办理工作合格率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256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EB9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06A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5FB9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64EE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E30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A057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民警用餐标准符合率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196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159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2C2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7A5D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D1D1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8C2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279A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提升各项工作事项办结率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74A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0AE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3C0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611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F90E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273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5382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驻场人员专业水平合格率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EEE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A9C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E45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10D7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C89D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901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46D0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印章质量合格率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BB4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9A5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B50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2CBA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D9D1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B34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EE42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工作开展及时率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229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E1E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D50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33FB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D0D6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B9F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6B67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资金拨付及时率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853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173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80C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DA43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11DA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C7E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ACB8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民警供餐及时率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143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75F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1C4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E35C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2054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FE7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ADBC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驻场人员业务办理及时率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098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44A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38F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B771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D2AC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9D7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843C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印章雕刻期限</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A5E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E1E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FF8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天</w:t>
            </w:r>
          </w:p>
        </w:tc>
      </w:tr>
      <w:tr w14:paraId="1C784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F121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C81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44CF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EC5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3AA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1A8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FF0B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D930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4A0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9B40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E73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5DE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C6B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D06E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A6E0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B85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C4EB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6A4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CC6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841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8273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D145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249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D813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C1A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46F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36F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AEB4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2F75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9B0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DB5A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提升大厅窗口服务能力</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22E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0D6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C3F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59D5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AF91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843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EDB6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减少企业及个人办事时间</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51F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692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FDE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6CC4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C0E5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28C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83EF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惠企免费刻章政策知晓率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283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C0D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F40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7F58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F665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08E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1806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服务群众对服务中心满意度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F87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7DD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89A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70F0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8249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8DF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766E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民警用餐满意度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E6B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278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C86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20921294">
      <w:pPr>
        <w:rPr>
          <w:rFonts w:hint="eastAsia"/>
          <w:lang w:eastAsia="zh-CN"/>
        </w:rPr>
      </w:pPr>
    </w:p>
    <w:p w14:paraId="32CAF786">
      <w:pPr>
        <w:rPr>
          <w:rFonts w:hint="eastAsia"/>
          <w:lang w:eastAsia="zh-CN"/>
        </w:rPr>
      </w:pPr>
    </w:p>
    <w:p w14:paraId="1F5A46DB">
      <w:pPr>
        <w:rPr>
          <w:rFonts w:hint="eastAsia"/>
          <w:lang w:eastAsia="zh-CN"/>
        </w:rPr>
      </w:pPr>
    </w:p>
    <w:p w14:paraId="44C7CAB3">
      <w:pPr>
        <w:rPr>
          <w:rFonts w:hint="eastAsia"/>
          <w:lang w:eastAsia="zh-CN"/>
        </w:rPr>
      </w:pPr>
    </w:p>
    <w:p w14:paraId="75FAF7CD">
      <w:pPr>
        <w:rPr>
          <w:rFonts w:hint="eastAsia"/>
          <w:lang w:eastAsia="zh-CN"/>
        </w:rPr>
      </w:pPr>
    </w:p>
    <w:tbl>
      <w:tblPr>
        <w:tblStyle w:val="6"/>
        <w:tblW w:w="10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25"/>
        <w:gridCol w:w="2727"/>
        <w:gridCol w:w="2647"/>
        <w:gridCol w:w="1107"/>
        <w:gridCol w:w="2174"/>
      </w:tblGrid>
      <w:tr w14:paraId="09BE1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2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D346">
            <w:pPr>
              <w:keepNext w:val="0"/>
              <w:keepLines w:val="0"/>
              <w:widowControl/>
              <w:suppressLineNumbers w:val="0"/>
              <w:jc w:val="center"/>
              <w:textAlignment w:val="center"/>
              <w:rPr>
                <w:rFonts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项目支出绩效目标表</w:t>
            </w:r>
          </w:p>
        </w:tc>
      </w:tr>
      <w:tr w14:paraId="3A1B6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BFF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（2026-2026年度）</w:t>
            </w:r>
          </w:p>
        </w:tc>
      </w:tr>
      <w:tr w14:paraId="268CE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C0B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C5A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机关综合保障项目_珠事顺利服务与运行保障项目经费</w:t>
            </w:r>
          </w:p>
        </w:tc>
      </w:tr>
      <w:tr w14:paraId="38070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337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主管部门及代码</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76A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139-景德镇市珠山区社区服务中心</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1EC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实施单位</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2DA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景德镇市珠山区政务服务管理局</w:t>
            </w:r>
          </w:p>
        </w:tc>
      </w:tr>
      <w:tr w14:paraId="1F357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F00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项目资金（万元）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A1F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EEC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205.00</w:t>
            </w:r>
          </w:p>
        </w:tc>
      </w:tr>
      <w:tr w14:paraId="1ECA7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9C01">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ED2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其中：非财政拨款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22E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w:t>
            </w:r>
          </w:p>
        </w:tc>
      </w:tr>
      <w:tr w14:paraId="00F31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D6E4">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CB9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3EA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w:t>
            </w:r>
          </w:p>
        </w:tc>
      </w:tr>
      <w:tr w14:paraId="2E900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8084">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693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上年结转</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030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w:t>
            </w:r>
          </w:p>
        </w:tc>
      </w:tr>
      <w:tr w14:paraId="5E973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04F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总绩效目标</w:t>
            </w:r>
          </w:p>
        </w:tc>
      </w:tr>
      <w:tr w14:paraId="2A223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0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F6673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通过提供大厅服务驻场人员不少于20人和驻场机器人不少于1台，计划业务月服务人数≥300人等，保障驻场工作人员工作的正常开展，提升服务质量与效率，确保服务工作高效开展，实现资源的优化利用，为相关业务的稳定推进提供坚实保障。</w:t>
            </w:r>
          </w:p>
        </w:tc>
      </w:tr>
      <w:tr w14:paraId="65FE5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2C2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8AE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07E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87F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指标值</w:t>
            </w:r>
          </w:p>
        </w:tc>
      </w:tr>
      <w:tr w14:paraId="0006D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2B7A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DCD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B4B8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人员工资成本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8AF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≤145.2万元</w:t>
            </w:r>
          </w:p>
        </w:tc>
      </w:tr>
      <w:tr w14:paraId="4C104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BDD2C">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F276">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FFF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智慧系统服务成本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6FE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≤21.8万元</w:t>
            </w:r>
          </w:p>
        </w:tc>
      </w:tr>
      <w:tr w14:paraId="0CF1F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A3CF">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8B80">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F37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管理费用等成本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75A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≤38万元</w:t>
            </w:r>
          </w:p>
        </w:tc>
      </w:tr>
      <w:tr w14:paraId="5D6F2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4BF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4FF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DFB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大厅服务驻场人员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D9F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≥20人</w:t>
            </w:r>
          </w:p>
        </w:tc>
      </w:tr>
      <w:tr w14:paraId="131D9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2FA7">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C203">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1FD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提供机器人驻场数量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759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≥1台</w:t>
            </w:r>
          </w:p>
        </w:tc>
      </w:tr>
      <w:tr w14:paraId="638C2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0B6D">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760E">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6D2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计划业务月服务人数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6F7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≥300人</w:t>
            </w:r>
          </w:p>
        </w:tc>
      </w:tr>
      <w:tr w14:paraId="718A5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1606">
            <w:pPr>
              <w:jc w:val="center"/>
              <w:rPr>
                <w:rFonts w:hint="eastAsia" w:ascii="微软雅黑" w:hAnsi="微软雅黑" w:eastAsia="微软雅黑" w:cs="微软雅黑"/>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073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CA0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驻场人员专业水平合格率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DC4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29E34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9D12">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461D">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F08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业务办理完结率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96B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77FAD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6E8B">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A767">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699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机器人入驻合格率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933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7228E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B755">
            <w:pPr>
              <w:jc w:val="center"/>
              <w:rPr>
                <w:rFonts w:hint="eastAsia" w:ascii="微软雅黑" w:hAnsi="微软雅黑" w:eastAsia="微软雅黑" w:cs="微软雅黑"/>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C09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C6D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驻场人员业务办理及时率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69B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3A260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97B9">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0EA8">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3BE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机器人服务及时率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339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1C163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CBC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256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25AF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提升政务服务窗口服务水平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E5A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定性有效提升</w:t>
            </w:r>
          </w:p>
        </w:tc>
      </w:tr>
      <w:tr w14:paraId="7A87E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992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2FDE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2B7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办理业务群众对服务人员满意度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07B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≥90%</w:t>
            </w:r>
          </w:p>
        </w:tc>
      </w:tr>
    </w:tbl>
    <w:p w14:paraId="0D46309E">
      <w:pPr>
        <w:jc w:val="left"/>
        <w:rPr>
          <w:rStyle w:val="12"/>
          <w:rFonts w:hint="eastAsia" w:ascii="仿宋" w:hAnsi="仿宋" w:eastAsia="仿宋"/>
          <w:bCs/>
          <w:sz w:val="32"/>
          <w:szCs w:val="32"/>
        </w:rPr>
      </w:pPr>
    </w:p>
    <w:p w14:paraId="2414EA0B">
      <w:pPr>
        <w:rPr>
          <w:rFonts w:hint="eastAsia"/>
          <w:lang w:eastAsia="zh-CN"/>
        </w:rPr>
        <w:sectPr>
          <w:pgSz w:w="11906" w:h="16838"/>
          <w:pgMar w:top="720" w:right="720" w:bottom="720" w:left="720" w:header="851" w:footer="992" w:gutter="0"/>
          <w:cols w:space="425" w:num="1"/>
          <w:docGrid w:type="lines" w:linePitch="312" w:charSpace="0"/>
        </w:sectPr>
      </w:pPr>
    </w:p>
    <w:p w14:paraId="48EC02C0">
      <w:pPr>
        <w:pStyle w:val="17"/>
        <w:numPr>
          <w:ilvl w:val="0"/>
          <w:numId w:val="0"/>
        </w:numPr>
        <w:bidi w:val="0"/>
        <w:ind w:left="420" w:leftChars="200"/>
        <w:jc w:val="center"/>
        <w:rPr>
          <w:rFonts w:hint="eastAsia"/>
          <w:lang w:eastAsia="zh-CN"/>
        </w:rPr>
      </w:pPr>
      <w:r>
        <w:rPr>
          <w:rFonts w:hint="eastAsia"/>
          <w:lang w:val="en-US" w:eastAsia="zh-CN"/>
        </w:rPr>
        <w:t>第三部分  景德镇市珠山区政务服务管理局2026年部门预算情况说明</w:t>
      </w:r>
    </w:p>
    <w:p w14:paraId="391C9343">
      <w:pPr>
        <w:widowControl/>
        <w:spacing w:line="580" w:lineRule="exact"/>
        <w:jc w:val="center"/>
        <w:rPr>
          <w:rFonts w:ascii="仿宋_GB2312" w:eastAsia="仿宋_GB2312"/>
          <w:b/>
          <w:sz w:val="32"/>
          <w:szCs w:val="30"/>
        </w:rPr>
      </w:pPr>
    </w:p>
    <w:p w14:paraId="4EB2F627">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310CE404">
      <w:pPr>
        <w:pStyle w:val="19"/>
        <w:numPr>
          <w:ilvl w:val="0"/>
          <w:numId w:val="0"/>
        </w:numPr>
        <w:bidi w:val="0"/>
        <w:ind w:left="420" w:leftChars="200"/>
        <w:rPr>
          <w:rFonts w:hint="eastAsia"/>
        </w:rPr>
      </w:pPr>
      <w:r>
        <w:rPr>
          <w:rFonts w:hint="eastAsia"/>
        </w:rPr>
        <w:t xml:space="preserve"> (一)收入预算情况</w:t>
      </w:r>
    </w:p>
    <w:p w14:paraId="39C78FDC">
      <w:pPr>
        <w:pStyle w:val="18"/>
        <w:bidi w:val="0"/>
        <w:rPr>
          <w:rFonts w:hint="eastAsia"/>
          <w:u w:val="none"/>
        </w:rPr>
      </w:pPr>
      <w:r>
        <w:rPr>
          <w:rFonts w:hint="eastAsia"/>
          <w:u w:val="none"/>
          <w:lang w:eastAsia="zh-CN"/>
        </w:rPr>
        <w:t>2026</w:t>
      </w:r>
      <w:r>
        <w:rPr>
          <w:rFonts w:hint="eastAsia"/>
          <w:u w:val="none"/>
        </w:rPr>
        <w:t>年</w:t>
      </w:r>
      <w:r>
        <w:rPr>
          <w:rFonts w:hint="eastAsia"/>
          <w:u w:val="none"/>
          <w:lang w:eastAsia="zh-CN"/>
        </w:rPr>
        <w:t>景德镇市珠山区政务服务管理局</w:t>
      </w:r>
      <w:r>
        <w:rPr>
          <w:rFonts w:hint="eastAsia"/>
          <w:u w:val="none"/>
        </w:rPr>
        <w:t>收入预算总额为753.40万元</w:t>
      </w:r>
      <w:r>
        <w:rPr>
          <w:rFonts w:hint="eastAsia"/>
          <w:u w:val="none"/>
          <w:lang w:eastAsia="zh-CN"/>
        </w:rPr>
        <w:t>，</w:t>
      </w:r>
      <w:r>
        <w:rPr>
          <w:rFonts w:hint="eastAsia"/>
          <w:u w:val="none"/>
        </w:rPr>
        <w:t>较上年预算安排增加</w:t>
      </w:r>
      <w:r>
        <w:rPr>
          <w:rFonts w:hint="eastAsia"/>
          <w:u w:val="none"/>
          <w:lang w:val="en-US" w:eastAsia="zh-CN"/>
        </w:rPr>
        <w:t>350.82</w:t>
      </w:r>
      <w:r>
        <w:rPr>
          <w:rFonts w:hint="eastAsia"/>
          <w:u w:val="none"/>
        </w:rPr>
        <w:t>万元</w:t>
      </w:r>
      <w:r>
        <w:rPr>
          <w:rFonts w:hint="eastAsia"/>
          <w:u w:val="none"/>
          <w:lang w:eastAsia="zh-CN"/>
        </w:rPr>
        <w:t>；本年收入合计753.40万元，较上年预算安排</w:t>
      </w:r>
      <w:r>
        <w:rPr>
          <w:rFonts w:hint="eastAsia"/>
          <w:u w:val="none"/>
        </w:rPr>
        <w:t>增加</w:t>
      </w:r>
      <w:r>
        <w:rPr>
          <w:rFonts w:hint="eastAsia"/>
          <w:u w:val="none"/>
          <w:lang w:val="en-US" w:eastAsia="zh-CN"/>
        </w:rPr>
        <w:t>350.82</w:t>
      </w:r>
      <w:r>
        <w:rPr>
          <w:rFonts w:hint="eastAsia"/>
          <w:u w:val="none"/>
          <w:lang w:eastAsia="zh-CN"/>
        </w:rPr>
        <w:t>万元；包括：财政拨款收入753.40万元，较上年预算安排</w:t>
      </w:r>
      <w:r>
        <w:rPr>
          <w:rFonts w:hint="eastAsia"/>
          <w:u w:val="none"/>
        </w:rPr>
        <w:t>增加</w:t>
      </w:r>
      <w:r>
        <w:rPr>
          <w:rFonts w:hint="eastAsia"/>
          <w:u w:val="none"/>
          <w:lang w:val="en-US" w:eastAsia="zh-CN"/>
        </w:rPr>
        <w:t>350.82</w:t>
      </w:r>
      <w:r>
        <w:rPr>
          <w:rFonts w:hint="eastAsia"/>
          <w:u w:val="none"/>
          <w:lang w:eastAsia="zh-CN"/>
        </w:rPr>
        <w:t>万元。</w:t>
      </w:r>
    </w:p>
    <w:p w14:paraId="6816C3CC">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41A08D95">
      <w:pPr>
        <w:pStyle w:val="18"/>
        <w:bidi w:val="0"/>
        <w:rPr>
          <w:rFonts w:hint="eastAsia"/>
        </w:rPr>
      </w:pPr>
      <w:r>
        <w:rPr>
          <w:rFonts w:hint="eastAsia"/>
          <w:lang w:eastAsia="zh-CN"/>
        </w:rPr>
        <w:t>2026</w:t>
      </w:r>
      <w:r>
        <w:rPr>
          <w:rFonts w:hint="eastAsia"/>
        </w:rPr>
        <w:t>年</w:t>
      </w:r>
      <w:r>
        <w:rPr>
          <w:rFonts w:hint="eastAsia"/>
          <w:lang w:eastAsia="zh-CN"/>
        </w:rPr>
        <w:t>景德镇市珠山区政务服务管理局</w:t>
      </w:r>
      <w:r>
        <w:rPr>
          <w:rFonts w:hint="eastAsia"/>
        </w:rPr>
        <w:t>支出预算总额为753.40万元</w:t>
      </w:r>
      <w:r>
        <w:rPr>
          <w:rFonts w:hint="eastAsia"/>
          <w:lang w:eastAsia="zh-CN"/>
        </w:rPr>
        <w:t>，</w:t>
      </w:r>
      <w:r>
        <w:rPr>
          <w:rFonts w:hint="eastAsia"/>
        </w:rPr>
        <w:t>较上年预算安</w:t>
      </w:r>
      <w:r>
        <w:rPr>
          <w:rFonts w:hint="eastAsia"/>
          <w:u w:val="none"/>
        </w:rPr>
        <w:t>排增加</w:t>
      </w:r>
      <w:r>
        <w:rPr>
          <w:rFonts w:hint="eastAsia"/>
          <w:u w:val="none"/>
          <w:lang w:val="en-US" w:eastAsia="zh-CN"/>
        </w:rPr>
        <w:t>350.82</w:t>
      </w:r>
      <w:r>
        <w:rPr>
          <w:rFonts w:hint="eastAsia"/>
          <w:u w:val="none"/>
        </w:rPr>
        <w:t>万元</w:t>
      </w:r>
      <w:r>
        <w:rPr>
          <w:rFonts w:hint="eastAsia"/>
        </w:rPr>
        <w:t xml:space="preserve">。 </w:t>
      </w:r>
    </w:p>
    <w:p w14:paraId="3FE7493C">
      <w:pPr>
        <w:pStyle w:val="18"/>
        <w:bidi w:val="0"/>
        <w:rPr>
          <w:rFonts w:hint="eastAsia"/>
        </w:rPr>
      </w:pPr>
      <w:r>
        <w:rPr>
          <w:rFonts w:hint="eastAsia"/>
        </w:rPr>
        <w:t>按支出项目类别划分：基本支出238.80万元</w:t>
      </w:r>
      <w:r>
        <w:rPr>
          <w:rFonts w:hint="eastAsia"/>
          <w:lang w:eastAsia="zh-CN"/>
        </w:rPr>
        <w:t>，</w:t>
      </w:r>
      <w:r>
        <w:rPr>
          <w:rFonts w:hint="eastAsia"/>
        </w:rPr>
        <w:t>较上年预算安排</w:t>
      </w:r>
      <w:r>
        <w:rPr>
          <w:rFonts w:hint="eastAsia"/>
          <w:u w:val="none"/>
        </w:rPr>
        <w:t>减少</w:t>
      </w:r>
      <w:r>
        <w:rPr>
          <w:rFonts w:hint="eastAsia"/>
          <w:u w:val="none"/>
          <w:lang w:val="en-US" w:eastAsia="zh-CN"/>
        </w:rPr>
        <w:t>5.65</w:t>
      </w:r>
      <w:r>
        <w:rPr>
          <w:rFonts w:hint="eastAsia"/>
          <w:u w:val="none"/>
        </w:rPr>
        <w:t>万元</w:t>
      </w:r>
      <w:r>
        <w:rPr>
          <w:rFonts w:hint="eastAsia"/>
          <w:u w:val="none"/>
          <w:lang w:eastAsia="zh-CN"/>
        </w:rPr>
        <w:t>；</w:t>
      </w:r>
      <w:r>
        <w:rPr>
          <w:rFonts w:hint="eastAsia"/>
          <w:u w:val="none"/>
        </w:rPr>
        <w:t>项目支出514.60万元</w:t>
      </w:r>
      <w:r>
        <w:rPr>
          <w:rFonts w:hint="eastAsia"/>
          <w:u w:val="none"/>
          <w:lang w:eastAsia="zh-CN"/>
        </w:rPr>
        <w:t>，</w:t>
      </w:r>
      <w:r>
        <w:rPr>
          <w:rFonts w:hint="eastAsia"/>
          <w:u w:val="none"/>
        </w:rPr>
        <w:t>较上年预算安排增加</w:t>
      </w:r>
      <w:r>
        <w:rPr>
          <w:rFonts w:hint="eastAsia"/>
          <w:u w:val="none"/>
          <w:lang w:val="en-US" w:eastAsia="zh-CN"/>
        </w:rPr>
        <w:t>356.47</w:t>
      </w:r>
      <w:r>
        <w:rPr>
          <w:rFonts w:hint="eastAsia"/>
          <w:u w:val="none"/>
        </w:rPr>
        <w:t>万元。</w:t>
      </w:r>
    </w:p>
    <w:p w14:paraId="5D90B217">
      <w:pPr>
        <w:pStyle w:val="18"/>
        <w:bidi w:val="0"/>
        <w:rPr>
          <w:rFonts w:hint="eastAsia"/>
          <w:u w:val="none"/>
        </w:rPr>
      </w:pPr>
      <w:r>
        <w:rPr>
          <w:rFonts w:hint="eastAsia"/>
          <w:u w:val="none"/>
        </w:rPr>
        <w:t>按支出功能科目划分：社会保障和就业支出18.72万元，较上年预算安排增加</w:t>
      </w:r>
      <w:r>
        <w:rPr>
          <w:rFonts w:hint="eastAsia"/>
          <w:u w:val="none"/>
          <w:lang w:val="en-US" w:eastAsia="zh-CN"/>
        </w:rPr>
        <w:t>0.28</w:t>
      </w:r>
      <w:r>
        <w:rPr>
          <w:rFonts w:hint="eastAsia"/>
          <w:u w:val="none"/>
        </w:rPr>
        <w:t>万元；卫生健康支出7.86万元，较上年预算安排增加</w:t>
      </w:r>
      <w:r>
        <w:rPr>
          <w:rFonts w:hint="eastAsia"/>
          <w:u w:val="none"/>
          <w:lang w:val="en-US" w:eastAsia="zh-CN"/>
        </w:rPr>
        <w:t>0.46</w:t>
      </w:r>
      <w:r>
        <w:rPr>
          <w:rFonts w:hint="eastAsia"/>
          <w:u w:val="none"/>
        </w:rPr>
        <w:t>万元；城乡社区支出712.96万元，较上年预算安排增加</w:t>
      </w:r>
      <w:r>
        <w:rPr>
          <w:rFonts w:hint="eastAsia"/>
          <w:u w:val="none"/>
          <w:lang w:val="en-US" w:eastAsia="zh-CN"/>
        </w:rPr>
        <w:t>349.86</w:t>
      </w:r>
      <w:r>
        <w:rPr>
          <w:rFonts w:hint="eastAsia"/>
          <w:u w:val="none"/>
        </w:rPr>
        <w:t>万元；住房保障支出13.86万元，较上年预算安排增加</w:t>
      </w:r>
      <w:r>
        <w:rPr>
          <w:rFonts w:hint="eastAsia"/>
          <w:u w:val="none"/>
          <w:lang w:val="en-US" w:eastAsia="zh-CN"/>
        </w:rPr>
        <w:t>0.20</w:t>
      </w:r>
      <w:r>
        <w:rPr>
          <w:rFonts w:hint="eastAsia"/>
          <w:u w:val="none"/>
        </w:rPr>
        <w:t>万元。</w:t>
      </w:r>
    </w:p>
    <w:p w14:paraId="28A37544">
      <w:pPr>
        <w:pStyle w:val="18"/>
        <w:bidi w:val="0"/>
        <w:rPr>
          <w:rFonts w:hint="eastAsia"/>
          <w:u w:val="none"/>
        </w:rPr>
      </w:pPr>
      <w:r>
        <w:rPr>
          <w:rFonts w:hint="eastAsia"/>
          <w:u w:val="none"/>
        </w:rPr>
        <w:t>按支出经济分类划分：工资福利支出217.38万元，较上年预算安排减少</w:t>
      </w:r>
      <w:r>
        <w:rPr>
          <w:rFonts w:hint="eastAsia"/>
          <w:u w:val="none"/>
          <w:lang w:val="en-US" w:eastAsia="zh-CN"/>
        </w:rPr>
        <w:t>11.03</w:t>
      </w:r>
      <w:r>
        <w:rPr>
          <w:rFonts w:hint="eastAsia"/>
          <w:u w:val="none"/>
        </w:rPr>
        <w:t>万元；商品和服务支出536.02万元，较上年预算安排增加</w:t>
      </w:r>
      <w:r>
        <w:rPr>
          <w:rFonts w:hint="eastAsia"/>
          <w:u w:val="none"/>
          <w:lang w:val="en-US" w:eastAsia="zh-CN"/>
        </w:rPr>
        <w:t>519.98</w:t>
      </w:r>
      <w:r>
        <w:rPr>
          <w:rFonts w:hint="eastAsia"/>
          <w:u w:val="none"/>
        </w:rPr>
        <w:t>万元。</w:t>
      </w:r>
    </w:p>
    <w:p w14:paraId="64A69D62">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759A178E">
      <w:pPr>
        <w:pStyle w:val="18"/>
        <w:bidi w:val="0"/>
        <w:rPr>
          <w:rFonts w:hint="eastAsia"/>
        </w:rPr>
      </w:pPr>
      <w:r>
        <w:rPr>
          <w:rFonts w:hint="eastAsia"/>
          <w:lang w:eastAsia="zh-CN"/>
        </w:rPr>
        <w:t>2026</w:t>
      </w:r>
      <w:r>
        <w:rPr>
          <w:rFonts w:hint="eastAsia"/>
        </w:rPr>
        <w:t>年</w:t>
      </w:r>
      <w:r>
        <w:rPr>
          <w:rFonts w:hint="eastAsia"/>
          <w:lang w:eastAsia="zh-CN"/>
        </w:rPr>
        <w:t>景德镇市珠山区政务服务管理局</w:t>
      </w:r>
      <w:r>
        <w:rPr>
          <w:rFonts w:hint="eastAsia"/>
        </w:rPr>
        <w:t>财政拨款支出预算总额753.40万元,较上年预算安排增加</w:t>
      </w:r>
      <w:r>
        <w:rPr>
          <w:rFonts w:hint="eastAsia"/>
          <w:u w:val="none"/>
          <w:lang w:val="en-US" w:eastAsia="zh-CN"/>
        </w:rPr>
        <w:t>350.82</w:t>
      </w:r>
      <w:r>
        <w:rPr>
          <w:rFonts w:hint="eastAsia"/>
        </w:rPr>
        <w:t>万元。</w:t>
      </w:r>
    </w:p>
    <w:p w14:paraId="5BF169A9">
      <w:pPr>
        <w:pStyle w:val="18"/>
        <w:bidi w:val="0"/>
        <w:rPr>
          <w:rFonts w:hint="eastAsia"/>
        </w:rPr>
      </w:pPr>
      <w:r>
        <w:rPr>
          <w:rFonts w:hint="eastAsia"/>
        </w:rPr>
        <w:t>按支出功能科目划分：社会保障和就业支出18.72万元，卫生健康支出7.86万元，城乡社区支出712.96万元，住房保障支出13.86万元。</w:t>
      </w:r>
    </w:p>
    <w:p w14:paraId="42F366EF">
      <w:pPr>
        <w:pStyle w:val="18"/>
        <w:bidi w:val="0"/>
        <w:rPr>
          <w:rFonts w:hint="eastAsia"/>
        </w:rPr>
      </w:pPr>
      <w:r>
        <w:rPr>
          <w:rFonts w:hint="eastAsia"/>
        </w:rPr>
        <w:t>按支出项目类别划分：基本支出238.80万元,项目支出514.60万元。</w:t>
      </w:r>
    </w:p>
    <w:p w14:paraId="14E5687B">
      <w:pPr>
        <w:pStyle w:val="18"/>
        <w:bidi w:val="0"/>
        <w:rPr>
          <w:rFonts w:hint="eastAsia"/>
        </w:rPr>
      </w:pPr>
      <w:r>
        <w:rPr>
          <w:rFonts w:hint="eastAsia"/>
        </w:rPr>
        <w:t>按支</w:t>
      </w:r>
      <w:r>
        <w:rPr>
          <w:rFonts w:hint="eastAsia"/>
          <w:lang w:val="en-US" w:eastAsia="zh-CN"/>
        </w:rPr>
        <w:t>出经济分类</w:t>
      </w:r>
      <w:r>
        <w:rPr>
          <w:rFonts w:hint="eastAsia"/>
        </w:rPr>
        <w:t>划分：工资福利支出217.38万元，商品和服务支出536.02万元（其中委托业务费0.80万元）。</w:t>
      </w:r>
    </w:p>
    <w:p w14:paraId="7CEDFD0D">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60E12810">
      <w:pPr>
        <w:spacing w:before="212" w:line="220" w:lineRule="auto"/>
        <w:ind w:left="653"/>
        <w:rPr>
          <w:rFonts w:ascii="仿宋" w:hAnsi="仿宋" w:eastAsia="仿宋" w:cs="仿宋"/>
          <w:sz w:val="31"/>
          <w:szCs w:val="31"/>
        </w:rPr>
      </w:pPr>
      <w:r>
        <w:rPr>
          <w:rFonts w:ascii="仿宋" w:hAnsi="仿宋" w:eastAsia="仿宋" w:cs="仿宋"/>
          <w:spacing w:val="7"/>
          <w:sz w:val="31"/>
          <w:szCs w:val="31"/>
        </w:rPr>
        <w:t>2026</w:t>
      </w:r>
      <w:r>
        <w:rPr>
          <w:rFonts w:ascii="仿宋" w:hAnsi="仿宋" w:eastAsia="仿宋" w:cs="仿宋"/>
          <w:spacing w:val="-52"/>
          <w:sz w:val="31"/>
          <w:szCs w:val="31"/>
        </w:rPr>
        <w:t xml:space="preserve"> </w:t>
      </w:r>
      <w:r>
        <w:rPr>
          <w:rFonts w:ascii="仿宋" w:hAnsi="仿宋" w:eastAsia="仿宋" w:cs="仿宋"/>
          <w:spacing w:val="7"/>
          <w:sz w:val="31"/>
          <w:szCs w:val="31"/>
        </w:rPr>
        <w:t>年本部门没有使用政府性基金预算拨款安排的支出。</w:t>
      </w:r>
    </w:p>
    <w:p w14:paraId="422271E2">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07C484F5">
      <w:pPr>
        <w:spacing w:before="215" w:line="292" w:lineRule="auto"/>
        <w:ind w:left="43" w:firstLine="612"/>
        <w:outlineLvl w:val="1"/>
        <w:rPr>
          <w:rFonts w:hint="eastAsia"/>
        </w:rPr>
      </w:pPr>
      <w:r>
        <w:rPr>
          <w:rFonts w:ascii="仿宋" w:hAnsi="仿宋" w:eastAsia="仿宋" w:cs="仿宋"/>
          <w:spacing w:val="20"/>
          <w:sz w:val="31"/>
          <w:szCs w:val="31"/>
        </w:rPr>
        <w:t>2026</w:t>
      </w:r>
      <w:r>
        <w:rPr>
          <w:rFonts w:ascii="仿宋" w:hAnsi="仿宋" w:eastAsia="仿宋" w:cs="仿宋"/>
          <w:spacing w:val="-44"/>
          <w:sz w:val="31"/>
          <w:szCs w:val="31"/>
        </w:rPr>
        <w:t xml:space="preserve"> </w:t>
      </w:r>
      <w:r>
        <w:rPr>
          <w:rFonts w:ascii="仿宋" w:hAnsi="仿宋" w:eastAsia="仿宋" w:cs="仿宋"/>
          <w:spacing w:val="20"/>
          <w:sz w:val="31"/>
          <w:szCs w:val="31"/>
        </w:rPr>
        <w:t>年本部门没有使用国有资本经营预</w:t>
      </w:r>
      <w:r>
        <w:rPr>
          <w:rFonts w:ascii="仿宋" w:hAnsi="仿宋" w:eastAsia="仿宋" w:cs="仿宋"/>
          <w:spacing w:val="19"/>
          <w:sz w:val="31"/>
          <w:szCs w:val="31"/>
        </w:rPr>
        <w:t>算拨款安排的支</w:t>
      </w:r>
      <w:r>
        <w:rPr>
          <w:rFonts w:ascii="仿宋" w:hAnsi="仿宋" w:eastAsia="仿宋" w:cs="仿宋"/>
          <w:spacing w:val="-23"/>
          <w:sz w:val="31"/>
          <w:szCs w:val="31"/>
        </w:rPr>
        <w:t>出。</w:t>
      </w:r>
    </w:p>
    <w:p w14:paraId="5AE4A7A3">
      <w:pPr>
        <w:pStyle w:val="18"/>
        <w:bidi w:val="0"/>
        <w:rPr>
          <w:rFonts w:hint="eastAsia"/>
          <w:b/>
          <w:bCs/>
          <w:lang w:val="en-US" w:eastAsia="zh-CN"/>
        </w:rPr>
      </w:pPr>
      <w:r>
        <w:rPr>
          <w:rFonts w:hint="eastAsia"/>
          <w:b/>
          <w:bCs/>
          <w:lang w:val="en-US" w:eastAsia="zh-CN"/>
        </w:rPr>
        <w:t>(六)机关运行经费等重要事项的说明</w:t>
      </w:r>
    </w:p>
    <w:p w14:paraId="03A176AD">
      <w:pPr>
        <w:pStyle w:val="18"/>
        <w:bidi w:val="0"/>
        <w:rPr>
          <w:rFonts w:ascii="Adobe 仿宋 Std R" w:hAnsi="Adobe 仿宋 Std R" w:eastAsia="Adobe 仿宋 Std R"/>
          <w:sz w:val="32"/>
          <w:szCs w:val="32"/>
        </w:rPr>
      </w:pPr>
      <w:r>
        <w:rPr>
          <w:rFonts w:hint="eastAsia"/>
          <w:u w:val="none"/>
          <w:lang w:eastAsia="zh-CN"/>
        </w:rPr>
        <w:t>2026</w:t>
      </w:r>
      <w:r>
        <w:rPr>
          <w:rFonts w:hint="eastAsia"/>
          <w:u w:val="none"/>
        </w:rPr>
        <w:t>年部门机关运行费预算</w:t>
      </w:r>
      <w:r>
        <w:rPr>
          <w:rFonts w:hint="eastAsia"/>
          <w:u w:val="none"/>
          <w:lang w:val="en-US" w:eastAsia="zh-CN"/>
        </w:rPr>
        <w:t>21.42</w:t>
      </w:r>
      <w:r>
        <w:rPr>
          <w:rFonts w:hint="eastAsia"/>
          <w:u w:val="none"/>
        </w:rPr>
        <w:t>万元，比2025年预算增加</w:t>
      </w:r>
      <w:r>
        <w:rPr>
          <w:rFonts w:hint="eastAsia"/>
          <w:u w:val="none"/>
          <w:lang w:val="en-US" w:eastAsia="zh-CN"/>
        </w:rPr>
        <w:t xml:space="preserve"> 5.38 </w:t>
      </w:r>
      <w:r>
        <w:rPr>
          <w:rFonts w:hint="eastAsia"/>
          <w:u w:val="none"/>
        </w:rPr>
        <w:t>万元，增长</w:t>
      </w:r>
      <w:r>
        <w:rPr>
          <w:rFonts w:hint="eastAsia"/>
          <w:u w:val="none"/>
          <w:lang w:val="en-US" w:eastAsia="zh-CN"/>
        </w:rPr>
        <w:t>33.54</w:t>
      </w:r>
      <w:r>
        <w:rPr>
          <w:rFonts w:hint="eastAsia"/>
          <w:u w:val="none"/>
        </w:rPr>
        <w:t>%。</w:t>
      </w:r>
    </w:p>
    <w:p w14:paraId="613CFED6">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3C2E202F">
      <w:pPr>
        <w:pStyle w:val="18"/>
        <w:bidi w:val="0"/>
        <w:rPr>
          <w:rFonts w:hint="eastAsia"/>
          <w:lang w:eastAsia="zh-CN"/>
        </w:rPr>
      </w:pPr>
      <w:r>
        <w:rPr>
          <w:rFonts w:hint="eastAsia"/>
          <w:lang w:eastAsia="zh-CN"/>
        </w:rPr>
        <w:t xml:space="preserve">2026年部门所属各单位政府采购总额 </w:t>
      </w:r>
      <w:r>
        <w:rPr>
          <w:rFonts w:hint="eastAsia"/>
          <w:lang w:val="en-US" w:eastAsia="zh-CN"/>
        </w:rPr>
        <w:t>0</w:t>
      </w:r>
      <w:r>
        <w:rPr>
          <w:rFonts w:hint="eastAsia"/>
          <w:lang w:eastAsia="zh-CN"/>
        </w:rPr>
        <w:t>万元,其中: 政府采购货物预算</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3C6804C3">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411260FA">
      <w:pPr>
        <w:pStyle w:val="18"/>
        <w:bidi w:val="0"/>
        <w:rPr>
          <w:rFonts w:hint="eastAsia"/>
          <w:lang w:eastAsia="zh-CN"/>
        </w:rPr>
      </w:pPr>
      <w:r>
        <w:rPr>
          <w:rFonts w:hint="eastAsia"/>
          <w:lang w:eastAsia="zh-CN"/>
        </w:rPr>
        <w:t>截至2025年7月31日, 部门共有车辆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1F9AAAB9">
      <w:pPr>
        <w:spacing w:before="2" w:line="357" w:lineRule="auto"/>
        <w:ind w:left="14" w:right="12" w:firstLine="640"/>
        <w:rPr>
          <w:rFonts w:ascii="仿宋" w:hAnsi="仿宋" w:eastAsia="仿宋" w:cs="仿宋"/>
          <w:sz w:val="31"/>
          <w:szCs w:val="31"/>
        </w:rPr>
      </w:pPr>
      <w:r>
        <w:rPr>
          <w:rFonts w:ascii="仿宋" w:hAnsi="仿宋" w:eastAsia="仿宋" w:cs="仿宋"/>
          <w:spacing w:val="5"/>
          <w:sz w:val="31"/>
          <w:szCs w:val="31"/>
        </w:rPr>
        <w:t>2026</w:t>
      </w:r>
      <w:r>
        <w:rPr>
          <w:rFonts w:ascii="仿宋" w:hAnsi="仿宋" w:eastAsia="仿宋" w:cs="仿宋"/>
          <w:spacing w:val="-43"/>
          <w:sz w:val="31"/>
          <w:szCs w:val="31"/>
        </w:rPr>
        <w:t xml:space="preserve"> </w:t>
      </w:r>
      <w:r>
        <w:rPr>
          <w:rFonts w:ascii="仿宋" w:hAnsi="仿宋" w:eastAsia="仿宋" w:cs="仿宋"/>
          <w:spacing w:val="5"/>
          <w:sz w:val="31"/>
          <w:szCs w:val="31"/>
        </w:rPr>
        <w:t>年部门预算安排购置车辆</w:t>
      </w:r>
      <w:r>
        <w:rPr>
          <w:rFonts w:ascii="仿宋" w:hAnsi="仿宋" w:eastAsia="仿宋" w:cs="仿宋"/>
          <w:spacing w:val="-38"/>
          <w:sz w:val="31"/>
          <w:szCs w:val="31"/>
        </w:rPr>
        <w:t xml:space="preserve"> </w:t>
      </w:r>
      <w:r>
        <w:rPr>
          <w:rFonts w:ascii="仿宋" w:hAnsi="仿宋" w:eastAsia="仿宋" w:cs="仿宋"/>
          <w:spacing w:val="5"/>
          <w:sz w:val="31"/>
          <w:szCs w:val="31"/>
        </w:rPr>
        <w:t>0</w:t>
      </w:r>
      <w:r>
        <w:rPr>
          <w:rFonts w:ascii="仿宋" w:hAnsi="仿宋" w:eastAsia="仿宋" w:cs="仿宋"/>
          <w:spacing w:val="-62"/>
          <w:sz w:val="31"/>
          <w:szCs w:val="31"/>
        </w:rPr>
        <w:t xml:space="preserve"> </w:t>
      </w:r>
      <w:r>
        <w:rPr>
          <w:rFonts w:ascii="仿宋" w:hAnsi="仿宋" w:eastAsia="仿宋" w:cs="仿宋"/>
          <w:spacing w:val="5"/>
          <w:sz w:val="31"/>
          <w:szCs w:val="31"/>
        </w:rPr>
        <w:t>辆，未安排购置单位价值</w:t>
      </w:r>
      <w:r>
        <w:rPr>
          <w:rFonts w:ascii="仿宋" w:hAnsi="仿宋" w:eastAsia="仿宋" w:cs="仿宋"/>
          <w:spacing w:val="3"/>
          <w:sz w:val="31"/>
          <w:szCs w:val="31"/>
        </w:rPr>
        <w:t>200</w:t>
      </w:r>
      <w:r>
        <w:rPr>
          <w:rFonts w:ascii="仿宋" w:hAnsi="仿宋" w:eastAsia="仿宋" w:cs="仿宋"/>
          <w:spacing w:val="-43"/>
          <w:sz w:val="31"/>
          <w:szCs w:val="31"/>
        </w:rPr>
        <w:t xml:space="preserve"> </w:t>
      </w:r>
      <w:r>
        <w:rPr>
          <w:rFonts w:ascii="仿宋" w:hAnsi="仿宋" w:eastAsia="仿宋" w:cs="仿宋"/>
          <w:spacing w:val="3"/>
          <w:sz w:val="31"/>
          <w:szCs w:val="31"/>
        </w:rPr>
        <w:t>万元以上大型设备。</w:t>
      </w:r>
    </w:p>
    <w:p w14:paraId="37E4951D">
      <w:pPr>
        <w:pStyle w:val="19"/>
        <w:numPr>
          <w:ilvl w:val="0"/>
          <w:numId w:val="0"/>
        </w:numPr>
        <w:bidi w:val="0"/>
        <w:ind w:firstLine="643" w:firstLineChars="200"/>
        <w:rPr>
          <w:rFonts w:hint="eastAsia"/>
          <w:lang w:val="en-US" w:eastAsia="zh-CN"/>
        </w:rPr>
      </w:pPr>
      <w:r>
        <w:rPr>
          <w:rFonts w:hint="eastAsia"/>
          <w:lang w:val="en-US" w:eastAsia="zh-CN"/>
        </w:rPr>
        <w:t>(九)珠事顺利服务与运行保障项目项目情况说明</w:t>
      </w:r>
    </w:p>
    <w:p w14:paraId="16D4C453">
      <w:pPr>
        <w:pStyle w:val="18"/>
        <w:bidi w:val="0"/>
        <w:rPr>
          <w:rFonts w:hint="eastAsia"/>
          <w:lang w:eastAsia="zh-CN"/>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w:t>
      </w:r>
      <w:r>
        <w:rPr>
          <w:rFonts w:hint="eastAsia"/>
          <w:lang w:eastAsia="zh-CN"/>
        </w:rPr>
        <w:t>项目概述</w:t>
      </w:r>
    </w:p>
    <w:p w14:paraId="5650710D">
      <w:pPr>
        <w:pStyle w:val="18"/>
        <w:bidi w:val="0"/>
        <w:rPr>
          <w:rFonts w:hint="default"/>
          <w:lang w:val="en-US" w:eastAsia="zh-CN"/>
        </w:rPr>
      </w:pPr>
      <w:r>
        <w:rPr>
          <w:rFonts w:hint="eastAsia"/>
          <w:lang w:val="en-US" w:eastAsia="zh-CN"/>
        </w:rPr>
        <w:t>珠山区行政服务中心”珠事顺利“服务与运行保障项目经费，用于支付开展“珠事顺利”项目工作经费，保障工作正常开展。</w:t>
      </w:r>
    </w:p>
    <w:p w14:paraId="2795D848">
      <w:pPr>
        <w:pStyle w:val="18"/>
        <w:bidi w:val="0"/>
        <w:rPr>
          <w:rFonts w:hint="eastAsia"/>
          <w:lang w:eastAsia="zh-CN"/>
        </w:rPr>
      </w:pPr>
      <w:r>
        <w:rPr>
          <w:rFonts w:hint="eastAsia"/>
          <w:lang w:eastAsia="zh-CN"/>
        </w:rPr>
        <w:t xml:space="preserve">  （</w:t>
      </w:r>
      <w:r>
        <w:rPr>
          <w:rFonts w:hint="eastAsia"/>
          <w:lang w:val="en-US" w:eastAsia="zh-CN"/>
        </w:rPr>
        <w:t>2）</w:t>
      </w:r>
      <w:r>
        <w:rPr>
          <w:rFonts w:hint="eastAsia"/>
          <w:lang w:eastAsia="zh-CN"/>
        </w:rPr>
        <w:t>立项依据</w:t>
      </w:r>
    </w:p>
    <w:p w14:paraId="2C12170A">
      <w:pPr>
        <w:pStyle w:val="18"/>
        <w:bidi w:val="0"/>
        <w:rPr>
          <w:rFonts w:hint="eastAsia"/>
          <w:lang w:eastAsia="zh-CN"/>
        </w:rPr>
      </w:pPr>
      <w:r>
        <w:rPr>
          <w:rFonts w:hint="eastAsia"/>
          <w:lang w:eastAsia="zh-CN"/>
        </w:rPr>
        <w:t>项目立项符合国家法律法规、国民经济发展规划和相关政策；符合行业发展规划和政策要求；与部门职责范围相符，属于部门履职所需。</w:t>
      </w:r>
    </w:p>
    <w:p w14:paraId="56B68243">
      <w:pPr>
        <w:pStyle w:val="18"/>
        <w:bidi w:val="0"/>
        <w:rPr>
          <w:rFonts w:hint="eastAsia"/>
          <w:lang w:eastAsia="zh-CN"/>
        </w:rPr>
      </w:pPr>
      <w:r>
        <w:rPr>
          <w:rFonts w:hint="eastAsia"/>
          <w:lang w:eastAsia="zh-CN"/>
        </w:rPr>
        <w:t xml:space="preserve">  （</w:t>
      </w:r>
      <w:r>
        <w:rPr>
          <w:rFonts w:hint="eastAsia"/>
          <w:lang w:val="en-US" w:eastAsia="zh-CN"/>
        </w:rPr>
        <w:t>3）</w:t>
      </w:r>
      <w:r>
        <w:rPr>
          <w:rFonts w:hint="eastAsia"/>
          <w:lang w:eastAsia="zh-CN"/>
        </w:rPr>
        <w:t>实施主体</w:t>
      </w:r>
    </w:p>
    <w:p w14:paraId="30CA874E">
      <w:pPr>
        <w:pStyle w:val="18"/>
        <w:bidi w:val="0"/>
        <w:rPr>
          <w:rFonts w:hint="eastAsia"/>
          <w:lang w:eastAsia="zh-CN"/>
        </w:rPr>
      </w:pPr>
      <w:r>
        <w:rPr>
          <w:rFonts w:hint="eastAsia"/>
          <w:lang w:val="en-US" w:eastAsia="zh-CN"/>
        </w:rPr>
        <w:t>景德镇市珠山区政务服务管理局</w:t>
      </w:r>
    </w:p>
    <w:p w14:paraId="65E2411F">
      <w:pPr>
        <w:pStyle w:val="18"/>
        <w:bidi w:val="0"/>
        <w:rPr>
          <w:rFonts w:hint="eastAsia"/>
          <w:lang w:eastAsia="zh-CN"/>
        </w:rPr>
      </w:pPr>
      <w:r>
        <w:rPr>
          <w:rFonts w:hint="eastAsia"/>
          <w:lang w:eastAsia="zh-CN"/>
        </w:rPr>
        <w:t xml:space="preserve">  （</w:t>
      </w:r>
      <w:r>
        <w:rPr>
          <w:rFonts w:hint="eastAsia"/>
          <w:lang w:val="en-US" w:eastAsia="zh-CN"/>
        </w:rPr>
        <w:t>4）</w:t>
      </w:r>
      <w:r>
        <w:rPr>
          <w:rFonts w:hint="eastAsia"/>
          <w:lang w:eastAsia="zh-CN"/>
        </w:rPr>
        <w:t>实施方案</w:t>
      </w:r>
    </w:p>
    <w:p w14:paraId="65947630">
      <w:pPr>
        <w:pStyle w:val="18"/>
        <w:bidi w:val="0"/>
        <w:rPr>
          <w:rFonts w:hint="eastAsia"/>
          <w:lang w:val="en-US" w:eastAsia="zh-CN"/>
        </w:rPr>
      </w:pPr>
      <w:r>
        <w:rPr>
          <w:rFonts w:hint="eastAsia"/>
          <w:lang w:val="en-US" w:eastAsia="zh-CN"/>
        </w:rPr>
        <w:t>保障驻场工作人员工作的正常开展，提升服务质量与效率，确保服务工作高效开展，实现资源的优化利用，为相关业务的稳定推进提供坚实保障。</w:t>
      </w:r>
    </w:p>
    <w:p w14:paraId="7169C168">
      <w:pPr>
        <w:pStyle w:val="18"/>
        <w:bidi w:val="0"/>
        <w:rPr>
          <w:rFonts w:hint="eastAsia"/>
          <w:lang w:eastAsia="zh-CN"/>
        </w:rPr>
      </w:pPr>
      <w:r>
        <w:rPr>
          <w:rFonts w:hint="eastAsia"/>
          <w:lang w:eastAsia="zh-CN"/>
        </w:rPr>
        <w:t xml:space="preserve">  （</w:t>
      </w:r>
      <w:r>
        <w:rPr>
          <w:rFonts w:hint="eastAsia"/>
          <w:lang w:val="en-US" w:eastAsia="zh-CN"/>
        </w:rPr>
        <w:t>5）</w:t>
      </w:r>
      <w:r>
        <w:rPr>
          <w:rFonts w:hint="eastAsia"/>
          <w:lang w:eastAsia="zh-CN"/>
        </w:rPr>
        <w:t>实施周期</w:t>
      </w:r>
    </w:p>
    <w:p w14:paraId="74813B24">
      <w:pPr>
        <w:spacing w:before="227" w:line="222" w:lineRule="auto"/>
        <w:ind w:left="645"/>
        <w:rPr>
          <w:rFonts w:ascii="仿宋" w:hAnsi="仿宋" w:eastAsia="仿宋" w:cs="仿宋"/>
          <w:sz w:val="31"/>
          <w:szCs w:val="31"/>
        </w:rPr>
      </w:pPr>
      <w:r>
        <w:rPr>
          <w:rFonts w:ascii="仿宋" w:hAnsi="仿宋" w:eastAsia="仿宋" w:cs="仿宋"/>
          <w:spacing w:val="-6"/>
          <w:sz w:val="31"/>
          <w:szCs w:val="31"/>
        </w:rPr>
        <w:t>2026</w:t>
      </w:r>
      <w:r>
        <w:rPr>
          <w:rFonts w:ascii="仿宋" w:hAnsi="仿宋" w:eastAsia="仿宋" w:cs="仿宋"/>
          <w:spacing w:val="-50"/>
          <w:sz w:val="31"/>
          <w:szCs w:val="31"/>
        </w:rPr>
        <w:t xml:space="preserve"> </w:t>
      </w:r>
      <w:r>
        <w:rPr>
          <w:rFonts w:ascii="仿宋" w:hAnsi="仿宋" w:eastAsia="仿宋" w:cs="仿宋"/>
          <w:spacing w:val="-6"/>
          <w:sz w:val="31"/>
          <w:szCs w:val="31"/>
        </w:rPr>
        <w:t>年</w:t>
      </w:r>
      <w:r>
        <w:rPr>
          <w:rFonts w:ascii="仿宋" w:hAnsi="仿宋" w:eastAsia="仿宋" w:cs="仿宋"/>
          <w:spacing w:val="-40"/>
          <w:sz w:val="31"/>
          <w:szCs w:val="31"/>
        </w:rPr>
        <w:t xml:space="preserve"> </w:t>
      </w:r>
      <w:r>
        <w:rPr>
          <w:rFonts w:ascii="仿宋" w:hAnsi="仿宋" w:eastAsia="仿宋" w:cs="仿宋"/>
          <w:spacing w:val="-6"/>
          <w:sz w:val="31"/>
          <w:szCs w:val="31"/>
        </w:rPr>
        <w:t>1</w:t>
      </w:r>
      <w:r>
        <w:rPr>
          <w:rFonts w:ascii="仿宋" w:hAnsi="仿宋" w:eastAsia="仿宋" w:cs="仿宋"/>
          <w:spacing w:val="-46"/>
          <w:sz w:val="31"/>
          <w:szCs w:val="31"/>
        </w:rPr>
        <w:t xml:space="preserve"> </w:t>
      </w:r>
      <w:r>
        <w:rPr>
          <w:rFonts w:ascii="仿宋" w:hAnsi="仿宋" w:eastAsia="仿宋" w:cs="仿宋"/>
          <w:spacing w:val="-6"/>
          <w:sz w:val="31"/>
          <w:szCs w:val="31"/>
        </w:rPr>
        <w:t>月至</w:t>
      </w:r>
      <w:r>
        <w:rPr>
          <w:rFonts w:ascii="仿宋" w:hAnsi="仿宋" w:eastAsia="仿宋" w:cs="仿宋"/>
          <w:spacing w:val="-49"/>
          <w:sz w:val="31"/>
          <w:szCs w:val="31"/>
        </w:rPr>
        <w:t xml:space="preserve"> </w:t>
      </w:r>
      <w:r>
        <w:rPr>
          <w:rFonts w:ascii="仿宋" w:hAnsi="仿宋" w:eastAsia="仿宋" w:cs="仿宋"/>
          <w:spacing w:val="-6"/>
          <w:sz w:val="31"/>
          <w:szCs w:val="31"/>
        </w:rPr>
        <w:t>2026</w:t>
      </w:r>
      <w:r>
        <w:rPr>
          <w:rFonts w:ascii="仿宋" w:hAnsi="仿宋" w:eastAsia="仿宋" w:cs="仿宋"/>
          <w:spacing w:val="-58"/>
          <w:sz w:val="31"/>
          <w:szCs w:val="31"/>
        </w:rPr>
        <w:t xml:space="preserve"> </w:t>
      </w:r>
      <w:r>
        <w:rPr>
          <w:rFonts w:ascii="仿宋" w:hAnsi="仿宋" w:eastAsia="仿宋" w:cs="仿宋"/>
          <w:spacing w:val="-6"/>
          <w:sz w:val="31"/>
          <w:szCs w:val="31"/>
        </w:rPr>
        <w:t>年</w:t>
      </w:r>
      <w:r>
        <w:rPr>
          <w:rFonts w:ascii="仿宋" w:hAnsi="仿宋" w:eastAsia="仿宋" w:cs="仿宋"/>
          <w:spacing w:val="-43"/>
          <w:sz w:val="31"/>
          <w:szCs w:val="31"/>
        </w:rPr>
        <w:t xml:space="preserve"> </w:t>
      </w:r>
      <w:r>
        <w:rPr>
          <w:rFonts w:ascii="仿宋" w:hAnsi="仿宋" w:eastAsia="仿宋" w:cs="仿宋"/>
          <w:spacing w:val="-6"/>
          <w:sz w:val="31"/>
          <w:szCs w:val="31"/>
        </w:rPr>
        <w:t>12</w:t>
      </w:r>
      <w:r>
        <w:rPr>
          <w:rFonts w:ascii="仿宋" w:hAnsi="仿宋" w:eastAsia="仿宋" w:cs="仿宋"/>
          <w:spacing w:val="-46"/>
          <w:sz w:val="31"/>
          <w:szCs w:val="31"/>
        </w:rPr>
        <w:t xml:space="preserve"> </w:t>
      </w:r>
      <w:r>
        <w:rPr>
          <w:rFonts w:ascii="仿宋" w:hAnsi="仿宋" w:eastAsia="仿宋" w:cs="仿宋"/>
          <w:spacing w:val="-6"/>
          <w:sz w:val="31"/>
          <w:szCs w:val="31"/>
        </w:rPr>
        <w:t>月</w:t>
      </w:r>
    </w:p>
    <w:p w14:paraId="2E1841B3">
      <w:pPr>
        <w:pStyle w:val="18"/>
        <w:bidi w:val="0"/>
        <w:rPr>
          <w:rFonts w:hint="eastAsia"/>
          <w:lang w:eastAsia="zh-CN"/>
        </w:rPr>
      </w:pPr>
      <w:r>
        <w:rPr>
          <w:rFonts w:hint="eastAsia"/>
          <w:lang w:eastAsia="zh-CN"/>
        </w:rPr>
        <w:t xml:space="preserve">  （</w:t>
      </w:r>
      <w:r>
        <w:rPr>
          <w:rFonts w:hint="eastAsia"/>
          <w:lang w:val="en-US" w:eastAsia="zh-CN"/>
        </w:rPr>
        <w:t>6）</w:t>
      </w:r>
      <w:r>
        <w:rPr>
          <w:rFonts w:hint="eastAsia"/>
          <w:lang w:eastAsia="zh-CN"/>
        </w:rPr>
        <w:t>年度预算安排</w:t>
      </w:r>
    </w:p>
    <w:p w14:paraId="3C2C18B9">
      <w:pPr>
        <w:pStyle w:val="18"/>
        <w:bidi w:val="0"/>
        <w:rPr>
          <w:rFonts w:hint="default"/>
          <w:lang w:val="en-US" w:eastAsia="zh-CN"/>
        </w:rPr>
      </w:pPr>
      <w:r>
        <w:rPr>
          <w:rFonts w:hint="eastAsia"/>
          <w:lang w:val="en-US" w:eastAsia="zh-CN"/>
        </w:rPr>
        <w:t>2026年度预算安排205万元</w:t>
      </w:r>
    </w:p>
    <w:p w14:paraId="014B2754">
      <w:pPr>
        <w:pStyle w:val="18"/>
        <w:bidi w:val="0"/>
        <w:ind w:left="0" w:leftChars="0" w:firstLine="0" w:firstLineChars="0"/>
        <w:rPr>
          <w:rFonts w:hint="eastAsia"/>
          <w:lang w:eastAsia="zh-CN"/>
        </w:rPr>
      </w:pPr>
    </w:p>
    <w:p w14:paraId="113DF0D8">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39FC7CA9">
      <w:pPr>
        <w:pStyle w:val="18"/>
        <w:bidi w:val="0"/>
        <w:rPr>
          <w:rFonts w:hint="eastAsia"/>
          <w:lang w:eastAsia="zh-CN"/>
        </w:rPr>
      </w:pPr>
      <w:r>
        <w:rPr>
          <w:rFonts w:hint="eastAsia"/>
          <w:lang w:eastAsia="zh-CN"/>
        </w:rPr>
        <w:t>2026年景德镇市珠山区政务服务管理局财政拨款"三公"经费安排0.39万元，其中：</w:t>
      </w:r>
    </w:p>
    <w:p w14:paraId="3D5F4D06">
      <w:pPr>
        <w:pStyle w:val="18"/>
        <w:bidi w:val="0"/>
        <w:rPr>
          <w:rFonts w:hint="eastAsia"/>
          <w:lang w:eastAsia="zh-CN"/>
        </w:rPr>
      </w:pPr>
      <w:r>
        <w:rPr>
          <w:rFonts w:hint="eastAsia"/>
          <w:lang w:eastAsia="zh-CN"/>
        </w:rPr>
        <w:t>因公出国0.00万元,比上年增</w:t>
      </w:r>
      <w:r>
        <w:rPr>
          <w:rFonts w:hint="eastAsia"/>
          <w:lang w:val="en-US" w:eastAsia="zh-CN"/>
        </w:rPr>
        <w:t>加0</w:t>
      </w:r>
      <w:r>
        <w:rPr>
          <w:rFonts w:hint="eastAsia"/>
          <w:lang w:eastAsia="zh-CN"/>
        </w:rPr>
        <w:t>万元，主要原因是：</w:t>
      </w:r>
      <w:r>
        <w:rPr>
          <w:rFonts w:hint="eastAsia"/>
          <w:lang w:val="en-US" w:eastAsia="zh-CN"/>
        </w:rPr>
        <w:t>与</w:t>
      </w:r>
      <w:r>
        <w:rPr>
          <w:rFonts w:ascii="仿宋" w:hAnsi="仿宋" w:eastAsia="仿宋" w:cs="仿宋"/>
          <w:spacing w:val="6"/>
          <w:sz w:val="31"/>
          <w:szCs w:val="31"/>
        </w:rPr>
        <w:t>上年安排保持一致</w:t>
      </w:r>
      <w:r>
        <w:rPr>
          <w:rFonts w:hint="eastAsia"/>
          <w:lang w:eastAsia="zh-CN"/>
        </w:rPr>
        <w:t>。</w:t>
      </w:r>
    </w:p>
    <w:p w14:paraId="756753BA">
      <w:pPr>
        <w:pStyle w:val="18"/>
        <w:bidi w:val="0"/>
        <w:rPr>
          <w:rFonts w:hint="eastAsia"/>
          <w:lang w:eastAsia="zh-CN"/>
        </w:rPr>
      </w:pPr>
      <w:r>
        <w:rPr>
          <w:rFonts w:hint="eastAsia"/>
          <w:lang w:eastAsia="zh-CN"/>
        </w:rPr>
        <w:t>公务接待0.39万元,比上年增</w:t>
      </w:r>
      <w:r>
        <w:rPr>
          <w:rFonts w:hint="eastAsia"/>
          <w:lang w:val="en-US" w:eastAsia="zh-CN"/>
        </w:rPr>
        <w:t>加0</w:t>
      </w:r>
      <w:r>
        <w:rPr>
          <w:rFonts w:hint="eastAsia"/>
          <w:lang w:eastAsia="zh-CN"/>
        </w:rPr>
        <w:t>万元，主要原因是：</w:t>
      </w:r>
      <w:r>
        <w:rPr>
          <w:rFonts w:hint="eastAsia"/>
          <w:lang w:val="en-US" w:eastAsia="zh-CN"/>
        </w:rPr>
        <w:t>与</w:t>
      </w:r>
      <w:r>
        <w:rPr>
          <w:rFonts w:ascii="仿宋" w:hAnsi="仿宋" w:eastAsia="仿宋" w:cs="仿宋"/>
          <w:spacing w:val="6"/>
          <w:sz w:val="31"/>
          <w:szCs w:val="31"/>
        </w:rPr>
        <w:t>上年安排保持一致</w:t>
      </w:r>
      <w:r>
        <w:rPr>
          <w:rFonts w:hint="eastAsia"/>
          <w:lang w:eastAsia="zh-CN"/>
        </w:rPr>
        <w:t>。</w:t>
      </w:r>
    </w:p>
    <w:p w14:paraId="243B9D61">
      <w:pPr>
        <w:pStyle w:val="18"/>
        <w:bidi w:val="0"/>
        <w:rPr>
          <w:rFonts w:hint="eastAsia"/>
          <w:lang w:eastAsia="zh-CN"/>
        </w:rPr>
      </w:pPr>
      <w:r>
        <w:rPr>
          <w:rFonts w:hint="eastAsia"/>
          <w:lang w:eastAsia="zh-CN"/>
        </w:rPr>
        <w:t>公务用车运行0.00万元,比上年增</w:t>
      </w:r>
      <w:r>
        <w:rPr>
          <w:rFonts w:hint="eastAsia"/>
          <w:lang w:val="en-US" w:eastAsia="zh-CN"/>
        </w:rPr>
        <w:t>加0</w:t>
      </w:r>
      <w:r>
        <w:rPr>
          <w:rFonts w:hint="eastAsia"/>
          <w:lang w:eastAsia="zh-CN"/>
        </w:rPr>
        <w:t>万元，主要原因是：</w:t>
      </w:r>
      <w:r>
        <w:rPr>
          <w:rFonts w:hint="eastAsia"/>
          <w:lang w:val="en-US" w:eastAsia="zh-CN"/>
        </w:rPr>
        <w:t>与</w:t>
      </w:r>
      <w:r>
        <w:rPr>
          <w:rFonts w:ascii="仿宋" w:hAnsi="仿宋" w:eastAsia="仿宋" w:cs="仿宋"/>
          <w:spacing w:val="6"/>
          <w:sz w:val="31"/>
          <w:szCs w:val="31"/>
        </w:rPr>
        <w:t>上年安排保持一致</w:t>
      </w:r>
      <w:r>
        <w:rPr>
          <w:rFonts w:hint="eastAsia"/>
          <w:lang w:eastAsia="zh-CN"/>
        </w:rPr>
        <w:t>。</w:t>
      </w:r>
    </w:p>
    <w:p w14:paraId="6A932283">
      <w:pPr>
        <w:pStyle w:val="18"/>
        <w:bidi w:val="0"/>
        <w:rPr>
          <w:rFonts w:hint="eastAsia"/>
          <w:lang w:eastAsia="zh-CN"/>
        </w:rPr>
      </w:pPr>
      <w:r>
        <w:rPr>
          <w:rFonts w:hint="eastAsia"/>
          <w:lang w:eastAsia="zh-CN"/>
        </w:rPr>
        <w:t>公务用车购置0.00万元,比上年增</w:t>
      </w:r>
      <w:r>
        <w:rPr>
          <w:rFonts w:hint="eastAsia"/>
          <w:lang w:val="en-US" w:eastAsia="zh-CN"/>
        </w:rPr>
        <w:t>加0</w:t>
      </w:r>
      <w:r>
        <w:rPr>
          <w:rFonts w:hint="eastAsia"/>
          <w:lang w:eastAsia="zh-CN"/>
        </w:rPr>
        <w:t>万元，主要原因是：</w:t>
      </w:r>
      <w:r>
        <w:rPr>
          <w:rFonts w:hint="eastAsia"/>
          <w:lang w:val="en-US" w:eastAsia="zh-CN"/>
        </w:rPr>
        <w:t>与</w:t>
      </w:r>
      <w:r>
        <w:rPr>
          <w:rFonts w:ascii="仿宋" w:hAnsi="仿宋" w:eastAsia="仿宋" w:cs="仿宋"/>
          <w:spacing w:val="6"/>
          <w:sz w:val="31"/>
          <w:szCs w:val="31"/>
        </w:rPr>
        <w:t>上年安排保持一致</w:t>
      </w:r>
      <w:r>
        <w:rPr>
          <w:rFonts w:hint="eastAsia"/>
          <w:lang w:eastAsia="zh-CN"/>
        </w:rPr>
        <w:t>。</w:t>
      </w:r>
    </w:p>
    <w:p w14:paraId="34C596F4">
      <w:pPr>
        <w:rPr>
          <w:rStyle w:val="12"/>
          <w:rFonts w:hint="eastAsia" w:ascii="仿宋" w:hAnsi="仿宋" w:eastAsia="仿宋"/>
          <w:sz w:val="32"/>
          <w:szCs w:val="32"/>
        </w:rPr>
      </w:pPr>
      <w:r>
        <w:rPr>
          <w:rStyle w:val="12"/>
          <w:rFonts w:hint="eastAsia" w:ascii="仿宋" w:hAnsi="仿宋" w:eastAsia="仿宋"/>
          <w:sz w:val="32"/>
          <w:szCs w:val="32"/>
        </w:rPr>
        <w:br w:type="page"/>
      </w:r>
    </w:p>
    <w:p w14:paraId="0F982AE5">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35E78427">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62A5A78A">
      <w:pPr>
        <w:pStyle w:val="18"/>
        <w:bidi w:val="0"/>
        <w:rPr>
          <w:rFonts w:hint="eastAsia"/>
          <w:lang w:eastAsia="zh-CN"/>
        </w:rPr>
      </w:pPr>
      <w:bookmarkStart w:id="0" w:name="_GoBack"/>
      <w:bookmarkEnd w:id="0"/>
      <w:r>
        <w:rPr>
          <w:rFonts w:hint="eastAsia"/>
          <w:lang w:eastAsia="zh-CN"/>
        </w:rPr>
        <w:t>（</w:t>
      </w:r>
      <w:r>
        <w:rPr>
          <w:rFonts w:hint="eastAsia"/>
          <w:lang w:val="en-US" w:eastAsia="zh-CN"/>
        </w:rPr>
        <w:t>一</w:t>
      </w:r>
      <w:r>
        <w:rPr>
          <w:rFonts w:hint="eastAsia"/>
          <w:lang w:eastAsia="zh-CN"/>
        </w:rPr>
        <w:t>）财政拨款：指省级财政当年拨付的资金。</w:t>
      </w:r>
    </w:p>
    <w:p w14:paraId="0DCD6D72">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7AC0ABDC">
      <w:pPr>
        <w:pStyle w:val="18"/>
        <w:bidi w:val="0"/>
        <w:rPr>
          <w:rFonts w:hint="eastAsia"/>
          <w:lang w:eastAsia="zh-CN"/>
        </w:rPr>
      </w:pPr>
      <w:r>
        <w:rPr>
          <w:rFonts w:hint="eastAsia"/>
          <w:lang w:eastAsia="zh-CN"/>
        </w:rPr>
        <w:t>（三）事业收入：指事业单位开展专业业务活动及辅助活动取得的收入。</w:t>
      </w:r>
    </w:p>
    <w:p w14:paraId="06C9A9B1">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213D39BC">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33EA07A6">
      <w:pPr>
        <w:pStyle w:val="18"/>
        <w:bidi w:val="0"/>
        <w:rPr>
          <w:rFonts w:hint="eastAsia"/>
          <w:lang w:eastAsia="zh-CN"/>
        </w:rPr>
      </w:pPr>
      <w:r>
        <w:rPr>
          <w:rFonts w:hint="eastAsia"/>
          <w:lang w:eastAsia="zh-CN"/>
        </w:rPr>
        <w:t>（六）上级补助收入：指事业单位从主管部门和上级单位取得的非财政补助收入。</w:t>
      </w:r>
    </w:p>
    <w:p w14:paraId="295E6C24">
      <w:pPr>
        <w:pStyle w:val="18"/>
        <w:bidi w:val="0"/>
        <w:rPr>
          <w:rFonts w:hint="eastAsia"/>
          <w:lang w:eastAsia="zh-CN"/>
        </w:rPr>
      </w:pPr>
      <w:r>
        <w:rPr>
          <w:rFonts w:hint="eastAsia"/>
          <w:lang w:eastAsia="zh-CN"/>
        </w:rPr>
        <w:t>（七）其他收入：指除财政拨款、事业收入、事业单位经营收入等以外的各项收入。</w:t>
      </w:r>
    </w:p>
    <w:p w14:paraId="5A9E7BDE">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203195E6">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00986145">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7D8E3463">
      <w:pPr>
        <w:spacing w:before="195" w:line="283" w:lineRule="auto"/>
        <w:ind w:right="70" w:firstLine="631"/>
        <w:rPr>
          <w:rFonts w:ascii="仿宋" w:hAnsi="仿宋" w:eastAsia="仿宋" w:cs="仿宋"/>
          <w:sz w:val="31"/>
          <w:szCs w:val="31"/>
        </w:rPr>
      </w:pPr>
      <w:r>
        <w:rPr>
          <w:rFonts w:ascii="仿宋" w:hAnsi="仿宋" w:eastAsia="仿宋" w:cs="仿宋"/>
          <w:spacing w:val="3"/>
          <w:sz w:val="31"/>
          <w:szCs w:val="31"/>
        </w:rPr>
        <w:t>（</w:t>
      </w:r>
      <w:r>
        <w:rPr>
          <w:rFonts w:ascii="仿宋" w:hAnsi="仿宋" w:eastAsia="仿宋" w:cs="仿宋"/>
          <w:spacing w:val="-62"/>
          <w:sz w:val="31"/>
          <w:szCs w:val="31"/>
        </w:rPr>
        <w:t xml:space="preserve"> </w:t>
      </w:r>
      <w:r>
        <w:rPr>
          <w:rFonts w:ascii="仿宋" w:hAnsi="仿宋" w:eastAsia="仿宋" w:cs="仿宋"/>
          <w:spacing w:val="3"/>
          <w:sz w:val="31"/>
          <w:szCs w:val="31"/>
        </w:rPr>
        <w:t>一）一般公共服务支出(类)财政事务(款)行政运行(项):</w:t>
      </w:r>
      <w:r>
        <w:rPr>
          <w:rFonts w:ascii="仿宋" w:hAnsi="仿宋" w:eastAsia="仿宋" w:cs="仿宋"/>
          <w:spacing w:val="9"/>
          <w:sz w:val="31"/>
          <w:szCs w:val="31"/>
        </w:rPr>
        <w:t>反映行政单位(包括实行公务员管理的事业</w:t>
      </w:r>
      <w:r>
        <w:rPr>
          <w:rFonts w:ascii="仿宋" w:hAnsi="仿宋" w:eastAsia="仿宋" w:cs="仿宋"/>
          <w:spacing w:val="8"/>
          <w:sz w:val="31"/>
          <w:szCs w:val="31"/>
        </w:rPr>
        <w:t>单位)的基本支出。</w:t>
      </w:r>
    </w:p>
    <w:p w14:paraId="372B49B8">
      <w:pPr>
        <w:spacing w:before="208" w:line="304" w:lineRule="auto"/>
        <w:ind w:left="6" w:right="71" w:firstLine="625"/>
        <w:rPr>
          <w:rFonts w:ascii="仿宋" w:hAnsi="仿宋" w:eastAsia="仿宋" w:cs="仿宋"/>
          <w:sz w:val="31"/>
          <w:szCs w:val="31"/>
        </w:rPr>
      </w:pPr>
      <w:r>
        <w:rPr>
          <w:rFonts w:ascii="仿宋" w:hAnsi="仿宋" w:eastAsia="仿宋" w:cs="仿宋"/>
          <w:spacing w:val="9"/>
          <w:sz w:val="31"/>
          <w:szCs w:val="31"/>
        </w:rPr>
        <w:t>（</w:t>
      </w:r>
      <w:r>
        <w:rPr>
          <w:rFonts w:ascii="仿宋" w:hAnsi="仿宋" w:eastAsia="仿宋" w:cs="仿宋"/>
          <w:spacing w:val="-64"/>
          <w:sz w:val="31"/>
          <w:szCs w:val="31"/>
        </w:rPr>
        <w:t xml:space="preserve"> </w:t>
      </w:r>
      <w:r>
        <w:rPr>
          <w:rFonts w:ascii="仿宋" w:hAnsi="仿宋" w:eastAsia="仿宋" w:cs="仿宋"/>
          <w:spacing w:val="9"/>
          <w:sz w:val="31"/>
          <w:szCs w:val="31"/>
        </w:rPr>
        <w:t>二）一般公共服务支出(类)财政事务(款)一般行政管理</w:t>
      </w:r>
      <w:r>
        <w:rPr>
          <w:rFonts w:ascii="仿宋" w:hAnsi="仿宋" w:eastAsia="仿宋" w:cs="仿宋"/>
          <w:spacing w:val="17"/>
          <w:sz w:val="31"/>
          <w:szCs w:val="31"/>
        </w:rPr>
        <w:t>事务(项):反映行政单位(包括实行公务员管理的事业单位)未</w:t>
      </w:r>
      <w:r>
        <w:rPr>
          <w:rFonts w:ascii="仿宋" w:hAnsi="仿宋" w:eastAsia="仿宋" w:cs="仿宋"/>
          <w:spacing w:val="8"/>
          <w:sz w:val="31"/>
          <w:szCs w:val="31"/>
        </w:rPr>
        <w:t>单独设置项级科目的其他项目支出。</w:t>
      </w:r>
    </w:p>
    <w:p w14:paraId="72F217DD">
      <w:pPr>
        <w:spacing w:before="209" w:line="304" w:lineRule="auto"/>
        <w:ind w:firstLine="576"/>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71"/>
          <w:sz w:val="31"/>
          <w:szCs w:val="31"/>
        </w:rPr>
        <w:t xml:space="preserve"> </w:t>
      </w:r>
      <w:r>
        <w:rPr>
          <w:rFonts w:ascii="仿宋" w:hAnsi="仿宋" w:eastAsia="仿宋" w:cs="仿宋"/>
          <w:spacing w:val="-1"/>
          <w:sz w:val="31"/>
          <w:szCs w:val="31"/>
        </w:rPr>
        <w:t>三）一般公共服务支出(类)财政事务(款)机关服务（项</w:t>
      </w:r>
      <w:r>
        <w:rPr>
          <w:rFonts w:ascii="仿宋" w:hAnsi="仿宋" w:eastAsia="仿宋" w:cs="仿宋"/>
          <w:spacing w:val="-80"/>
          <w:w w:val="91"/>
          <w:sz w:val="31"/>
          <w:szCs w:val="31"/>
        </w:rPr>
        <w:t>）：</w:t>
      </w:r>
      <w:r>
        <w:rPr>
          <w:rFonts w:ascii="仿宋" w:hAnsi="仿宋" w:eastAsia="仿宋" w:cs="仿宋"/>
          <w:spacing w:val="13"/>
          <w:sz w:val="31"/>
          <w:szCs w:val="31"/>
        </w:rPr>
        <w:t>反映为行政单位（包括实行公务员管理的事业单位</w:t>
      </w:r>
      <w:r>
        <w:rPr>
          <w:rFonts w:ascii="仿宋" w:hAnsi="仿宋" w:eastAsia="仿宋" w:cs="仿宋"/>
          <w:spacing w:val="12"/>
          <w:sz w:val="31"/>
          <w:szCs w:val="31"/>
        </w:rPr>
        <w:t>）提供后勤</w:t>
      </w:r>
      <w:r>
        <w:rPr>
          <w:rFonts w:ascii="仿宋" w:hAnsi="仿宋" w:eastAsia="仿宋" w:cs="仿宋"/>
          <w:spacing w:val="6"/>
          <w:sz w:val="31"/>
          <w:szCs w:val="31"/>
        </w:rPr>
        <w:t>服务的各类后勤服务中心、</w:t>
      </w:r>
      <w:r>
        <w:rPr>
          <w:rFonts w:ascii="仿宋" w:hAnsi="仿宋" w:eastAsia="仿宋" w:cs="仿宋"/>
          <w:spacing w:val="-77"/>
          <w:sz w:val="31"/>
          <w:szCs w:val="31"/>
        </w:rPr>
        <w:t xml:space="preserve"> </w:t>
      </w:r>
      <w:r>
        <w:rPr>
          <w:rFonts w:ascii="仿宋" w:hAnsi="仿宋" w:eastAsia="仿宋" w:cs="仿宋"/>
          <w:spacing w:val="6"/>
          <w:sz w:val="31"/>
          <w:szCs w:val="31"/>
        </w:rPr>
        <w:t>医务室等附属事业单位的支出。</w:t>
      </w:r>
    </w:p>
    <w:p w14:paraId="2EEB6848">
      <w:pPr>
        <w:spacing w:before="211" w:line="283" w:lineRule="auto"/>
        <w:ind w:firstLine="576"/>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57"/>
          <w:sz w:val="31"/>
          <w:szCs w:val="31"/>
        </w:rPr>
        <w:t xml:space="preserve"> </w:t>
      </w:r>
      <w:r>
        <w:rPr>
          <w:rFonts w:ascii="仿宋" w:hAnsi="仿宋" w:eastAsia="仿宋" w:cs="仿宋"/>
          <w:spacing w:val="-1"/>
          <w:sz w:val="31"/>
          <w:szCs w:val="31"/>
        </w:rPr>
        <w:t>四）一般公共服务支出(类)财政事务(款)财政监察（项</w:t>
      </w:r>
      <w:r>
        <w:rPr>
          <w:rFonts w:ascii="仿宋" w:hAnsi="仿宋" w:eastAsia="仿宋" w:cs="仿宋"/>
          <w:spacing w:val="-78"/>
          <w:w w:val="88"/>
          <w:sz w:val="31"/>
          <w:szCs w:val="31"/>
        </w:rPr>
        <w:t>）：</w:t>
      </w:r>
      <w:r>
        <w:rPr>
          <w:rFonts w:ascii="仿宋" w:hAnsi="仿宋" w:eastAsia="仿宋" w:cs="仿宋"/>
          <w:spacing w:val="8"/>
          <w:sz w:val="31"/>
          <w:szCs w:val="31"/>
        </w:rPr>
        <w:t>反映财政监察方面的专项业务支出。</w:t>
      </w:r>
    </w:p>
    <w:p w14:paraId="1439E463">
      <w:pPr>
        <w:spacing w:before="207" w:line="284" w:lineRule="auto"/>
        <w:ind w:left="66" w:right="71" w:firstLine="565"/>
        <w:rPr>
          <w:rFonts w:ascii="仿宋" w:hAnsi="仿宋" w:eastAsia="仿宋" w:cs="仿宋"/>
          <w:sz w:val="31"/>
          <w:szCs w:val="31"/>
        </w:rPr>
      </w:pPr>
      <w:r>
        <w:rPr>
          <w:rFonts w:ascii="仿宋" w:hAnsi="仿宋" w:eastAsia="仿宋" w:cs="仿宋"/>
          <w:spacing w:val="18"/>
          <w:sz w:val="31"/>
          <w:szCs w:val="31"/>
        </w:rPr>
        <w:t>（</w:t>
      </w:r>
      <w:r>
        <w:rPr>
          <w:rFonts w:ascii="仿宋" w:hAnsi="仿宋" w:eastAsia="仿宋" w:cs="仿宋"/>
          <w:spacing w:val="-71"/>
          <w:sz w:val="31"/>
          <w:szCs w:val="31"/>
        </w:rPr>
        <w:t xml:space="preserve"> </w:t>
      </w:r>
      <w:r>
        <w:rPr>
          <w:rFonts w:ascii="仿宋" w:hAnsi="仿宋" w:eastAsia="仿宋" w:cs="仿宋"/>
          <w:spacing w:val="18"/>
          <w:sz w:val="31"/>
          <w:szCs w:val="31"/>
        </w:rPr>
        <w:t>五）一般公共服务支出</w:t>
      </w:r>
      <w:r>
        <w:rPr>
          <w:rFonts w:ascii="仿宋" w:hAnsi="仿宋" w:eastAsia="仿宋" w:cs="仿宋"/>
          <w:spacing w:val="-56"/>
          <w:sz w:val="31"/>
          <w:szCs w:val="31"/>
        </w:rPr>
        <w:t xml:space="preserve"> </w:t>
      </w:r>
      <w:r>
        <w:rPr>
          <w:rFonts w:ascii="仿宋" w:hAnsi="仿宋" w:eastAsia="仿宋" w:cs="仿宋"/>
          <w:spacing w:val="18"/>
          <w:sz w:val="31"/>
          <w:szCs w:val="31"/>
        </w:rPr>
        <w:t>(类)财政事务(</w:t>
      </w:r>
      <w:r>
        <w:rPr>
          <w:rFonts w:ascii="仿宋" w:hAnsi="仿宋" w:eastAsia="仿宋" w:cs="仿宋"/>
          <w:spacing w:val="17"/>
          <w:sz w:val="31"/>
          <w:szCs w:val="31"/>
        </w:rPr>
        <w:t>款)信息化建设</w:t>
      </w:r>
      <w:r>
        <w:rPr>
          <w:rFonts w:ascii="仿宋" w:hAnsi="仿宋" w:eastAsia="仿宋" w:cs="仿宋"/>
          <w:spacing w:val="5"/>
          <w:sz w:val="31"/>
          <w:szCs w:val="31"/>
        </w:rPr>
        <w:t>(项):反映财政部门用于信息化建设方面的支出。</w:t>
      </w:r>
    </w:p>
    <w:p w14:paraId="7BC1A5FC">
      <w:pPr>
        <w:spacing w:before="206" w:line="222" w:lineRule="auto"/>
        <w:ind w:left="631"/>
        <w:rPr>
          <w:rFonts w:ascii="仿宋" w:hAnsi="仿宋" w:eastAsia="仿宋" w:cs="仿宋"/>
          <w:sz w:val="31"/>
          <w:szCs w:val="31"/>
        </w:rPr>
      </w:pPr>
      <w:r>
        <w:rPr>
          <w:rFonts w:ascii="仿宋" w:hAnsi="仿宋" w:eastAsia="仿宋" w:cs="仿宋"/>
          <w:spacing w:val="9"/>
          <w:sz w:val="31"/>
          <w:szCs w:val="31"/>
        </w:rPr>
        <w:t>（</w:t>
      </w:r>
      <w:r>
        <w:rPr>
          <w:rFonts w:ascii="仿宋" w:hAnsi="仿宋" w:eastAsia="仿宋" w:cs="仿宋"/>
          <w:spacing w:val="-64"/>
          <w:sz w:val="31"/>
          <w:szCs w:val="31"/>
        </w:rPr>
        <w:t xml:space="preserve"> </w:t>
      </w:r>
      <w:r>
        <w:rPr>
          <w:rFonts w:ascii="仿宋" w:hAnsi="仿宋" w:eastAsia="仿宋" w:cs="仿宋"/>
          <w:spacing w:val="9"/>
          <w:sz w:val="31"/>
          <w:szCs w:val="31"/>
        </w:rPr>
        <w:t>六）一般公共服务支出(类)财政事务(款)财政委托</w:t>
      </w:r>
      <w:r>
        <w:rPr>
          <w:rFonts w:hint="eastAsia" w:ascii="仿宋" w:hAnsi="仿宋" w:eastAsia="仿宋" w:cs="仿宋"/>
          <w:spacing w:val="9"/>
          <w:sz w:val="31"/>
          <w:szCs w:val="31"/>
          <w:lang w:val="en-US" w:eastAsia="zh-CN"/>
        </w:rPr>
        <w:t>业务</w:t>
      </w:r>
      <w:r>
        <w:rPr>
          <w:rFonts w:ascii="仿宋" w:hAnsi="仿宋" w:eastAsia="仿宋" w:cs="仿宋"/>
          <w:spacing w:val="17"/>
          <w:sz w:val="31"/>
          <w:szCs w:val="31"/>
        </w:rPr>
        <w:t>支出(项):反映财政委托评审机构进行财政投资评审和委托建</w:t>
      </w:r>
      <w:r>
        <w:rPr>
          <w:rFonts w:ascii="仿宋" w:hAnsi="仿宋" w:eastAsia="仿宋" w:cs="仿宋"/>
          <w:spacing w:val="8"/>
          <w:sz w:val="31"/>
          <w:szCs w:val="31"/>
        </w:rPr>
        <w:t>设银行等机构代理业务发生的支出。</w:t>
      </w:r>
    </w:p>
    <w:p w14:paraId="2C11CDB3">
      <w:pPr>
        <w:spacing w:before="2" w:line="282" w:lineRule="auto"/>
        <w:ind w:left="3" w:right="160" w:firstLine="631"/>
        <w:rPr>
          <w:rFonts w:ascii="仿宋" w:hAnsi="仿宋" w:eastAsia="仿宋" w:cs="仿宋"/>
          <w:sz w:val="31"/>
          <w:szCs w:val="31"/>
        </w:rPr>
      </w:pPr>
      <w:r>
        <w:rPr>
          <w:rFonts w:ascii="仿宋" w:hAnsi="仿宋" w:eastAsia="仿宋" w:cs="仿宋"/>
          <w:spacing w:val="6"/>
          <w:sz w:val="31"/>
          <w:szCs w:val="31"/>
        </w:rPr>
        <w:t>（七）一般公共服务支出(类)财政事务(款)事业运行(项):</w:t>
      </w:r>
      <w:r>
        <w:rPr>
          <w:rFonts w:ascii="仿宋" w:hAnsi="仿宋" w:eastAsia="仿宋" w:cs="仿宋"/>
          <w:spacing w:val="7"/>
          <w:sz w:val="31"/>
          <w:szCs w:val="31"/>
        </w:rPr>
        <w:t>反映事业单位的基本支出。</w:t>
      </w:r>
    </w:p>
    <w:p w14:paraId="3A720F1D">
      <w:pPr>
        <w:spacing w:before="209" w:line="284" w:lineRule="auto"/>
        <w:ind w:left="10" w:right="162" w:firstLine="625"/>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91"/>
          <w:sz w:val="31"/>
          <w:szCs w:val="31"/>
        </w:rPr>
        <w:t xml:space="preserve"> </w:t>
      </w:r>
      <w:r>
        <w:rPr>
          <w:rFonts w:ascii="仿宋" w:hAnsi="仿宋" w:eastAsia="仿宋" w:cs="仿宋"/>
          <w:spacing w:val="10"/>
          <w:sz w:val="31"/>
          <w:szCs w:val="31"/>
        </w:rPr>
        <w:t>八）一般公共服务支出(类)财政事务(款)其他财政事务</w:t>
      </w:r>
      <w:r>
        <w:rPr>
          <w:rFonts w:ascii="仿宋" w:hAnsi="仿宋" w:eastAsia="仿宋" w:cs="仿宋"/>
          <w:spacing w:val="8"/>
          <w:sz w:val="31"/>
          <w:szCs w:val="31"/>
        </w:rPr>
        <w:t>支出(项):反映除上述项目以外其他财政事务方面的支出。</w:t>
      </w:r>
    </w:p>
    <w:p w14:paraId="746D7298">
      <w:pPr>
        <w:spacing w:before="207" w:line="304" w:lineRule="auto"/>
        <w:ind w:firstLine="635"/>
        <w:rPr>
          <w:rFonts w:ascii="仿宋" w:hAnsi="仿宋" w:eastAsia="仿宋" w:cs="仿宋"/>
          <w:sz w:val="31"/>
          <w:szCs w:val="31"/>
        </w:rPr>
      </w:pPr>
      <w:r>
        <w:rPr>
          <w:rFonts w:ascii="仿宋" w:hAnsi="仿宋" w:eastAsia="仿宋" w:cs="仿宋"/>
          <w:spacing w:val="6"/>
          <w:sz w:val="31"/>
          <w:szCs w:val="31"/>
        </w:rPr>
        <w:t>（九）社会保障和就业支出(类)行政事业单位养老支出(款)</w:t>
      </w:r>
      <w:r>
        <w:rPr>
          <w:rFonts w:ascii="仿宋" w:hAnsi="仿宋" w:eastAsia="仿宋" w:cs="仿宋"/>
          <w:spacing w:val="18"/>
          <w:sz w:val="31"/>
          <w:szCs w:val="31"/>
        </w:rPr>
        <w:t>机关事业单位基本养老保险缴费支出(项):反映机关事业单位</w:t>
      </w:r>
      <w:r>
        <w:rPr>
          <w:rFonts w:ascii="仿宋" w:hAnsi="仿宋" w:eastAsia="仿宋" w:cs="仿宋"/>
          <w:spacing w:val="9"/>
          <w:sz w:val="31"/>
          <w:szCs w:val="31"/>
        </w:rPr>
        <w:t>实施养老保险制度由单位缴纳的基本养老保险费支出。</w:t>
      </w:r>
    </w:p>
    <w:p w14:paraId="4DD36AB0">
      <w:pPr>
        <w:spacing w:before="205" w:line="321" w:lineRule="auto"/>
        <w:ind w:left="2" w:right="64" w:firstLine="632"/>
        <w:rPr>
          <w:rFonts w:ascii="仿宋" w:hAnsi="仿宋" w:eastAsia="仿宋" w:cs="仿宋"/>
          <w:sz w:val="31"/>
          <w:szCs w:val="31"/>
        </w:rPr>
      </w:pPr>
      <w:r>
        <w:rPr>
          <w:rFonts w:ascii="仿宋" w:hAnsi="仿宋" w:eastAsia="仿宋" w:cs="仿宋"/>
          <w:spacing w:val="13"/>
          <w:sz w:val="31"/>
          <w:szCs w:val="31"/>
        </w:rPr>
        <w:t>（十）卫生健康支出（类）行政事业单位医疗（款）行政</w:t>
      </w:r>
      <w:r>
        <w:rPr>
          <w:rFonts w:ascii="仿宋" w:hAnsi="仿宋" w:eastAsia="仿宋" w:cs="仿宋"/>
          <w:spacing w:val="8"/>
          <w:sz w:val="31"/>
          <w:szCs w:val="31"/>
        </w:rPr>
        <w:t>单位医疗(项</w:t>
      </w:r>
      <w:r>
        <w:rPr>
          <w:rFonts w:ascii="仿宋" w:hAnsi="仿宋" w:eastAsia="仿宋" w:cs="仿宋"/>
          <w:spacing w:val="-6"/>
          <w:sz w:val="31"/>
          <w:szCs w:val="31"/>
        </w:rPr>
        <w:t>）：</w:t>
      </w:r>
      <w:r>
        <w:rPr>
          <w:rFonts w:ascii="仿宋" w:hAnsi="仿宋" w:eastAsia="仿宋" w:cs="仿宋"/>
          <w:spacing w:val="8"/>
          <w:sz w:val="31"/>
          <w:szCs w:val="31"/>
        </w:rPr>
        <w:t>反映财政部门安排的行政单位（包括实</w:t>
      </w:r>
      <w:r>
        <w:rPr>
          <w:rFonts w:ascii="仿宋" w:hAnsi="仿宋" w:eastAsia="仿宋" w:cs="仿宋"/>
          <w:spacing w:val="7"/>
          <w:sz w:val="31"/>
          <w:szCs w:val="31"/>
        </w:rPr>
        <w:t>行公务</w:t>
      </w:r>
      <w:r>
        <w:rPr>
          <w:rFonts w:ascii="仿宋" w:hAnsi="仿宋" w:eastAsia="仿宋" w:cs="仿宋"/>
          <w:spacing w:val="13"/>
          <w:sz w:val="31"/>
          <w:szCs w:val="31"/>
        </w:rPr>
        <w:t>员管理的事业单位，下同）基本医疗保险缴费经费，</w:t>
      </w:r>
      <w:r>
        <w:rPr>
          <w:rFonts w:ascii="仿宋" w:hAnsi="仿宋" w:eastAsia="仿宋" w:cs="仿宋"/>
          <w:spacing w:val="12"/>
          <w:sz w:val="31"/>
          <w:szCs w:val="31"/>
        </w:rPr>
        <w:t>未参加医</w:t>
      </w:r>
      <w:r>
        <w:rPr>
          <w:rFonts w:ascii="仿宋" w:hAnsi="仿宋" w:eastAsia="仿宋" w:cs="仿宋"/>
          <w:spacing w:val="5"/>
          <w:sz w:val="31"/>
          <w:szCs w:val="31"/>
        </w:rPr>
        <w:t>疗保险的行政单位的公费医疗经费，按国家规定享受</w:t>
      </w:r>
      <w:r>
        <w:rPr>
          <w:rFonts w:ascii="仿宋" w:hAnsi="仿宋" w:eastAsia="仿宋" w:cs="仿宋"/>
          <w:spacing w:val="4"/>
          <w:sz w:val="31"/>
          <w:szCs w:val="31"/>
        </w:rPr>
        <w:t>离休人员、</w:t>
      </w:r>
      <w:r>
        <w:rPr>
          <w:rFonts w:ascii="仿宋" w:hAnsi="仿宋" w:eastAsia="仿宋" w:cs="仿宋"/>
          <w:spacing w:val="8"/>
          <w:sz w:val="31"/>
          <w:szCs w:val="31"/>
        </w:rPr>
        <w:t>红军老战士待遇人员的医疗经费。</w:t>
      </w:r>
    </w:p>
    <w:p w14:paraId="6DE52B54">
      <w:pPr>
        <w:spacing w:before="209" w:line="314" w:lineRule="auto"/>
        <w:ind w:left="10" w:right="162" w:firstLine="625"/>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71"/>
          <w:sz w:val="31"/>
          <w:szCs w:val="31"/>
        </w:rPr>
        <w:t xml:space="preserve"> </w:t>
      </w:r>
      <w:r>
        <w:rPr>
          <w:rFonts w:ascii="仿宋" w:hAnsi="仿宋" w:eastAsia="仿宋" w:cs="仿宋"/>
          <w:spacing w:val="10"/>
          <w:sz w:val="31"/>
          <w:szCs w:val="31"/>
        </w:rPr>
        <w:t>十一）卫生健康支出（类）行政事业单位医疗（款）事</w:t>
      </w:r>
      <w:r>
        <w:rPr>
          <w:rFonts w:ascii="仿宋" w:hAnsi="仿宋" w:eastAsia="仿宋" w:cs="仿宋"/>
          <w:spacing w:val="8"/>
          <w:sz w:val="31"/>
          <w:szCs w:val="31"/>
        </w:rPr>
        <w:t>业单位医疗(项</w:t>
      </w:r>
      <w:r>
        <w:rPr>
          <w:rFonts w:ascii="仿宋" w:hAnsi="仿宋" w:eastAsia="仿宋" w:cs="仿宋"/>
          <w:spacing w:val="-12"/>
          <w:sz w:val="31"/>
          <w:szCs w:val="31"/>
        </w:rPr>
        <w:t>）：</w:t>
      </w:r>
      <w:r>
        <w:rPr>
          <w:rFonts w:ascii="仿宋" w:hAnsi="仿宋" w:eastAsia="仿宋" w:cs="仿宋"/>
          <w:spacing w:val="8"/>
          <w:sz w:val="31"/>
          <w:szCs w:val="31"/>
        </w:rPr>
        <w:t>反映财政部门安排的事业单位基本医疗保险</w:t>
      </w:r>
      <w:r>
        <w:rPr>
          <w:rFonts w:ascii="仿宋" w:hAnsi="仿宋" w:eastAsia="仿宋" w:cs="仿宋"/>
          <w:spacing w:val="12"/>
          <w:sz w:val="31"/>
          <w:szCs w:val="31"/>
        </w:rPr>
        <w:t>缴费经费，未参加医疗保险的事业单位的公费医疗经费，按国</w:t>
      </w:r>
      <w:r>
        <w:rPr>
          <w:rFonts w:ascii="仿宋" w:hAnsi="仿宋" w:eastAsia="仿宋" w:cs="仿宋"/>
          <w:spacing w:val="8"/>
          <w:sz w:val="31"/>
          <w:szCs w:val="31"/>
        </w:rPr>
        <w:t>家规定享受离休人员待遇的医疗经费。</w:t>
      </w:r>
    </w:p>
    <w:p w14:paraId="4F990A80">
      <w:pPr>
        <w:spacing w:before="227" w:line="312" w:lineRule="auto"/>
        <w:ind w:left="16" w:right="253" w:firstLine="619"/>
        <w:rPr>
          <w:rFonts w:ascii="仿宋" w:hAnsi="仿宋" w:eastAsia="仿宋" w:cs="仿宋"/>
          <w:sz w:val="31"/>
          <w:szCs w:val="31"/>
        </w:rPr>
      </w:pPr>
      <w:r>
        <w:rPr>
          <w:rFonts w:ascii="仿宋" w:hAnsi="仿宋" w:eastAsia="仿宋" w:cs="仿宋"/>
          <w:spacing w:val="9"/>
          <w:sz w:val="31"/>
          <w:szCs w:val="31"/>
        </w:rPr>
        <w:t>（十二）资源勘探工业信息等支出（类）其他资源勘探工</w:t>
      </w:r>
      <w:r>
        <w:rPr>
          <w:rFonts w:ascii="仿宋" w:hAnsi="仿宋" w:eastAsia="仿宋" w:cs="仿宋"/>
          <w:spacing w:val="8"/>
          <w:sz w:val="31"/>
          <w:szCs w:val="31"/>
        </w:rPr>
        <w:t>业信息等支出（款）其他资源勘探工业信息等支出（项</w:t>
      </w:r>
      <w:r>
        <w:rPr>
          <w:rFonts w:ascii="仿宋" w:hAnsi="仿宋" w:eastAsia="仿宋" w:cs="仿宋"/>
          <w:spacing w:val="21"/>
          <w:sz w:val="31"/>
          <w:szCs w:val="31"/>
        </w:rPr>
        <w:t>）：</w:t>
      </w:r>
      <w:r>
        <w:rPr>
          <w:rFonts w:ascii="仿宋" w:hAnsi="仿宋" w:eastAsia="仿宋" w:cs="仿宋"/>
          <w:spacing w:val="8"/>
          <w:sz w:val="31"/>
          <w:szCs w:val="31"/>
        </w:rPr>
        <w:t>反</w:t>
      </w:r>
      <w:r>
        <w:rPr>
          <w:rFonts w:ascii="仿宋" w:hAnsi="仿宋" w:eastAsia="仿宋" w:cs="仿宋"/>
          <w:spacing w:val="6"/>
          <w:sz w:val="31"/>
          <w:szCs w:val="31"/>
        </w:rPr>
        <w:t>映除黄金事务、技术改造支出、</w:t>
      </w:r>
      <w:r>
        <w:rPr>
          <w:rFonts w:ascii="仿宋" w:hAnsi="仿宋" w:eastAsia="仿宋" w:cs="仿宋"/>
          <w:spacing w:val="-75"/>
          <w:sz w:val="31"/>
          <w:szCs w:val="31"/>
        </w:rPr>
        <w:t xml:space="preserve"> </w:t>
      </w:r>
      <w:r>
        <w:rPr>
          <w:rFonts w:ascii="仿宋" w:hAnsi="仿宋" w:eastAsia="仿宋" w:cs="仿宋"/>
          <w:spacing w:val="6"/>
          <w:sz w:val="31"/>
          <w:szCs w:val="31"/>
        </w:rPr>
        <w:t>中药材扶持资金支出、重点产</w:t>
      </w:r>
      <w:r>
        <w:rPr>
          <w:rFonts w:ascii="仿宋" w:hAnsi="仿宋" w:eastAsia="仿宋" w:cs="仿宋"/>
          <w:spacing w:val="9"/>
          <w:sz w:val="31"/>
          <w:szCs w:val="31"/>
        </w:rPr>
        <w:t>业振兴和技术改造项目贷款贴息以外其他用于资源勘探工业信</w:t>
      </w:r>
      <w:r>
        <w:rPr>
          <w:rFonts w:ascii="仿宋" w:hAnsi="仿宋" w:eastAsia="仿宋" w:cs="仿宋"/>
          <w:spacing w:val="4"/>
          <w:sz w:val="31"/>
          <w:szCs w:val="31"/>
        </w:rPr>
        <w:t>息等方面的支出。</w:t>
      </w:r>
    </w:p>
    <w:p w14:paraId="427A80E3">
      <w:pPr>
        <w:spacing w:line="357" w:lineRule="auto"/>
        <w:ind w:left="3" w:right="250" w:firstLine="634"/>
        <w:jc w:val="both"/>
        <w:rPr>
          <w:rFonts w:ascii="仿宋" w:hAnsi="仿宋" w:eastAsia="仿宋" w:cs="仿宋"/>
          <w:sz w:val="31"/>
          <w:szCs w:val="31"/>
        </w:rPr>
      </w:pPr>
      <w:r>
        <w:rPr>
          <w:rFonts w:ascii="仿宋" w:hAnsi="仿宋" w:eastAsia="仿宋" w:cs="仿宋"/>
          <w:spacing w:val="9"/>
          <w:sz w:val="31"/>
          <w:szCs w:val="31"/>
        </w:rPr>
        <w:t>（十三）住房保障支出（类）住房改革支出（款）购房补贴（项</w:t>
      </w:r>
      <w:r>
        <w:rPr>
          <w:rFonts w:ascii="仿宋" w:hAnsi="仿宋" w:eastAsia="仿宋" w:cs="仿宋"/>
          <w:spacing w:val="17"/>
          <w:sz w:val="31"/>
          <w:szCs w:val="31"/>
        </w:rPr>
        <w:t>）：</w:t>
      </w:r>
      <w:r>
        <w:rPr>
          <w:rFonts w:ascii="仿宋" w:hAnsi="仿宋" w:eastAsia="仿宋" w:cs="仿宋"/>
          <w:spacing w:val="9"/>
          <w:sz w:val="31"/>
          <w:szCs w:val="31"/>
        </w:rPr>
        <w:t>反映按房改政策规定，行政事业单位向符合</w:t>
      </w:r>
      <w:r>
        <w:rPr>
          <w:rFonts w:ascii="仿宋" w:hAnsi="仿宋" w:eastAsia="仿宋" w:cs="仿宋"/>
          <w:spacing w:val="8"/>
          <w:sz w:val="31"/>
          <w:szCs w:val="31"/>
        </w:rPr>
        <w:t>条件职</w:t>
      </w:r>
      <w:r>
        <w:rPr>
          <w:rFonts w:ascii="仿宋" w:hAnsi="仿宋" w:eastAsia="仿宋" w:cs="仿宋"/>
          <w:spacing w:val="7"/>
          <w:sz w:val="31"/>
          <w:szCs w:val="31"/>
        </w:rPr>
        <w:t>工（含离退休人员）、军队（含武警）</w:t>
      </w:r>
      <w:r>
        <w:rPr>
          <w:rFonts w:ascii="仿宋" w:hAnsi="仿宋" w:eastAsia="仿宋" w:cs="仿宋"/>
          <w:spacing w:val="-87"/>
          <w:sz w:val="31"/>
          <w:szCs w:val="31"/>
        </w:rPr>
        <w:t xml:space="preserve"> </w:t>
      </w:r>
      <w:r>
        <w:rPr>
          <w:rFonts w:ascii="仿宋" w:hAnsi="仿宋" w:eastAsia="仿宋" w:cs="仿宋"/>
          <w:spacing w:val="7"/>
          <w:sz w:val="31"/>
          <w:szCs w:val="31"/>
        </w:rPr>
        <w:t>向转役复员离退休人员</w:t>
      </w:r>
      <w:r>
        <w:rPr>
          <w:rFonts w:ascii="仿宋" w:hAnsi="仿宋" w:eastAsia="仿宋" w:cs="仿宋"/>
          <w:spacing w:val="8"/>
          <w:sz w:val="31"/>
          <w:szCs w:val="31"/>
        </w:rPr>
        <w:t>发放的用于购买住房的补贴。</w:t>
      </w:r>
    </w:p>
    <w:p w14:paraId="68C57F04">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5162A907">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75E0E079">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B4583">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E433A4"/>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30518A8"/>
    <w:rsid w:val="235A54DC"/>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A64933"/>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6F543C2"/>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7405D0"/>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D97AA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60010F"/>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032DA"/>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2785</Words>
  <Characters>3799</Characters>
  <Lines>47</Lines>
  <Paragraphs>13</Paragraphs>
  <TotalTime>0</TotalTime>
  <ScaleCrop>false</ScaleCrop>
  <LinksUpToDate>false</LinksUpToDate>
  <CharactersWithSpaces>3904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For丨丶Tomorrow</cp:lastModifiedBy>
  <dcterms:modified xsi:type="dcterms:W3CDTF">2026-03-04T02:40:56Z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2052-12.1.0.24657</vt:lpwstr>
  </property>
  <property fmtid="{D5CDD505-2E9C-101B-9397-08002B2CF9AE}" pid="4" name="KSOTemplateDocerSaveRecord">
    <vt:lpwstr>eyJoZGlkIjoiM2MyZmZmOTZjMTUwNjUyNmQwNjEzZjI1MDJiNDRiNmMiLCJ1c2VySWQiOiIzOTU0NjE4MDMifQ==</vt:lpwstr>
  </property>
</Properties>
</file>