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C972E">
      <w:pPr>
        <w:pStyle w:val="16"/>
        <w:rPr>
          <w:rFonts w:hint="default" w:ascii="黑体" w:hAnsi="黑体" w:eastAsia="黑体"/>
          <w:sz w:val="32"/>
          <w:szCs w:val="32"/>
        </w:rPr>
      </w:pPr>
      <w:r>
        <w:rPr>
          <w:rFonts w:ascii="黑体" w:hAnsi="黑体" w:eastAsia="黑体"/>
          <w:sz w:val="32"/>
          <w:szCs w:val="32"/>
        </w:rPr>
        <w:t>景德镇市珠山区人民政府2026年部门预算</w:t>
      </w:r>
    </w:p>
    <w:p w14:paraId="08211608">
      <w:pPr>
        <w:pStyle w:val="13"/>
        <w:spacing w:line="600" w:lineRule="atLeast"/>
        <w:jc w:val="center"/>
        <w:rPr>
          <w:rFonts w:ascii="黑体" w:hAnsi="黑体" w:eastAsia="黑体"/>
          <w:color w:val="000000"/>
          <w:sz w:val="32"/>
          <w:szCs w:val="32"/>
        </w:rPr>
      </w:pPr>
    </w:p>
    <w:p w14:paraId="051A7941">
      <w:pPr>
        <w:pStyle w:val="13"/>
        <w:spacing w:line="600" w:lineRule="atLeast"/>
        <w:jc w:val="center"/>
        <w:rPr>
          <w:rFonts w:ascii="仿宋" w:hAnsi="仿宋" w:eastAsia="仿宋"/>
          <w:color w:val="000000"/>
          <w:sz w:val="28"/>
          <w:szCs w:val="28"/>
        </w:rPr>
      </w:pPr>
      <w:r>
        <w:rPr>
          <w:rFonts w:hint="eastAsia" w:ascii="仿宋" w:hAnsi="仿宋" w:eastAsia="仿宋"/>
          <w:color w:val="000000"/>
          <w:sz w:val="28"/>
          <w:szCs w:val="28"/>
        </w:rPr>
        <w:t>目    录</w:t>
      </w:r>
    </w:p>
    <w:p w14:paraId="2E92C10E">
      <w:pPr>
        <w:pStyle w:val="13"/>
        <w:spacing w:line="440" w:lineRule="exact"/>
        <w:rPr>
          <w:rFonts w:ascii="仿宋" w:hAnsi="仿宋" w:eastAsia="仿宋"/>
          <w:color w:val="000000"/>
          <w:sz w:val="28"/>
          <w:szCs w:val="28"/>
        </w:rPr>
      </w:pPr>
    </w:p>
    <w:p w14:paraId="1FC7A8B1">
      <w:pPr>
        <w:pStyle w:val="17"/>
        <w:numPr>
          <w:ilvl w:val="0"/>
          <w:numId w:val="0"/>
        </w:numPr>
        <w:spacing w:line="440" w:lineRule="exact"/>
        <w:ind w:left="420" w:leftChars="200"/>
        <w:jc w:val="left"/>
        <w:rPr>
          <w:rFonts w:ascii="仿宋" w:hAnsi="仿宋" w:eastAsia="仿宋"/>
          <w:b/>
          <w:sz w:val="28"/>
          <w:szCs w:val="28"/>
        </w:rPr>
      </w:pPr>
      <w:r>
        <w:rPr>
          <w:rFonts w:hint="eastAsia" w:ascii="仿宋" w:hAnsi="仿宋" w:eastAsia="仿宋"/>
          <w:b/>
          <w:sz w:val="28"/>
          <w:szCs w:val="28"/>
        </w:rPr>
        <w:t>第一部分  景德镇市珠山区人民政府概况</w:t>
      </w:r>
    </w:p>
    <w:p w14:paraId="4C41F086">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一、部门主要职责</w:t>
      </w:r>
    </w:p>
    <w:p w14:paraId="6AD6247D">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二、机构设置及人员情况</w:t>
      </w:r>
    </w:p>
    <w:p w14:paraId="23392F2B">
      <w:pPr>
        <w:pStyle w:val="17"/>
        <w:numPr>
          <w:ilvl w:val="0"/>
          <w:numId w:val="0"/>
        </w:numPr>
        <w:spacing w:line="440" w:lineRule="exact"/>
        <w:ind w:left="420" w:leftChars="200"/>
        <w:jc w:val="left"/>
        <w:rPr>
          <w:rFonts w:ascii="仿宋" w:hAnsi="仿宋" w:eastAsia="仿宋"/>
          <w:b/>
          <w:sz w:val="28"/>
          <w:szCs w:val="28"/>
        </w:rPr>
      </w:pPr>
      <w:r>
        <w:rPr>
          <w:rFonts w:hint="eastAsia" w:ascii="仿宋" w:hAnsi="仿宋" w:eastAsia="仿宋"/>
          <w:b/>
          <w:sz w:val="28"/>
          <w:szCs w:val="28"/>
        </w:rPr>
        <w:t>第二部分  景德镇市珠山区人民政府2026年部门预算表</w:t>
      </w:r>
    </w:p>
    <w:p w14:paraId="49E4120E">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一、《收支预算总表》</w:t>
      </w:r>
    </w:p>
    <w:p w14:paraId="2F6584DA">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二、《部门收入总表》</w:t>
      </w:r>
    </w:p>
    <w:p w14:paraId="7A27F6B1">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三、《部门支出总表》</w:t>
      </w:r>
    </w:p>
    <w:p w14:paraId="6FF10EB7">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四、《财政拨款收支总表》</w:t>
      </w:r>
    </w:p>
    <w:p w14:paraId="4691CE3B">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五、《一般公共预算支出表》</w:t>
      </w:r>
    </w:p>
    <w:p w14:paraId="04B0F336">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六、《一般公共预算基本支出表》</w:t>
      </w:r>
    </w:p>
    <w:p w14:paraId="106AC538">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七、《财政拨款“三公”经费支出表》</w:t>
      </w:r>
    </w:p>
    <w:p w14:paraId="000BEFA5">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八、《政府性基金预算支出表》</w:t>
      </w:r>
    </w:p>
    <w:p w14:paraId="21BCDACB">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九、《国有资本经营预算支出表》</w:t>
      </w:r>
      <w:r>
        <w:rPr>
          <w:rFonts w:hint="eastAsia" w:ascii="仿宋" w:hAnsi="仿宋" w:eastAsia="仿宋" w:cs="仿宋_GB2312"/>
          <w:sz w:val="28"/>
          <w:szCs w:val="28"/>
        </w:rPr>
        <w:tab/>
      </w:r>
    </w:p>
    <w:p w14:paraId="1C17BFE6">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十、《部门整体绩效目标》</w:t>
      </w:r>
    </w:p>
    <w:p w14:paraId="3FB9AD37">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十一、《项目绩效目标表》</w:t>
      </w:r>
    </w:p>
    <w:p w14:paraId="7E14C6D8">
      <w:pPr>
        <w:pStyle w:val="17"/>
        <w:numPr>
          <w:ilvl w:val="0"/>
          <w:numId w:val="0"/>
        </w:numPr>
        <w:spacing w:line="440" w:lineRule="exact"/>
        <w:ind w:left="420" w:leftChars="200"/>
        <w:jc w:val="left"/>
        <w:rPr>
          <w:rFonts w:ascii="仿宋" w:hAnsi="仿宋" w:eastAsia="仿宋"/>
          <w:b/>
          <w:sz w:val="28"/>
          <w:szCs w:val="28"/>
        </w:rPr>
      </w:pPr>
      <w:r>
        <w:rPr>
          <w:rFonts w:hint="eastAsia" w:ascii="仿宋" w:hAnsi="仿宋" w:eastAsia="仿宋"/>
          <w:b/>
          <w:sz w:val="28"/>
          <w:szCs w:val="28"/>
        </w:rPr>
        <w:t>第三部分 景德镇市珠山区人民政府 2026年部门预算情况说明</w:t>
      </w:r>
    </w:p>
    <w:p w14:paraId="264F040C">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一、2026年部门预算收支情况说明</w:t>
      </w:r>
    </w:p>
    <w:p w14:paraId="241F310F">
      <w:pPr>
        <w:pStyle w:val="18"/>
        <w:spacing w:line="440" w:lineRule="exact"/>
        <w:ind w:firstLine="560"/>
        <w:rPr>
          <w:rFonts w:ascii="仿宋" w:hAnsi="仿宋" w:eastAsia="仿宋" w:cs="仿宋_GB2312"/>
          <w:sz w:val="28"/>
          <w:szCs w:val="28"/>
        </w:rPr>
      </w:pPr>
      <w:r>
        <w:rPr>
          <w:rFonts w:hint="eastAsia" w:ascii="仿宋" w:hAnsi="仿宋" w:eastAsia="仿宋" w:cs="仿宋_GB2312"/>
          <w:sz w:val="28"/>
          <w:szCs w:val="28"/>
        </w:rPr>
        <w:t>二、2026年财政拨款“三公”经费预算情况说明</w:t>
      </w:r>
    </w:p>
    <w:p w14:paraId="0BB4FBA7">
      <w:pPr>
        <w:pStyle w:val="13"/>
        <w:tabs>
          <w:tab w:val="left" w:pos="6546"/>
        </w:tabs>
        <w:spacing w:line="440" w:lineRule="exact"/>
        <w:ind w:firstLine="1280"/>
        <w:jc w:val="left"/>
        <w:rPr>
          <w:rFonts w:ascii="仿宋" w:hAnsi="仿宋" w:eastAsia="仿宋" w:cstheme="minorBidi"/>
          <w:kern w:val="2"/>
          <w:sz w:val="28"/>
          <w:szCs w:val="28"/>
        </w:rPr>
      </w:pPr>
    </w:p>
    <w:p w14:paraId="66C85588">
      <w:pPr>
        <w:pStyle w:val="17"/>
        <w:numPr>
          <w:ilvl w:val="0"/>
          <w:numId w:val="0"/>
        </w:numPr>
        <w:spacing w:line="440" w:lineRule="exact"/>
        <w:ind w:left="420" w:leftChars="200"/>
        <w:jc w:val="left"/>
        <w:rPr>
          <w:rFonts w:ascii="仿宋" w:hAnsi="仿宋" w:eastAsia="仿宋"/>
          <w:b/>
          <w:sz w:val="28"/>
          <w:szCs w:val="28"/>
        </w:rPr>
      </w:pPr>
      <w:r>
        <w:rPr>
          <w:rFonts w:hint="eastAsia" w:ascii="仿宋" w:hAnsi="仿宋" w:eastAsia="仿宋"/>
          <w:b/>
          <w:sz w:val="28"/>
          <w:szCs w:val="28"/>
        </w:rPr>
        <w:t>第四部分  名词解释</w:t>
      </w:r>
    </w:p>
    <w:p w14:paraId="15A67510">
      <w:pPr>
        <w:widowControl/>
        <w:spacing w:line="440" w:lineRule="exact"/>
        <w:jc w:val="center"/>
        <w:rPr>
          <w:rFonts w:ascii="仿宋_GB2312" w:eastAsia="仿宋_GB2312"/>
          <w:b/>
          <w:sz w:val="32"/>
          <w:szCs w:val="30"/>
        </w:rPr>
      </w:pPr>
    </w:p>
    <w:p w14:paraId="64942B03">
      <w:pPr>
        <w:widowControl/>
        <w:spacing w:line="580" w:lineRule="exact"/>
        <w:jc w:val="center"/>
        <w:rPr>
          <w:rFonts w:ascii="仿宋_GB2312" w:eastAsia="仿宋_GB2312"/>
          <w:b/>
          <w:sz w:val="32"/>
          <w:szCs w:val="30"/>
        </w:rPr>
      </w:pPr>
    </w:p>
    <w:p w14:paraId="4B588670">
      <w:pPr>
        <w:widowControl/>
        <w:spacing w:line="580" w:lineRule="exact"/>
        <w:jc w:val="center"/>
        <w:rPr>
          <w:rFonts w:ascii="仿宋_GB2312" w:eastAsia="仿宋_GB2312"/>
          <w:b/>
          <w:sz w:val="32"/>
          <w:szCs w:val="30"/>
        </w:rPr>
      </w:pPr>
    </w:p>
    <w:p w14:paraId="30D1D316">
      <w:pPr>
        <w:pStyle w:val="17"/>
        <w:numPr>
          <w:ilvl w:val="0"/>
          <w:numId w:val="0"/>
        </w:numPr>
        <w:ind w:left="420" w:leftChars="200"/>
        <w:jc w:val="center"/>
        <w:rPr>
          <w:rFonts w:ascii="仿宋" w:hAnsi="仿宋" w:eastAsia="仿宋"/>
          <w:b/>
        </w:rPr>
      </w:pPr>
      <w:r>
        <w:rPr>
          <w:rFonts w:hint="eastAsia" w:ascii="仿宋" w:hAnsi="仿宋" w:eastAsia="仿宋"/>
          <w:b/>
        </w:rPr>
        <w:t>第一部分  景德镇市珠山区人民政府办公室概况</w:t>
      </w:r>
    </w:p>
    <w:p w14:paraId="403A53DE">
      <w:pPr>
        <w:widowControl/>
        <w:spacing w:line="580" w:lineRule="exact"/>
        <w:jc w:val="left"/>
        <w:rPr>
          <w:rFonts w:asciiTheme="minorEastAsia" w:hAnsiTheme="minorEastAsia"/>
          <w:b/>
          <w:sz w:val="36"/>
          <w:szCs w:val="36"/>
        </w:rPr>
      </w:pPr>
    </w:p>
    <w:p w14:paraId="78BB1B7E">
      <w:pPr>
        <w:pStyle w:val="17"/>
        <w:numPr>
          <w:ilvl w:val="0"/>
          <w:numId w:val="3"/>
        </w:numPr>
        <w:ind w:firstLineChars="0"/>
      </w:pPr>
      <w:r>
        <w:rPr>
          <w:rFonts w:hint="eastAsia" w:ascii="仿宋" w:hAnsi="仿宋" w:eastAsia="仿宋"/>
          <w:b/>
          <w:sz w:val="28"/>
          <w:szCs w:val="28"/>
        </w:rPr>
        <w:t>部门主要职责</w:t>
      </w:r>
    </w:p>
    <w:p w14:paraId="0780B22C">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第一条 根据《中共景德镇市委办公室、景德镇市人民政府办公室关于印发《景德镇市珠山区机构改革方案的通知》（景办字[2019]5号）和《中共珠山区委办公室、珠山区人民政府办公室关于印发《景德镇市珠山区机构改革方案》的通知》（珠府办发[2019]2号）精神、制定本规定。</w:t>
      </w:r>
    </w:p>
    <w:p w14:paraId="192FA54B">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第二条 区政府办公室为区政府工作部门，正科级。加挂区人民防空办公室、区政府金融工作办公室、区政务服务管理办公室、区政府外事办公室牌子。</w:t>
      </w:r>
    </w:p>
    <w:p w14:paraId="7D580056">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第三条 区政府办公室贯彻落实党中央和省委、市委、区委关于政府办公室工作的方针政策和决策部署，在履行职责过程中坚持和加强党对政府办公室工作的集中统一领导。主要职责是：</w:t>
      </w:r>
    </w:p>
    <w:p w14:paraId="65AE7B04">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协助区政府领导检查督促竟成镇人民政府、各街道办事处和区政府各部门贯彻国家和国务院、省政府、市政府、区政府各项法律、法规、规章、政策及工作部署、区政府会议决定事项及区政府领导重要批示的执行情况，及时反馈信息，提出建议。</w:t>
      </w:r>
    </w:p>
    <w:p w14:paraId="7AA5888F">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（2）围绕区政府各个时期的中心任务和工作重点，组织和参与调查研究、综合分析，主持拟订有关政策措施，报区政府领导审批。</w:t>
      </w:r>
    </w:p>
    <w:p w14:paraId="2BE98D1C">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（3）受区政府领导的委托或交办，协调政府各部门之间、部门与街道之间、各街道之间的工作。</w:t>
      </w:r>
    </w:p>
    <w:p w14:paraId="35A4D49E">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（4）办理区政府的往来文电，承担或参与起草区政府的重要文件和区政府领导的重要讲话、报告。</w:t>
      </w:r>
    </w:p>
    <w:p w14:paraId="4635D662">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（5）负责区政府各种会议的会务工作；负责区政府全体会议、区政府常务会议、区长办公会议和区政府专题会议等安排、记录、纪要整理、决议决定事项的催办落实工作；负责区政府重大活动的组织安排。</w:t>
      </w:r>
    </w:p>
    <w:p w14:paraId="2DA80904">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（6）代表区政府发布重要的政务活动新闻；了解区内外经济和社会动态，收集、整理、编发各类重要信息，负责指导全区政务信息工作及政府系统的办公自动化建设。</w:t>
      </w:r>
    </w:p>
    <w:p w14:paraId="209E12BE">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（7）办理人大代表议案、建议和政协委员提案；指导全区政府系统办理人大代表议案、建议和政协委员提案的工作；负责处理人民群众来信来访中的有关问题。</w:t>
      </w:r>
    </w:p>
    <w:p w14:paraId="1C1A1018">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（8）负责联系、安排区级有关领导参加的重要内外事活动及重要宾客的接待。</w:t>
      </w:r>
    </w:p>
    <w:p w14:paraId="1C8621F2">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（9）负责政务公开工作，负责区政府日常文书的处理，负责区政府的值班工作。</w:t>
      </w:r>
    </w:p>
    <w:p w14:paraId="42FEFD8B">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（10）指导竟成镇人民政府、各街道办事处和区政府所属各部门办公室的工作。</w:t>
      </w:r>
    </w:p>
    <w:p w14:paraId="1045D59F">
      <w:pPr>
        <w:pStyle w:val="18"/>
        <w:ind w:firstLine="560"/>
        <w:rPr>
          <w:rFonts w:ascii="仿宋" w:hAnsi="仿宋" w:eastAsia="仿宋" w:cs="仿宋_GB2312"/>
          <w:sz w:val="28"/>
          <w:szCs w:val="28"/>
        </w:rPr>
      </w:pPr>
      <w:r>
        <w:rPr>
          <w:rFonts w:hint="eastAsia" w:ascii="仿宋" w:hAnsi="仿宋" w:eastAsia="仿宋" w:cs="仿宋_GB2312"/>
          <w:sz w:val="28"/>
          <w:szCs w:val="28"/>
        </w:rPr>
        <w:t>（11）办理区政府交办的其他事项。</w:t>
      </w:r>
    </w:p>
    <w:p w14:paraId="0E056B24">
      <w:pPr>
        <w:pStyle w:val="17"/>
        <w:numPr>
          <w:ilvl w:val="0"/>
          <w:numId w:val="0"/>
        </w:numPr>
        <w:ind w:left="420" w:leftChars="200" w:firstLine="281" w:firstLineChars="100"/>
        <w:rPr>
          <w:rFonts w:ascii="仿宋" w:hAnsi="仿宋" w:eastAsia="仿宋"/>
          <w:b/>
          <w:sz w:val="28"/>
          <w:szCs w:val="28"/>
        </w:rPr>
      </w:pPr>
      <w:r>
        <w:rPr>
          <w:rFonts w:hint="eastAsia" w:ascii="仿宋" w:hAnsi="仿宋" w:eastAsia="仿宋"/>
          <w:b/>
          <w:sz w:val="28"/>
          <w:szCs w:val="28"/>
        </w:rPr>
        <w:t>二、机构设置及人员情况</w:t>
      </w:r>
    </w:p>
    <w:p w14:paraId="1A28AA2D">
      <w:pPr>
        <w:pStyle w:val="18"/>
        <w:ind w:firstLine="560"/>
        <w:rPr>
          <w:rFonts w:ascii="仿宋" w:hAnsi="仿宋" w:eastAsia="仿宋" w:cs="仿宋_GB2312"/>
          <w:sz w:val="28"/>
          <w:szCs w:val="28"/>
        </w:rPr>
      </w:pPr>
      <w:r>
        <w:rPr>
          <w:rFonts w:hint="eastAsia" w:ascii="仿宋" w:hAnsi="仿宋" w:eastAsia="仿宋" w:cs="仿宋_GB2312"/>
          <w:sz w:val="28"/>
          <w:szCs w:val="28"/>
        </w:rPr>
        <w:t>景德镇市珠山区人民政府办公室共有预算单位1个，包括景德镇市珠山区人民政府办公室。</w:t>
      </w:r>
    </w:p>
    <w:p w14:paraId="18326EC2">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部门编制数为16人，其中：行政编制16人、公务员编制14人、行政工勤编制2人。实有人数36人，其中：在职19人，包括公务员编制16人，行政工勤编制2人，事业编制1人，遗属补助人员1人，退休人员16人。</w:t>
      </w:r>
    </w:p>
    <w:p w14:paraId="6882AAA4">
      <w:pPr>
        <w:pStyle w:val="18"/>
        <w:ind w:firstLine="640"/>
        <w:rPr>
          <w:rFonts w:cs="仿宋_GB2312"/>
        </w:rPr>
      </w:pPr>
    </w:p>
    <w:tbl>
      <w:tblPr>
        <w:tblStyle w:val="6"/>
        <w:tblW w:w="5000" w:type="pct"/>
        <w:jc w:val="center"/>
        <w:tblLayout w:type="fixed"/>
        <w:tblCellMar>
          <w:top w:w="0" w:type="dxa"/>
          <w:left w:w="108" w:type="dxa"/>
          <w:bottom w:w="0" w:type="dxa"/>
          <w:right w:w="108" w:type="dxa"/>
        </w:tblCellMar>
      </w:tblPr>
      <w:tblGrid>
        <w:gridCol w:w="2615"/>
        <w:gridCol w:w="1884"/>
        <w:gridCol w:w="2962"/>
        <w:gridCol w:w="1487"/>
      </w:tblGrid>
      <w:tr w14:paraId="742B793E">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F666CE2">
            <w:pPr>
              <w:pStyle w:val="17"/>
              <w:numPr>
                <w:ilvl w:val="0"/>
                <w:numId w:val="0"/>
              </w:numPr>
              <w:ind w:left="420" w:leftChars="200"/>
              <w:jc w:val="center"/>
              <w:rPr>
                <w:rFonts w:ascii="仿宋" w:hAnsi="仿宋" w:eastAsia="仿宋"/>
                <w:b/>
              </w:rPr>
            </w:pPr>
            <w:r>
              <w:rPr>
                <w:rFonts w:hint="eastAsia" w:ascii="仿宋" w:hAnsi="仿宋" w:eastAsia="仿宋"/>
                <w:b/>
              </w:rPr>
              <w:t>第二部分  景德镇市珠山区人民政府2026年部门预算表</w:t>
            </w:r>
          </w:p>
          <w:p w14:paraId="5EC30BA6">
            <w:pPr>
              <w:pStyle w:val="17"/>
              <w:numPr>
                <w:ilvl w:val="0"/>
                <w:numId w:val="0"/>
              </w:numPr>
              <w:ind w:left="420" w:leftChars="200"/>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t>收支预算总表</w:t>
            </w:r>
          </w:p>
        </w:tc>
      </w:tr>
      <w:tr w14:paraId="1E3756A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8E8DDBA">
            <w:pPr>
              <w:widowControl/>
              <w:snapToGrid w:val="0"/>
              <w:jc w:val="lef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填报单位:103景德镇市珠山区人民政府</w:t>
            </w:r>
          </w:p>
        </w:tc>
        <w:tc>
          <w:tcPr>
            <w:tcW w:w="1655" w:type="pct"/>
            <w:noWrap/>
            <w:vAlign w:val="bottom"/>
          </w:tcPr>
          <w:p w14:paraId="7F93FD94">
            <w:pPr>
              <w:widowControl/>
              <w:snapToGrid w:val="0"/>
              <w:jc w:val="left"/>
              <w:textAlignment w:val="center"/>
              <w:rPr>
                <w:rFonts w:asciiTheme="minorEastAsia" w:hAnsiTheme="minorEastAsia" w:cstheme="minorEastAsia"/>
                <w:color w:val="000000"/>
                <w:kern w:val="0"/>
                <w:sz w:val="18"/>
                <w:szCs w:val="18"/>
              </w:rPr>
            </w:pPr>
          </w:p>
        </w:tc>
        <w:tc>
          <w:tcPr>
            <w:tcW w:w="829" w:type="pct"/>
            <w:noWrap/>
            <w:vAlign w:val="center"/>
          </w:tcPr>
          <w:p w14:paraId="71AE8096">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单位：万元</w:t>
            </w:r>
          </w:p>
        </w:tc>
      </w:tr>
      <w:tr w14:paraId="196347B8">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DC289A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582910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       出</w:t>
            </w:r>
          </w:p>
        </w:tc>
      </w:tr>
      <w:tr w14:paraId="202916B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BDD9FC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1053" w:type="pct"/>
            <w:tcBorders>
              <w:top w:val="nil"/>
              <w:left w:val="nil"/>
              <w:bottom w:val="nil"/>
              <w:right w:val="single" w:color="000000" w:sz="4" w:space="0"/>
            </w:tcBorders>
            <w:noWrap/>
            <w:vAlign w:val="center"/>
          </w:tcPr>
          <w:p w14:paraId="251B02C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1655" w:type="pct"/>
            <w:tcBorders>
              <w:top w:val="nil"/>
              <w:left w:val="nil"/>
              <w:bottom w:val="single" w:color="000000" w:sz="4" w:space="0"/>
              <w:right w:val="single" w:color="000000" w:sz="4" w:space="0"/>
            </w:tcBorders>
            <w:noWrap/>
            <w:vAlign w:val="center"/>
          </w:tcPr>
          <w:p w14:paraId="42E5412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829" w:type="pct"/>
            <w:tcBorders>
              <w:top w:val="nil"/>
              <w:left w:val="nil"/>
              <w:bottom w:val="single" w:color="000000" w:sz="4" w:space="0"/>
              <w:right w:val="single" w:color="000000" w:sz="4" w:space="0"/>
            </w:tcBorders>
            <w:noWrap/>
            <w:vAlign w:val="center"/>
          </w:tcPr>
          <w:p w14:paraId="30B44CB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r>
      <w:tr w14:paraId="21D43C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70110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973FAE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1655" w:type="pct"/>
            <w:tcBorders>
              <w:top w:val="nil"/>
              <w:left w:val="nil"/>
              <w:bottom w:val="single" w:color="000000" w:sz="4" w:space="0"/>
              <w:right w:val="single" w:color="000000" w:sz="4" w:space="0"/>
            </w:tcBorders>
            <w:noWrap/>
            <w:vAlign w:val="center"/>
          </w:tcPr>
          <w:p w14:paraId="1A98AED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829" w:type="pct"/>
            <w:tcBorders>
              <w:top w:val="nil"/>
              <w:left w:val="nil"/>
              <w:bottom w:val="single" w:color="000000" w:sz="4" w:space="0"/>
              <w:right w:val="single" w:color="000000" w:sz="4" w:space="0"/>
            </w:tcBorders>
            <w:noWrap/>
            <w:vAlign w:val="center"/>
          </w:tcPr>
          <w:p w14:paraId="6B5DC801">
            <w:pPr>
              <w:widowControl/>
              <w:snapToGrid w:val="0"/>
              <w:jc w:val="center"/>
              <w:textAlignment w:val="center"/>
              <w:rPr>
                <w:rFonts w:asciiTheme="minorEastAsia" w:hAnsiTheme="minorEastAsia" w:cstheme="minorEastAsia"/>
                <w:color w:val="000000"/>
                <w:kern w:val="0"/>
                <w:szCs w:val="21"/>
              </w:rPr>
            </w:pPr>
            <w:r>
              <w:t>628.05</w:t>
            </w:r>
          </w:p>
        </w:tc>
      </w:tr>
      <w:tr w14:paraId="51EE1A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BAA43B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（一）一般公共预算收入</w:t>
            </w:r>
          </w:p>
        </w:tc>
        <w:tc>
          <w:tcPr>
            <w:tcW w:w="1053" w:type="pct"/>
            <w:tcBorders>
              <w:top w:val="nil"/>
              <w:left w:val="nil"/>
              <w:bottom w:val="single" w:color="000000" w:sz="4" w:space="0"/>
              <w:right w:val="single" w:color="000000" w:sz="4" w:space="0"/>
            </w:tcBorders>
            <w:vAlign w:val="center"/>
          </w:tcPr>
          <w:p w14:paraId="17985AF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1655" w:type="pct"/>
            <w:tcBorders>
              <w:top w:val="nil"/>
              <w:left w:val="nil"/>
              <w:bottom w:val="single" w:color="000000" w:sz="4" w:space="0"/>
              <w:right w:val="single" w:color="000000" w:sz="4" w:space="0"/>
            </w:tcBorders>
            <w:noWrap/>
            <w:vAlign w:val="center"/>
          </w:tcPr>
          <w:p w14:paraId="5AF1B983">
            <w:pPr>
              <w:widowControl/>
              <w:snapToGrid w:val="0"/>
              <w:jc w:val="center"/>
              <w:textAlignment w:val="center"/>
              <w:rPr>
                <w:rFonts w:asciiTheme="minorEastAsia" w:hAnsiTheme="minorEastAsia" w:cstheme="minorEastAsia"/>
                <w:color w:val="000000"/>
                <w:kern w:val="0"/>
                <w:szCs w:val="21"/>
              </w:rPr>
            </w:pPr>
            <w:r>
              <w:t>社会保障和就业支出</w:t>
            </w:r>
          </w:p>
        </w:tc>
        <w:tc>
          <w:tcPr>
            <w:tcW w:w="829" w:type="pct"/>
            <w:tcBorders>
              <w:top w:val="nil"/>
              <w:left w:val="nil"/>
              <w:bottom w:val="single" w:color="000000" w:sz="4" w:space="0"/>
              <w:right w:val="single" w:color="000000" w:sz="4" w:space="0"/>
            </w:tcBorders>
            <w:noWrap/>
            <w:vAlign w:val="center"/>
          </w:tcPr>
          <w:p w14:paraId="6C598D6F">
            <w:pPr>
              <w:widowControl/>
              <w:snapToGrid w:val="0"/>
              <w:jc w:val="center"/>
              <w:textAlignment w:val="center"/>
              <w:rPr>
                <w:rFonts w:asciiTheme="minorEastAsia" w:hAnsiTheme="minorEastAsia" w:cstheme="minorEastAsia"/>
                <w:color w:val="000000"/>
                <w:kern w:val="0"/>
                <w:szCs w:val="21"/>
              </w:rPr>
            </w:pPr>
            <w:r>
              <w:t>35.07</w:t>
            </w:r>
          </w:p>
        </w:tc>
      </w:tr>
      <w:tr w14:paraId="2A7D4D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7FA21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（二）政府性基金预算收入</w:t>
            </w:r>
          </w:p>
        </w:tc>
        <w:tc>
          <w:tcPr>
            <w:tcW w:w="1053" w:type="pct"/>
            <w:tcBorders>
              <w:top w:val="nil"/>
              <w:left w:val="nil"/>
              <w:bottom w:val="single" w:color="000000" w:sz="4" w:space="0"/>
              <w:right w:val="single" w:color="000000" w:sz="4" w:space="0"/>
            </w:tcBorders>
            <w:noWrap/>
            <w:vAlign w:val="center"/>
          </w:tcPr>
          <w:p w14:paraId="3E1DF12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17929200">
            <w:pPr>
              <w:widowControl/>
              <w:snapToGrid w:val="0"/>
              <w:jc w:val="center"/>
              <w:textAlignment w:val="center"/>
              <w:rPr>
                <w:rFonts w:asciiTheme="minorEastAsia" w:hAnsiTheme="minorEastAsia" w:cstheme="minorEastAsia"/>
                <w:color w:val="000000"/>
                <w:kern w:val="0"/>
                <w:szCs w:val="21"/>
              </w:rPr>
            </w:pPr>
            <w:r>
              <w:t>卫生健康支出</w:t>
            </w:r>
          </w:p>
        </w:tc>
        <w:tc>
          <w:tcPr>
            <w:tcW w:w="829" w:type="pct"/>
            <w:tcBorders>
              <w:top w:val="nil"/>
              <w:left w:val="nil"/>
              <w:bottom w:val="single" w:color="000000" w:sz="4" w:space="0"/>
              <w:right w:val="single" w:color="000000" w:sz="4" w:space="0"/>
            </w:tcBorders>
            <w:noWrap/>
            <w:vAlign w:val="center"/>
          </w:tcPr>
          <w:p w14:paraId="56369142">
            <w:pPr>
              <w:widowControl/>
              <w:snapToGrid w:val="0"/>
              <w:jc w:val="center"/>
              <w:textAlignment w:val="center"/>
              <w:rPr>
                <w:rFonts w:asciiTheme="minorEastAsia" w:hAnsiTheme="minorEastAsia" w:cstheme="minorEastAsia"/>
                <w:color w:val="000000"/>
                <w:kern w:val="0"/>
                <w:szCs w:val="21"/>
              </w:rPr>
            </w:pPr>
            <w:r>
              <w:t>14.90</w:t>
            </w:r>
          </w:p>
        </w:tc>
      </w:tr>
      <w:tr w14:paraId="3671E9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F8FEE32">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（三）国有资本经营预算收入</w:t>
            </w:r>
          </w:p>
        </w:tc>
        <w:tc>
          <w:tcPr>
            <w:tcW w:w="1053" w:type="pct"/>
            <w:tcBorders>
              <w:top w:val="nil"/>
              <w:left w:val="nil"/>
              <w:bottom w:val="single" w:color="000000" w:sz="4" w:space="0"/>
              <w:right w:val="single" w:color="000000" w:sz="4" w:space="0"/>
            </w:tcBorders>
            <w:vAlign w:val="center"/>
          </w:tcPr>
          <w:p w14:paraId="62B70CC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7D2AF415">
            <w:pPr>
              <w:widowControl/>
              <w:snapToGrid w:val="0"/>
              <w:jc w:val="center"/>
              <w:textAlignment w:val="center"/>
              <w:rPr>
                <w:rFonts w:asciiTheme="minorEastAsia" w:hAnsiTheme="minorEastAsia" w:cstheme="minorEastAsia"/>
                <w:color w:val="000000"/>
                <w:kern w:val="0"/>
                <w:szCs w:val="21"/>
              </w:rPr>
            </w:pPr>
            <w:r>
              <w:t>住房保障支出</w:t>
            </w:r>
          </w:p>
        </w:tc>
        <w:tc>
          <w:tcPr>
            <w:tcW w:w="829" w:type="pct"/>
            <w:tcBorders>
              <w:top w:val="nil"/>
              <w:left w:val="nil"/>
              <w:bottom w:val="single" w:color="000000" w:sz="4" w:space="0"/>
              <w:right w:val="single" w:color="000000" w:sz="4" w:space="0"/>
            </w:tcBorders>
            <w:noWrap/>
            <w:vAlign w:val="center"/>
          </w:tcPr>
          <w:p w14:paraId="5FA07827">
            <w:pPr>
              <w:widowControl/>
              <w:snapToGrid w:val="0"/>
              <w:jc w:val="center"/>
              <w:textAlignment w:val="center"/>
              <w:rPr>
                <w:rFonts w:asciiTheme="minorEastAsia" w:hAnsiTheme="minorEastAsia" w:cstheme="minorEastAsia"/>
                <w:color w:val="000000"/>
                <w:kern w:val="0"/>
                <w:szCs w:val="21"/>
              </w:rPr>
            </w:pPr>
            <w:r>
              <w:t>26.30</w:t>
            </w:r>
          </w:p>
        </w:tc>
      </w:tr>
      <w:tr w14:paraId="25164B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6CA3F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二、教育收费资金收入</w:t>
            </w:r>
          </w:p>
        </w:tc>
        <w:tc>
          <w:tcPr>
            <w:tcW w:w="1053" w:type="pct"/>
            <w:tcBorders>
              <w:top w:val="nil"/>
              <w:left w:val="nil"/>
              <w:bottom w:val="single" w:color="000000" w:sz="4" w:space="0"/>
              <w:right w:val="single" w:color="000000" w:sz="4" w:space="0"/>
            </w:tcBorders>
            <w:vAlign w:val="center"/>
          </w:tcPr>
          <w:p w14:paraId="6752850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7CA781D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4586686">
            <w:pPr>
              <w:widowControl/>
              <w:snapToGrid w:val="0"/>
              <w:jc w:val="center"/>
              <w:textAlignment w:val="center"/>
              <w:rPr>
                <w:rFonts w:asciiTheme="minorEastAsia" w:hAnsiTheme="minorEastAsia" w:cstheme="minorEastAsia"/>
                <w:color w:val="000000"/>
                <w:kern w:val="0"/>
                <w:szCs w:val="21"/>
              </w:rPr>
            </w:pPr>
          </w:p>
        </w:tc>
      </w:tr>
      <w:tr w14:paraId="0E7B91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74A706">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三、事业收入</w:t>
            </w:r>
          </w:p>
        </w:tc>
        <w:tc>
          <w:tcPr>
            <w:tcW w:w="1053" w:type="pct"/>
            <w:tcBorders>
              <w:top w:val="nil"/>
              <w:left w:val="nil"/>
              <w:bottom w:val="single" w:color="000000" w:sz="4" w:space="0"/>
              <w:right w:val="single" w:color="000000" w:sz="4" w:space="0"/>
            </w:tcBorders>
            <w:vAlign w:val="center"/>
          </w:tcPr>
          <w:p w14:paraId="2CBC9AB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21BAD11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A2DE517">
            <w:pPr>
              <w:widowControl/>
              <w:snapToGrid w:val="0"/>
              <w:jc w:val="center"/>
              <w:textAlignment w:val="center"/>
              <w:rPr>
                <w:rFonts w:asciiTheme="minorEastAsia" w:hAnsiTheme="minorEastAsia" w:cstheme="minorEastAsia"/>
                <w:color w:val="000000"/>
                <w:kern w:val="0"/>
                <w:szCs w:val="21"/>
              </w:rPr>
            </w:pPr>
          </w:p>
        </w:tc>
      </w:tr>
      <w:tr w14:paraId="3C4B5C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5F49C4">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四、事业单位经营收入</w:t>
            </w:r>
          </w:p>
        </w:tc>
        <w:tc>
          <w:tcPr>
            <w:tcW w:w="1053" w:type="pct"/>
            <w:tcBorders>
              <w:top w:val="nil"/>
              <w:left w:val="nil"/>
              <w:bottom w:val="single" w:color="000000" w:sz="4" w:space="0"/>
              <w:right w:val="single" w:color="000000" w:sz="4" w:space="0"/>
            </w:tcBorders>
            <w:vAlign w:val="center"/>
          </w:tcPr>
          <w:p w14:paraId="039E64F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7EEB36E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5781FAC">
            <w:pPr>
              <w:widowControl/>
              <w:snapToGrid w:val="0"/>
              <w:jc w:val="center"/>
              <w:textAlignment w:val="center"/>
              <w:rPr>
                <w:rFonts w:asciiTheme="minorEastAsia" w:hAnsiTheme="minorEastAsia" w:cstheme="minorEastAsia"/>
                <w:color w:val="000000"/>
                <w:kern w:val="0"/>
                <w:szCs w:val="21"/>
              </w:rPr>
            </w:pPr>
          </w:p>
        </w:tc>
      </w:tr>
      <w:tr w14:paraId="21F4C1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9B2989">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五、附属单位上缴收入</w:t>
            </w:r>
          </w:p>
        </w:tc>
        <w:tc>
          <w:tcPr>
            <w:tcW w:w="1053" w:type="pct"/>
            <w:tcBorders>
              <w:top w:val="nil"/>
              <w:left w:val="nil"/>
              <w:bottom w:val="single" w:color="000000" w:sz="4" w:space="0"/>
              <w:right w:val="single" w:color="000000" w:sz="4" w:space="0"/>
            </w:tcBorders>
            <w:noWrap/>
            <w:vAlign w:val="center"/>
          </w:tcPr>
          <w:p w14:paraId="492BB66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5FC2355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2143A59">
            <w:pPr>
              <w:widowControl/>
              <w:snapToGrid w:val="0"/>
              <w:jc w:val="center"/>
              <w:textAlignment w:val="center"/>
              <w:rPr>
                <w:rFonts w:asciiTheme="minorEastAsia" w:hAnsiTheme="minorEastAsia" w:cstheme="minorEastAsia"/>
                <w:color w:val="000000"/>
                <w:kern w:val="0"/>
                <w:szCs w:val="21"/>
              </w:rPr>
            </w:pPr>
          </w:p>
        </w:tc>
      </w:tr>
      <w:tr w14:paraId="69B52F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3B9DD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六、上级补助收入</w:t>
            </w:r>
          </w:p>
        </w:tc>
        <w:tc>
          <w:tcPr>
            <w:tcW w:w="1053" w:type="pct"/>
            <w:tcBorders>
              <w:top w:val="nil"/>
              <w:left w:val="nil"/>
              <w:bottom w:val="single" w:color="000000" w:sz="4" w:space="0"/>
              <w:right w:val="single" w:color="000000" w:sz="4" w:space="0"/>
            </w:tcBorders>
            <w:noWrap/>
            <w:vAlign w:val="center"/>
          </w:tcPr>
          <w:p w14:paraId="6E2CD10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5128C8E3">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A3CDE38">
            <w:pPr>
              <w:widowControl/>
              <w:snapToGrid w:val="0"/>
              <w:jc w:val="center"/>
              <w:textAlignment w:val="center"/>
              <w:rPr>
                <w:rFonts w:asciiTheme="minorEastAsia" w:hAnsiTheme="minorEastAsia" w:cstheme="minorEastAsia"/>
                <w:color w:val="000000"/>
                <w:kern w:val="0"/>
                <w:szCs w:val="21"/>
              </w:rPr>
            </w:pPr>
          </w:p>
        </w:tc>
      </w:tr>
      <w:tr w14:paraId="6E7463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D4B14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七、其他收入</w:t>
            </w:r>
          </w:p>
        </w:tc>
        <w:tc>
          <w:tcPr>
            <w:tcW w:w="1053" w:type="pct"/>
            <w:tcBorders>
              <w:top w:val="nil"/>
              <w:left w:val="nil"/>
              <w:bottom w:val="single" w:color="000000" w:sz="4" w:space="0"/>
              <w:right w:val="single" w:color="000000" w:sz="4" w:space="0"/>
            </w:tcBorders>
            <w:noWrap/>
            <w:vAlign w:val="center"/>
          </w:tcPr>
          <w:p w14:paraId="2BEC78C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3541F9E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B81EFB3">
            <w:pPr>
              <w:widowControl/>
              <w:snapToGrid w:val="0"/>
              <w:jc w:val="center"/>
              <w:textAlignment w:val="center"/>
              <w:rPr>
                <w:rFonts w:asciiTheme="minorEastAsia" w:hAnsiTheme="minorEastAsia" w:cstheme="minorEastAsia"/>
                <w:color w:val="000000"/>
                <w:kern w:val="0"/>
                <w:szCs w:val="21"/>
              </w:rPr>
            </w:pPr>
          </w:p>
        </w:tc>
      </w:tr>
      <w:tr w14:paraId="1F1D3E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43FD1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7B597157">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59DF593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6226E86">
            <w:pPr>
              <w:widowControl/>
              <w:snapToGrid w:val="0"/>
              <w:jc w:val="center"/>
              <w:textAlignment w:val="center"/>
              <w:rPr>
                <w:rFonts w:asciiTheme="minorEastAsia" w:hAnsiTheme="minorEastAsia" w:cstheme="minorEastAsia"/>
                <w:color w:val="000000"/>
                <w:kern w:val="0"/>
                <w:szCs w:val="21"/>
              </w:rPr>
            </w:pPr>
          </w:p>
        </w:tc>
      </w:tr>
      <w:tr w14:paraId="607900F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047DAC">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06556E46">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568E5DC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00133A4">
            <w:pPr>
              <w:widowControl/>
              <w:snapToGrid w:val="0"/>
              <w:jc w:val="center"/>
              <w:textAlignment w:val="center"/>
              <w:rPr>
                <w:rFonts w:asciiTheme="minorEastAsia" w:hAnsiTheme="minorEastAsia" w:cstheme="minorEastAsia"/>
                <w:color w:val="000000"/>
                <w:kern w:val="0"/>
                <w:szCs w:val="21"/>
              </w:rPr>
            </w:pPr>
          </w:p>
        </w:tc>
      </w:tr>
      <w:tr w14:paraId="4BC070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3F7C6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D904B3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5BE8DBE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C979F7E">
            <w:pPr>
              <w:widowControl/>
              <w:snapToGrid w:val="0"/>
              <w:jc w:val="center"/>
              <w:textAlignment w:val="center"/>
              <w:rPr>
                <w:rFonts w:asciiTheme="minorEastAsia" w:hAnsiTheme="minorEastAsia" w:cstheme="minorEastAsia"/>
                <w:color w:val="000000"/>
                <w:kern w:val="0"/>
                <w:szCs w:val="21"/>
              </w:rPr>
            </w:pPr>
          </w:p>
        </w:tc>
      </w:tr>
      <w:tr w14:paraId="5A0FF1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9BEF6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BD55CAD">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4E88FA1">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5540A4F">
            <w:pPr>
              <w:widowControl/>
              <w:snapToGrid w:val="0"/>
              <w:jc w:val="center"/>
              <w:textAlignment w:val="center"/>
              <w:rPr>
                <w:rFonts w:asciiTheme="minorEastAsia" w:hAnsiTheme="minorEastAsia" w:cstheme="minorEastAsia"/>
                <w:color w:val="000000"/>
                <w:kern w:val="0"/>
                <w:szCs w:val="21"/>
              </w:rPr>
            </w:pPr>
          </w:p>
        </w:tc>
      </w:tr>
      <w:tr w14:paraId="413BDB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EB0453">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CDC2754">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7CC7291">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C1F97E7">
            <w:pPr>
              <w:widowControl/>
              <w:snapToGrid w:val="0"/>
              <w:jc w:val="center"/>
              <w:textAlignment w:val="center"/>
              <w:rPr>
                <w:rFonts w:asciiTheme="minorEastAsia" w:hAnsiTheme="minorEastAsia" w:cstheme="minorEastAsia"/>
                <w:color w:val="000000"/>
                <w:kern w:val="0"/>
                <w:szCs w:val="21"/>
              </w:rPr>
            </w:pPr>
          </w:p>
        </w:tc>
      </w:tr>
      <w:tr w14:paraId="5F9DCF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A8988D">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CCE3A4F">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73FC028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E804C8D">
            <w:pPr>
              <w:widowControl/>
              <w:snapToGrid w:val="0"/>
              <w:jc w:val="center"/>
              <w:textAlignment w:val="center"/>
              <w:rPr>
                <w:rFonts w:asciiTheme="minorEastAsia" w:hAnsiTheme="minorEastAsia" w:cstheme="minorEastAsia"/>
                <w:color w:val="000000"/>
                <w:kern w:val="0"/>
                <w:szCs w:val="21"/>
              </w:rPr>
            </w:pPr>
          </w:p>
        </w:tc>
      </w:tr>
      <w:tr w14:paraId="5A787A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DAAB80">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945D240">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13732B3">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FA4E96E">
            <w:pPr>
              <w:widowControl/>
              <w:snapToGrid w:val="0"/>
              <w:jc w:val="center"/>
              <w:textAlignment w:val="center"/>
              <w:rPr>
                <w:rFonts w:asciiTheme="minorEastAsia" w:hAnsiTheme="minorEastAsia" w:cstheme="minorEastAsia"/>
                <w:color w:val="000000"/>
                <w:kern w:val="0"/>
                <w:szCs w:val="21"/>
              </w:rPr>
            </w:pPr>
          </w:p>
        </w:tc>
      </w:tr>
      <w:tr w14:paraId="3AA68A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C23750">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B3542AB">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A8C2B0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2C639AF">
            <w:pPr>
              <w:widowControl/>
              <w:snapToGrid w:val="0"/>
              <w:jc w:val="center"/>
              <w:textAlignment w:val="center"/>
              <w:rPr>
                <w:rFonts w:asciiTheme="minorEastAsia" w:hAnsiTheme="minorEastAsia" w:cstheme="minorEastAsia"/>
                <w:color w:val="000000"/>
                <w:kern w:val="0"/>
                <w:szCs w:val="21"/>
              </w:rPr>
            </w:pPr>
          </w:p>
        </w:tc>
      </w:tr>
      <w:tr w14:paraId="0CE9E4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5D1F4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B410DE2">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9BFBD60">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83FDDD9">
            <w:pPr>
              <w:widowControl/>
              <w:snapToGrid w:val="0"/>
              <w:jc w:val="center"/>
              <w:textAlignment w:val="center"/>
              <w:rPr>
                <w:rFonts w:asciiTheme="minorEastAsia" w:hAnsiTheme="minorEastAsia" w:cstheme="minorEastAsia"/>
                <w:color w:val="000000"/>
                <w:kern w:val="0"/>
                <w:szCs w:val="21"/>
              </w:rPr>
            </w:pPr>
          </w:p>
        </w:tc>
      </w:tr>
      <w:tr w14:paraId="3F71A3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D860D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7C79B12">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D74BE2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D16E3DD">
            <w:pPr>
              <w:widowControl/>
              <w:snapToGrid w:val="0"/>
              <w:jc w:val="center"/>
              <w:textAlignment w:val="center"/>
              <w:rPr>
                <w:rFonts w:asciiTheme="minorEastAsia" w:hAnsiTheme="minorEastAsia" w:cstheme="minorEastAsia"/>
                <w:color w:val="000000"/>
                <w:kern w:val="0"/>
                <w:szCs w:val="21"/>
              </w:rPr>
            </w:pPr>
          </w:p>
        </w:tc>
      </w:tr>
      <w:tr w14:paraId="19E515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91F9C3">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9583DFA">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3A4998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955A845">
            <w:pPr>
              <w:widowControl/>
              <w:snapToGrid w:val="0"/>
              <w:jc w:val="center"/>
              <w:textAlignment w:val="center"/>
              <w:rPr>
                <w:rFonts w:asciiTheme="minorEastAsia" w:hAnsiTheme="minorEastAsia" w:cstheme="minorEastAsia"/>
                <w:color w:val="000000"/>
                <w:kern w:val="0"/>
                <w:szCs w:val="21"/>
              </w:rPr>
            </w:pPr>
          </w:p>
        </w:tc>
      </w:tr>
      <w:tr w14:paraId="5D3CAF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6B7C28">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0CDB96B">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5E33EE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976D875">
            <w:pPr>
              <w:widowControl/>
              <w:snapToGrid w:val="0"/>
              <w:jc w:val="center"/>
              <w:textAlignment w:val="center"/>
              <w:rPr>
                <w:rFonts w:asciiTheme="minorEastAsia" w:hAnsiTheme="minorEastAsia" w:cstheme="minorEastAsia"/>
                <w:color w:val="000000"/>
                <w:kern w:val="0"/>
                <w:szCs w:val="21"/>
              </w:rPr>
            </w:pPr>
          </w:p>
        </w:tc>
      </w:tr>
      <w:tr w14:paraId="6B4A7C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E300C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3A9B86F">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63CA131">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E353BF1">
            <w:pPr>
              <w:widowControl/>
              <w:snapToGrid w:val="0"/>
              <w:jc w:val="center"/>
              <w:textAlignment w:val="center"/>
              <w:rPr>
                <w:rFonts w:asciiTheme="minorEastAsia" w:hAnsiTheme="minorEastAsia" w:cstheme="minorEastAsia"/>
                <w:color w:val="000000"/>
                <w:kern w:val="0"/>
                <w:szCs w:val="21"/>
              </w:rPr>
            </w:pPr>
          </w:p>
        </w:tc>
      </w:tr>
      <w:tr w14:paraId="7BEF18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E2E33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F383A0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54CE3FB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F9D8997">
            <w:pPr>
              <w:widowControl/>
              <w:snapToGrid w:val="0"/>
              <w:jc w:val="center"/>
              <w:textAlignment w:val="center"/>
              <w:rPr>
                <w:rFonts w:asciiTheme="minorEastAsia" w:hAnsiTheme="minorEastAsia" w:cstheme="minorEastAsia"/>
                <w:color w:val="000000"/>
                <w:kern w:val="0"/>
                <w:szCs w:val="21"/>
              </w:rPr>
            </w:pPr>
          </w:p>
        </w:tc>
      </w:tr>
      <w:tr w14:paraId="30FCE9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A43A56">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47F3060">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063869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A57180E">
            <w:pPr>
              <w:widowControl/>
              <w:snapToGrid w:val="0"/>
              <w:jc w:val="center"/>
              <w:textAlignment w:val="center"/>
              <w:rPr>
                <w:rFonts w:asciiTheme="minorEastAsia" w:hAnsiTheme="minorEastAsia" w:cstheme="minorEastAsia"/>
                <w:color w:val="000000"/>
                <w:kern w:val="0"/>
                <w:szCs w:val="21"/>
              </w:rPr>
            </w:pPr>
          </w:p>
        </w:tc>
      </w:tr>
      <w:tr w14:paraId="3407B6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00D258">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70BA91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187EFB5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C27D107">
            <w:pPr>
              <w:widowControl/>
              <w:snapToGrid w:val="0"/>
              <w:jc w:val="center"/>
              <w:textAlignment w:val="center"/>
              <w:rPr>
                <w:rFonts w:asciiTheme="minorEastAsia" w:hAnsiTheme="minorEastAsia" w:cstheme="minorEastAsia"/>
                <w:color w:val="000000"/>
                <w:kern w:val="0"/>
                <w:szCs w:val="21"/>
              </w:rPr>
            </w:pPr>
          </w:p>
        </w:tc>
      </w:tr>
      <w:tr w14:paraId="3D600D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A6DC8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EB0C7F7">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568D39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299F55A">
            <w:pPr>
              <w:widowControl/>
              <w:snapToGrid w:val="0"/>
              <w:jc w:val="center"/>
              <w:textAlignment w:val="center"/>
              <w:rPr>
                <w:rFonts w:asciiTheme="minorEastAsia" w:hAnsiTheme="minorEastAsia" w:cstheme="minorEastAsia"/>
                <w:color w:val="000000"/>
                <w:kern w:val="0"/>
                <w:szCs w:val="21"/>
              </w:rPr>
            </w:pPr>
          </w:p>
        </w:tc>
      </w:tr>
      <w:tr w14:paraId="6D955C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7E924D">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6D49CA7">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65D6789">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9586854">
            <w:pPr>
              <w:widowControl/>
              <w:snapToGrid w:val="0"/>
              <w:jc w:val="center"/>
              <w:textAlignment w:val="center"/>
              <w:rPr>
                <w:rFonts w:asciiTheme="minorEastAsia" w:hAnsiTheme="minorEastAsia" w:cstheme="minorEastAsia"/>
                <w:color w:val="000000"/>
                <w:kern w:val="0"/>
                <w:szCs w:val="21"/>
              </w:rPr>
            </w:pPr>
          </w:p>
        </w:tc>
      </w:tr>
      <w:tr w14:paraId="038C92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29A9C5">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11A1DB4">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9083009">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148AF368">
            <w:pPr>
              <w:widowControl/>
              <w:snapToGrid w:val="0"/>
              <w:jc w:val="center"/>
              <w:textAlignment w:val="center"/>
              <w:rPr>
                <w:rFonts w:asciiTheme="minorEastAsia" w:hAnsiTheme="minorEastAsia" w:cstheme="minorEastAsia"/>
                <w:color w:val="000000"/>
                <w:kern w:val="0"/>
                <w:szCs w:val="21"/>
              </w:rPr>
            </w:pPr>
          </w:p>
        </w:tc>
      </w:tr>
      <w:tr w14:paraId="4180E4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E0F541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本年收入合计</w:t>
            </w:r>
          </w:p>
        </w:tc>
        <w:tc>
          <w:tcPr>
            <w:tcW w:w="1053" w:type="pct"/>
            <w:tcBorders>
              <w:top w:val="nil"/>
              <w:left w:val="nil"/>
              <w:bottom w:val="single" w:color="auto" w:sz="4" w:space="0"/>
              <w:right w:val="single" w:color="000000" w:sz="4" w:space="0"/>
            </w:tcBorders>
            <w:vAlign w:val="center"/>
          </w:tcPr>
          <w:p w14:paraId="1A42401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1655" w:type="pct"/>
            <w:tcBorders>
              <w:top w:val="nil"/>
              <w:left w:val="nil"/>
              <w:bottom w:val="single" w:color="auto" w:sz="4" w:space="0"/>
              <w:right w:val="single" w:color="000000" w:sz="4" w:space="0"/>
            </w:tcBorders>
            <w:noWrap/>
            <w:vAlign w:val="center"/>
          </w:tcPr>
          <w:p w14:paraId="2EE5F98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本年支出合计</w:t>
            </w:r>
          </w:p>
        </w:tc>
        <w:tc>
          <w:tcPr>
            <w:tcW w:w="829" w:type="pct"/>
            <w:tcBorders>
              <w:top w:val="nil"/>
              <w:left w:val="nil"/>
              <w:bottom w:val="single" w:color="auto" w:sz="4" w:space="0"/>
              <w:right w:val="single" w:color="000000" w:sz="4" w:space="0"/>
            </w:tcBorders>
            <w:noWrap/>
            <w:vAlign w:val="bottom"/>
          </w:tcPr>
          <w:p w14:paraId="2FB1A2F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r>
      <w:tr w14:paraId="61A38EC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DBB1E7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0F3988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09E3F84">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02ED89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4066C10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7407EA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E917F3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nil"/>
              <w:bottom w:val="single" w:color="auto" w:sz="4" w:space="0"/>
              <w:right w:val="single" w:color="000000" w:sz="4" w:space="0"/>
            </w:tcBorders>
            <w:noWrap/>
            <w:vAlign w:val="bottom"/>
          </w:tcPr>
          <w:p w14:paraId="2B1C867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829" w:type="pct"/>
            <w:tcBorders>
              <w:top w:val="single" w:color="auto" w:sz="4" w:space="0"/>
              <w:left w:val="nil"/>
              <w:bottom w:val="single" w:color="auto" w:sz="4" w:space="0"/>
              <w:right w:val="single" w:color="000000" w:sz="4" w:space="0"/>
            </w:tcBorders>
            <w:vAlign w:val="center"/>
          </w:tcPr>
          <w:p w14:paraId="5F32EABF">
            <w:pPr>
              <w:widowControl/>
              <w:snapToGrid w:val="0"/>
              <w:jc w:val="center"/>
              <w:textAlignment w:val="center"/>
              <w:rPr>
                <w:rFonts w:asciiTheme="minorEastAsia" w:hAnsiTheme="minorEastAsia" w:cstheme="minorEastAsia"/>
                <w:color w:val="000000"/>
                <w:kern w:val="0"/>
                <w:szCs w:val="21"/>
              </w:rPr>
            </w:pPr>
          </w:p>
        </w:tc>
      </w:tr>
      <w:tr w14:paraId="3D63DB9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E6F910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1B9D46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1655" w:type="pct"/>
            <w:tcBorders>
              <w:top w:val="single" w:color="auto" w:sz="4" w:space="0"/>
              <w:left w:val="single" w:color="auto" w:sz="4" w:space="0"/>
              <w:bottom w:val="single" w:color="auto" w:sz="4" w:space="0"/>
              <w:right w:val="single" w:color="auto" w:sz="4" w:space="0"/>
            </w:tcBorders>
            <w:noWrap/>
            <w:vAlign w:val="center"/>
          </w:tcPr>
          <w:p w14:paraId="1C3DD85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121F25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r>
    </w:tbl>
    <w:p w14:paraId="3AFB44ED">
      <w:pPr>
        <w:widowControl/>
        <w:jc w:val="left"/>
        <w:rPr>
          <w:rStyle w:val="12"/>
          <w:rFonts w:ascii="仿宋" w:hAnsi="仿宋" w:eastAsia="仿宋"/>
          <w:bCs/>
          <w:sz w:val="32"/>
          <w:szCs w:val="32"/>
        </w:rPr>
        <w:sectPr>
          <w:headerReference r:id="rId3" w:type="default"/>
          <w:pgSz w:w="11906" w:h="16838"/>
          <w:pgMar w:top="1587" w:right="1587" w:bottom="1587" w:left="1587"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6"/>
        <w:gridCol w:w="898"/>
        <w:gridCol w:w="787"/>
        <w:gridCol w:w="864"/>
        <w:gridCol w:w="962"/>
        <w:gridCol w:w="625"/>
        <w:gridCol w:w="586"/>
        <w:gridCol w:w="661"/>
        <w:gridCol w:w="837"/>
        <w:gridCol w:w="762"/>
        <w:gridCol w:w="549"/>
        <w:gridCol w:w="499"/>
        <w:gridCol w:w="762"/>
        <w:gridCol w:w="622"/>
      </w:tblGrid>
      <w:tr w14:paraId="3BDED8F6">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169E798">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部门收入总表</w:t>
            </w:r>
          </w:p>
        </w:tc>
      </w:tr>
      <w:tr w14:paraId="7A680350">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3EFA4533">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rPr>
              <w:t>填报单位:103景德镇市珠山区人民政府</w:t>
            </w:r>
          </w:p>
        </w:tc>
        <w:tc>
          <w:tcPr>
            <w:tcW w:w="422" w:type="pct"/>
            <w:tcBorders>
              <w:top w:val="nil"/>
              <w:left w:val="nil"/>
              <w:bottom w:val="single" w:color="auto" w:sz="4" w:space="0"/>
              <w:right w:val="nil"/>
            </w:tcBorders>
            <w:shd w:val="clear" w:color="auto" w:fill="auto"/>
            <w:noWrap/>
            <w:vAlign w:val="bottom"/>
          </w:tcPr>
          <w:p w14:paraId="39F5AB3A">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539A6B6F">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3BC1D8C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90EBCDC">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333A5E7">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4BCF502C">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153A8A80">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DB045BC">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42548D8">
            <w:pPr>
              <w:widowControl/>
              <w:jc w:val="right"/>
              <w:rPr>
                <w:rFonts w:ascii="宋体" w:hAnsi="宋体" w:eastAsia="宋体" w:cs="宋体"/>
                <w:color w:val="000000"/>
                <w:kern w:val="0"/>
                <w:sz w:val="18"/>
                <w:szCs w:val="18"/>
              </w:rPr>
            </w:pPr>
            <w:r>
              <w:rPr>
                <w:rFonts w:hint="eastAsia" w:asciiTheme="minorEastAsia" w:hAnsiTheme="minorEastAsia" w:cstheme="minorEastAsia"/>
                <w:color w:val="000000"/>
                <w:kern w:val="0"/>
                <w:sz w:val="18"/>
                <w:szCs w:val="18"/>
              </w:rPr>
              <w:t>单位：万元</w:t>
            </w:r>
          </w:p>
        </w:tc>
      </w:tr>
      <w:tr w14:paraId="15432F93">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0285192A">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6EEBEA">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88A5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1CADFF">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CB148">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634E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90423">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EC5FA">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50724E">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519D6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C730A5">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使用非财政拨款结余</w:t>
            </w:r>
          </w:p>
        </w:tc>
      </w:tr>
      <w:tr w14:paraId="2AADF0AF">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538CB035">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77C62D3">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34A1120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2C051D0">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9EFD09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B479ABE">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2EBE21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F423145">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089CC4B2">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6F4D5B5">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68DAD93">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9EC077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471A363">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721D432A">
            <w:pPr>
              <w:widowControl/>
              <w:jc w:val="left"/>
              <w:rPr>
                <w:rFonts w:ascii="宋体" w:hAnsi="宋体" w:eastAsia="宋体" w:cs="Arial"/>
                <w:color w:val="000000"/>
                <w:kern w:val="0"/>
                <w:sz w:val="13"/>
                <w:szCs w:val="13"/>
              </w:rPr>
            </w:pPr>
          </w:p>
        </w:tc>
      </w:tr>
      <w:tr w14:paraId="04B477FD">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3F03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8EFA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EEEB7">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7157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8C5F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24CB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8D1B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9BFD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0164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7D32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950E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9BC35">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EBE1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A86C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7DC9B6B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AF38D">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70EF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704.33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FB4C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F3DC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704.33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969F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704.33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62DB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7CE6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E9D99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1AE5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BEBB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D1E5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0172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1FC8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7577A9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r w14:paraId="60088C4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43B1F">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景德镇市珠山区人民政府</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ABEA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704.33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BF31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0AF9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704.33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E63A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704.33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625D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CCD9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3426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9A52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35B3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D0B3A">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0B48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9024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710093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30AFF73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25DD1660">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49AC6E3">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部门支出总表</w:t>
            </w:r>
          </w:p>
        </w:tc>
      </w:tr>
      <w:tr w14:paraId="15564CA3">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B558B0E">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填报单位:103景德镇市珠山区人民政府</w:t>
            </w:r>
          </w:p>
        </w:tc>
        <w:tc>
          <w:tcPr>
            <w:tcW w:w="914" w:type="pct"/>
            <w:tcBorders>
              <w:top w:val="nil"/>
              <w:left w:val="nil"/>
              <w:bottom w:val="nil"/>
              <w:right w:val="nil"/>
            </w:tcBorders>
            <w:shd w:val="clear" w:color="auto" w:fill="auto"/>
            <w:noWrap/>
            <w:vAlign w:val="bottom"/>
          </w:tcPr>
          <w:p w14:paraId="6098EDAF">
            <w:pPr>
              <w:widowControl/>
              <w:snapToGrid w:val="0"/>
              <w:jc w:val="center"/>
              <w:textAlignment w:val="center"/>
              <w:rPr>
                <w:rFonts w:asciiTheme="minorEastAsia" w:hAnsiTheme="minorEastAsia" w:cstheme="minorEastAsia"/>
                <w:color w:val="000000"/>
                <w:kern w:val="0"/>
                <w:sz w:val="13"/>
                <w:szCs w:val="13"/>
              </w:rPr>
            </w:pPr>
          </w:p>
        </w:tc>
        <w:tc>
          <w:tcPr>
            <w:tcW w:w="645" w:type="pct"/>
            <w:tcBorders>
              <w:top w:val="nil"/>
              <w:left w:val="nil"/>
              <w:bottom w:val="nil"/>
              <w:right w:val="nil"/>
            </w:tcBorders>
            <w:shd w:val="clear" w:color="auto" w:fill="auto"/>
            <w:noWrap/>
            <w:vAlign w:val="bottom"/>
          </w:tcPr>
          <w:p w14:paraId="41899F5E">
            <w:pPr>
              <w:widowControl/>
              <w:snapToGrid w:val="0"/>
              <w:jc w:val="center"/>
              <w:textAlignment w:val="center"/>
              <w:rPr>
                <w:rFonts w:asciiTheme="minorEastAsia" w:hAnsiTheme="minorEastAsia" w:cstheme="minorEastAsia"/>
                <w:color w:val="000000"/>
                <w:kern w:val="0"/>
                <w:sz w:val="13"/>
                <w:szCs w:val="13"/>
              </w:rPr>
            </w:pPr>
          </w:p>
        </w:tc>
        <w:tc>
          <w:tcPr>
            <w:tcW w:w="705" w:type="pct"/>
            <w:tcBorders>
              <w:top w:val="nil"/>
              <w:left w:val="nil"/>
              <w:bottom w:val="nil"/>
              <w:right w:val="nil"/>
            </w:tcBorders>
            <w:shd w:val="clear" w:color="auto" w:fill="auto"/>
            <w:noWrap/>
            <w:vAlign w:val="bottom"/>
          </w:tcPr>
          <w:p w14:paraId="5A374F59">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611BAB5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2AA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EB500F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FC8B3C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E00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438BD8B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4AF3C8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C8A5EE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DFBCA3C">
            <w:pPr>
              <w:widowControl/>
              <w:snapToGrid w:val="0"/>
              <w:jc w:val="center"/>
              <w:textAlignment w:val="center"/>
              <w:rPr>
                <w:rFonts w:asciiTheme="minorEastAsia" w:hAnsiTheme="minorEastAsia" w:cstheme="minorEastAsia"/>
                <w:color w:val="000000"/>
                <w:kern w:val="0"/>
                <w:sz w:val="18"/>
                <w:szCs w:val="18"/>
              </w:rPr>
            </w:pPr>
          </w:p>
        </w:tc>
        <w:tc>
          <w:tcPr>
            <w:tcW w:w="645" w:type="pct"/>
            <w:vMerge w:val="continue"/>
            <w:tcBorders>
              <w:top w:val="single" w:color="000000" w:sz="4" w:space="0"/>
              <w:left w:val="single" w:color="000000" w:sz="4" w:space="0"/>
              <w:bottom w:val="single" w:color="000000" w:sz="4" w:space="0"/>
              <w:right w:val="nil"/>
            </w:tcBorders>
            <w:vAlign w:val="center"/>
          </w:tcPr>
          <w:p w14:paraId="39BB5C05">
            <w:pPr>
              <w:widowControl/>
              <w:snapToGrid w:val="0"/>
              <w:jc w:val="center"/>
              <w:textAlignment w:val="center"/>
              <w:rPr>
                <w:rFonts w:asciiTheme="minorEastAsia" w:hAnsiTheme="minorEastAsia" w:cstheme="minorEastAsia"/>
                <w:color w:val="000000"/>
                <w:kern w:val="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487357F">
            <w:pPr>
              <w:widowControl/>
              <w:snapToGrid w:val="0"/>
              <w:jc w:val="center"/>
              <w:textAlignment w:val="center"/>
              <w:rPr>
                <w:rFonts w:asciiTheme="minorEastAsia" w:hAnsiTheme="minorEastAsia" w:cstheme="minorEastAsia"/>
                <w:color w:val="000000"/>
                <w:kern w:val="0"/>
                <w:sz w:val="18"/>
                <w:szCs w:val="18"/>
              </w:rPr>
            </w:pPr>
          </w:p>
        </w:tc>
      </w:tr>
      <w:tr w14:paraId="119E648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01FC32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816" w:type="pct"/>
            <w:tcBorders>
              <w:top w:val="nil"/>
              <w:left w:val="nil"/>
              <w:bottom w:val="nil"/>
              <w:right w:val="single" w:color="000000" w:sz="4" w:space="0"/>
            </w:tcBorders>
            <w:shd w:val="clear" w:color="auto" w:fill="auto"/>
            <w:noWrap/>
            <w:vAlign w:val="center"/>
          </w:tcPr>
          <w:p w14:paraId="17081F4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914" w:type="pct"/>
            <w:tcBorders>
              <w:top w:val="nil"/>
              <w:left w:val="nil"/>
              <w:bottom w:val="nil"/>
              <w:right w:val="single" w:color="000000" w:sz="4" w:space="0"/>
            </w:tcBorders>
            <w:shd w:val="clear" w:color="auto" w:fill="auto"/>
            <w:noWrap/>
            <w:vAlign w:val="center"/>
          </w:tcPr>
          <w:p w14:paraId="050FC82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45" w:type="pct"/>
            <w:tcBorders>
              <w:top w:val="nil"/>
              <w:left w:val="nil"/>
              <w:bottom w:val="nil"/>
              <w:right w:val="single" w:color="000000" w:sz="4" w:space="0"/>
            </w:tcBorders>
            <w:shd w:val="clear" w:color="auto" w:fill="auto"/>
            <w:noWrap/>
            <w:vAlign w:val="center"/>
          </w:tcPr>
          <w:p w14:paraId="6704DF6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705" w:type="pct"/>
            <w:tcBorders>
              <w:top w:val="nil"/>
              <w:left w:val="nil"/>
              <w:bottom w:val="nil"/>
              <w:right w:val="single" w:color="000000" w:sz="4" w:space="0"/>
            </w:tcBorders>
            <w:shd w:val="clear" w:color="auto" w:fill="auto"/>
            <w:noWrap/>
            <w:vAlign w:val="center"/>
          </w:tcPr>
          <w:p w14:paraId="65A024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1A59E00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0B4C">
            <w:pPr>
              <w:widowControl/>
              <w:snapToGrid w:val="0"/>
              <w:jc w:val="center"/>
              <w:textAlignment w:val="center"/>
              <w:rPr>
                <w:rFonts w:asciiTheme="minorEastAsia" w:hAnsiTheme="minorEastAsia" w:cstheme="minorEastAsia"/>
                <w:color w:val="000000"/>
                <w:kern w:val="0"/>
                <w:sz w:val="18"/>
                <w:szCs w:val="18"/>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9BD5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BEBC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704.33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F5B83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403.23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A7B96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301.10</w:t>
            </w:r>
          </w:p>
        </w:tc>
      </w:tr>
      <w:tr w14:paraId="45AE446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E4A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130E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0C485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628.05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158EC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326.95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01F76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301.10</w:t>
            </w:r>
          </w:p>
        </w:tc>
      </w:tr>
      <w:tr w14:paraId="54313C0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1F8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177F9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08959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628.05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DD67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326.95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D84AA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301.10</w:t>
            </w:r>
          </w:p>
        </w:tc>
      </w:tr>
      <w:tr w14:paraId="46F8D2C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F21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F210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C7721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326.95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A6BFA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326.95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65D84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6B5491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85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ABB26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其他政府办公厅（室）及相关机构事务支出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812E4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50306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67EC4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r>
      <w:tr w14:paraId="57CA9F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EE5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4FC4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18F89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6A972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D729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63F57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913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4AAC9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1E3C4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8B773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DEEEB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26756E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E1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BABD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3042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C7A91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49D17A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1D21DB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E1B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EB169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8E130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7BE09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568BF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68355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682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3A04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FA4F6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9A7E0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319F8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91F5CF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FF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B3E51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C262C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7AABE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14.90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8B11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10BC28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29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2F54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BB353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554B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2A7E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7FDCE3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DEC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02BA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57C99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E7EE9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3D96A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B60A5D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F8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D6BF2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6BE272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6CDE5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D571A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57D90DA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644D043C">
        <w:tblPrEx>
          <w:tblCellMar>
            <w:top w:w="0" w:type="dxa"/>
            <w:left w:w="108" w:type="dxa"/>
            <w:bottom w:w="0" w:type="dxa"/>
            <w:right w:w="108" w:type="dxa"/>
          </w:tblCellMar>
        </w:tblPrEx>
        <w:trPr>
          <w:trHeight w:val="585" w:hRule="atLeast"/>
          <w:tblHeader/>
        </w:trPr>
        <w:tc>
          <w:tcPr>
            <w:tcW w:w="5000" w:type="pct"/>
            <w:gridSpan w:val="7"/>
            <w:noWrap/>
            <w:vAlign w:val="center"/>
          </w:tcPr>
          <w:p w14:paraId="2651DCA8">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财政拨款收支总表</w:t>
            </w:r>
          </w:p>
        </w:tc>
      </w:tr>
      <w:tr w14:paraId="1C40B423">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03F7E4F">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填报单位:103景德镇市珠山区人民政府</w:t>
            </w:r>
          </w:p>
        </w:tc>
        <w:tc>
          <w:tcPr>
            <w:tcW w:w="577" w:type="pct"/>
            <w:noWrap/>
            <w:vAlign w:val="bottom"/>
          </w:tcPr>
          <w:p w14:paraId="24A70E3A">
            <w:pPr>
              <w:widowControl/>
              <w:snapToGrid w:val="0"/>
              <w:jc w:val="center"/>
              <w:textAlignment w:val="center"/>
              <w:rPr>
                <w:rFonts w:asciiTheme="minorEastAsia" w:hAnsiTheme="minorEastAsia" w:cstheme="minorEastAsia"/>
                <w:color w:val="000000"/>
                <w:kern w:val="0"/>
                <w:sz w:val="13"/>
                <w:szCs w:val="13"/>
              </w:rPr>
            </w:pPr>
          </w:p>
        </w:tc>
        <w:tc>
          <w:tcPr>
            <w:tcW w:w="612" w:type="pct"/>
            <w:noWrap/>
            <w:vAlign w:val="bottom"/>
          </w:tcPr>
          <w:p w14:paraId="1682FD7C">
            <w:pPr>
              <w:widowControl/>
              <w:snapToGrid w:val="0"/>
              <w:jc w:val="center"/>
              <w:textAlignment w:val="center"/>
              <w:rPr>
                <w:rFonts w:asciiTheme="minorEastAsia" w:hAnsiTheme="minorEastAsia" w:cstheme="minorEastAsia"/>
                <w:color w:val="000000"/>
                <w:kern w:val="0"/>
                <w:sz w:val="13"/>
                <w:szCs w:val="13"/>
              </w:rPr>
            </w:pPr>
          </w:p>
        </w:tc>
        <w:tc>
          <w:tcPr>
            <w:tcW w:w="1235" w:type="pct"/>
            <w:gridSpan w:val="2"/>
            <w:noWrap/>
            <w:vAlign w:val="center"/>
          </w:tcPr>
          <w:p w14:paraId="03E01807">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单位：万元</w:t>
            </w:r>
          </w:p>
        </w:tc>
      </w:tr>
      <w:tr w14:paraId="782DEAC8">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60FD2C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FD8B5A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支      出 </w:t>
            </w:r>
          </w:p>
        </w:tc>
      </w:tr>
      <w:tr w14:paraId="3E2D539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C203A7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657" w:type="pct"/>
            <w:tcBorders>
              <w:top w:val="nil"/>
              <w:left w:val="nil"/>
              <w:bottom w:val="nil"/>
              <w:right w:val="single" w:color="000000" w:sz="4" w:space="0"/>
            </w:tcBorders>
            <w:noWrap/>
            <w:vAlign w:val="center"/>
          </w:tcPr>
          <w:p w14:paraId="1C5C8CF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948" w:type="pct"/>
            <w:tcBorders>
              <w:top w:val="nil"/>
              <w:left w:val="nil"/>
              <w:bottom w:val="single" w:color="000000" w:sz="4" w:space="0"/>
              <w:right w:val="single" w:color="000000" w:sz="4" w:space="0"/>
            </w:tcBorders>
            <w:noWrap/>
            <w:vAlign w:val="center"/>
          </w:tcPr>
          <w:p w14:paraId="1154E343">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577" w:type="pct"/>
            <w:tcBorders>
              <w:top w:val="nil"/>
              <w:left w:val="nil"/>
              <w:bottom w:val="single" w:color="000000" w:sz="4" w:space="0"/>
              <w:right w:val="single" w:color="000000" w:sz="4" w:space="0"/>
            </w:tcBorders>
            <w:noWrap/>
            <w:vAlign w:val="center"/>
          </w:tcPr>
          <w:p w14:paraId="5DE2971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合计</w:t>
            </w:r>
          </w:p>
        </w:tc>
        <w:tc>
          <w:tcPr>
            <w:tcW w:w="612" w:type="pct"/>
            <w:tcBorders>
              <w:top w:val="nil"/>
              <w:left w:val="nil"/>
              <w:bottom w:val="single" w:color="000000" w:sz="4" w:space="0"/>
              <w:right w:val="single" w:color="000000" w:sz="4" w:space="0"/>
            </w:tcBorders>
            <w:noWrap/>
            <w:vAlign w:val="center"/>
          </w:tcPr>
          <w:p w14:paraId="57E262B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一般公共预算支出</w:t>
            </w:r>
          </w:p>
        </w:tc>
        <w:tc>
          <w:tcPr>
            <w:tcW w:w="602" w:type="pct"/>
            <w:tcBorders>
              <w:top w:val="nil"/>
              <w:left w:val="nil"/>
              <w:bottom w:val="single" w:color="000000" w:sz="4" w:space="0"/>
              <w:right w:val="single" w:color="000000" w:sz="4" w:space="0"/>
            </w:tcBorders>
            <w:noWrap/>
            <w:vAlign w:val="center"/>
          </w:tcPr>
          <w:p w14:paraId="44F5804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政府性基金预算支出</w:t>
            </w:r>
          </w:p>
        </w:tc>
        <w:tc>
          <w:tcPr>
            <w:tcW w:w="632" w:type="pct"/>
            <w:tcBorders>
              <w:top w:val="nil"/>
              <w:left w:val="nil"/>
              <w:bottom w:val="single" w:color="000000" w:sz="4" w:space="0"/>
              <w:right w:val="single" w:color="000000" w:sz="4" w:space="0"/>
            </w:tcBorders>
            <w:noWrap/>
            <w:vAlign w:val="center"/>
          </w:tcPr>
          <w:p w14:paraId="5998D08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国有资本经营预算支出</w:t>
            </w:r>
          </w:p>
        </w:tc>
      </w:tr>
      <w:tr w14:paraId="3C35C2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1F4DAD">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一、本年收入</w:t>
            </w:r>
          </w:p>
        </w:tc>
        <w:tc>
          <w:tcPr>
            <w:tcW w:w="657" w:type="pct"/>
            <w:tcBorders>
              <w:top w:val="single" w:color="000000" w:sz="4" w:space="0"/>
              <w:left w:val="nil"/>
              <w:bottom w:val="single" w:color="000000" w:sz="4" w:space="0"/>
              <w:right w:val="single" w:color="000000" w:sz="4" w:space="0"/>
            </w:tcBorders>
            <w:noWrap/>
            <w:vAlign w:val="center"/>
          </w:tcPr>
          <w:p w14:paraId="435F034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948" w:type="pct"/>
            <w:tcBorders>
              <w:top w:val="nil"/>
              <w:left w:val="nil"/>
              <w:bottom w:val="single" w:color="000000" w:sz="4" w:space="0"/>
              <w:right w:val="single" w:color="000000" w:sz="4" w:space="0"/>
            </w:tcBorders>
            <w:noWrap/>
            <w:vAlign w:val="center"/>
          </w:tcPr>
          <w:p w14:paraId="206D4F0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577" w:type="pct"/>
            <w:tcBorders>
              <w:top w:val="nil"/>
              <w:left w:val="nil"/>
              <w:bottom w:val="single" w:color="000000" w:sz="4" w:space="0"/>
              <w:right w:val="single" w:color="000000" w:sz="4" w:space="0"/>
            </w:tcBorders>
            <w:noWrap/>
            <w:vAlign w:val="center"/>
          </w:tcPr>
          <w:p w14:paraId="0E51936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628.05</w:t>
            </w:r>
          </w:p>
        </w:tc>
        <w:tc>
          <w:tcPr>
            <w:tcW w:w="612" w:type="pct"/>
            <w:tcBorders>
              <w:top w:val="nil"/>
              <w:left w:val="nil"/>
              <w:bottom w:val="single" w:color="000000" w:sz="4" w:space="0"/>
              <w:right w:val="single" w:color="000000" w:sz="4" w:space="0"/>
            </w:tcBorders>
            <w:noWrap/>
            <w:vAlign w:val="center"/>
          </w:tcPr>
          <w:p w14:paraId="19D7E1B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628.05</w:t>
            </w:r>
          </w:p>
        </w:tc>
        <w:tc>
          <w:tcPr>
            <w:tcW w:w="602" w:type="pct"/>
            <w:tcBorders>
              <w:top w:val="nil"/>
              <w:left w:val="nil"/>
              <w:bottom w:val="single" w:color="000000" w:sz="4" w:space="0"/>
              <w:right w:val="single" w:color="000000" w:sz="4" w:space="0"/>
            </w:tcBorders>
            <w:noWrap/>
            <w:vAlign w:val="center"/>
          </w:tcPr>
          <w:p w14:paraId="7C5752D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nil"/>
              <w:left w:val="nil"/>
              <w:bottom w:val="single" w:color="000000" w:sz="4" w:space="0"/>
              <w:right w:val="single" w:color="000000" w:sz="4" w:space="0"/>
            </w:tcBorders>
            <w:noWrap/>
            <w:vAlign w:val="center"/>
          </w:tcPr>
          <w:p w14:paraId="11E81B2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6FB937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DEF40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一般公共预算拨款收入</w:t>
            </w:r>
          </w:p>
        </w:tc>
        <w:tc>
          <w:tcPr>
            <w:tcW w:w="657" w:type="pct"/>
            <w:noWrap/>
            <w:vAlign w:val="center"/>
          </w:tcPr>
          <w:p w14:paraId="6382E1D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948" w:type="pct"/>
            <w:tcBorders>
              <w:top w:val="nil"/>
              <w:left w:val="single" w:color="000000" w:sz="4" w:space="0"/>
              <w:bottom w:val="single" w:color="000000" w:sz="4" w:space="0"/>
              <w:right w:val="single" w:color="000000" w:sz="4" w:space="0"/>
            </w:tcBorders>
            <w:noWrap/>
            <w:vAlign w:val="center"/>
          </w:tcPr>
          <w:p w14:paraId="657D6788">
            <w:pPr>
              <w:widowControl/>
              <w:snapToGrid w:val="0"/>
              <w:jc w:val="center"/>
              <w:textAlignment w:val="center"/>
              <w:rPr>
                <w:rFonts w:asciiTheme="minorEastAsia" w:hAnsiTheme="minorEastAsia" w:cstheme="minorEastAsia"/>
                <w:color w:val="000000"/>
                <w:kern w:val="0"/>
                <w:szCs w:val="21"/>
              </w:rPr>
            </w:pPr>
            <w:r>
              <w:t>社会保障和就业支出</w:t>
            </w:r>
          </w:p>
        </w:tc>
        <w:tc>
          <w:tcPr>
            <w:tcW w:w="577" w:type="pct"/>
            <w:tcBorders>
              <w:top w:val="nil"/>
              <w:left w:val="nil"/>
              <w:bottom w:val="single" w:color="000000" w:sz="4" w:space="0"/>
              <w:right w:val="single" w:color="000000" w:sz="4" w:space="0"/>
            </w:tcBorders>
            <w:noWrap/>
            <w:vAlign w:val="center"/>
          </w:tcPr>
          <w:p w14:paraId="29073722">
            <w:pPr>
              <w:widowControl/>
              <w:snapToGrid w:val="0"/>
              <w:jc w:val="center"/>
              <w:textAlignment w:val="center"/>
              <w:rPr>
                <w:rFonts w:asciiTheme="minorEastAsia" w:hAnsiTheme="minorEastAsia" w:cstheme="minorEastAsia"/>
                <w:color w:val="000000"/>
                <w:kern w:val="0"/>
                <w:szCs w:val="21"/>
              </w:rPr>
            </w:pPr>
            <w:r>
              <w:t>35.07</w:t>
            </w:r>
          </w:p>
        </w:tc>
        <w:tc>
          <w:tcPr>
            <w:tcW w:w="612" w:type="pct"/>
            <w:tcBorders>
              <w:top w:val="nil"/>
              <w:left w:val="nil"/>
              <w:bottom w:val="single" w:color="000000" w:sz="4" w:space="0"/>
              <w:right w:val="single" w:color="000000" w:sz="4" w:space="0"/>
            </w:tcBorders>
            <w:noWrap/>
            <w:vAlign w:val="center"/>
          </w:tcPr>
          <w:p w14:paraId="228868FB">
            <w:pPr>
              <w:widowControl/>
              <w:snapToGrid w:val="0"/>
              <w:jc w:val="center"/>
              <w:textAlignment w:val="center"/>
              <w:rPr>
                <w:rFonts w:asciiTheme="minorEastAsia" w:hAnsiTheme="minorEastAsia" w:cstheme="minorEastAsia"/>
                <w:color w:val="000000"/>
                <w:kern w:val="0"/>
                <w:szCs w:val="21"/>
              </w:rPr>
            </w:pPr>
            <w:r>
              <w:t>35.07</w:t>
            </w:r>
          </w:p>
        </w:tc>
        <w:tc>
          <w:tcPr>
            <w:tcW w:w="602" w:type="pct"/>
            <w:tcBorders>
              <w:top w:val="nil"/>
              <w:left w:val="nil"/>
              <w:bottom w:val="single" w:color="000000" w:sz="4" w:space="0"/>
              <w:right w:val="single" w:color="000000" w:sz="4" w:space="0"/>
            </w:tcBorders>
            <w:noWrap/>
            <w:vAlign w:val="center"/>
          </w:tcPr>
          <w:p w14:paraId="21AC517C">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7C6F899D">
            <w:pPr>
              <w:widowControl/>
              <w:snapToGrid w:val="0"/>
              <w:jc w:val="center"/>
              <w:textAlignment w:val="center"/>
              <w:rPr>
                <w:rFonts w:asciiTheme="minorEastAsia" w:hAnsiTheme="minorEastAsia" w:cstheme="minorEastAsia"/>
                <w:color w:val="000000"/>
                <w:kern w:val="0"/>
                <w:szCs w:val="21"/>
              </w:rPr>
            </w:pPr>
            <w:r>
              <w:t>0.00</w:t>
            </w:r>
          </w:p>
        </w:tc>
      </w:tr>
      <w:tr w14:paraId="13DEC5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4B36A9">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723656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nil"/>
              <w:left w:val="nil"/>
              <w:bottom w:val="single" w:color="000000" w:sz="4" w:space="0"/>
              <w:right w:val="single" w:color="000000" w:sz="4" w:space="0"/>
            </w:tcBorders>
            <w:noWrap/>
            <w:vAlign w:val="center"/>
          </w:tcPr>
          <w:p w14:paraId="35EE00D1">
            <w:pPr>
              <w:widowControl/>
              <w:snapToGrid w:val="0"/>
              <w:jc w:val="center"/>
              <w:textAlignment w:val="center"/>
              <w:rPr>
                <w:rFonts w:asciiTheme="minorEastAsia" w:hAnsiTheme="minorEastAsia" w:cstheme="minorEastAsia"/>
                <w:color w:val="000000"/>
                <w:kern w:val="0"/>
                <w:szCs w:val="21"/>
              </w:rPr>
            </w:pPr>
            <w:r>
              <w:t>卫生健康支出</w:t>
            </w:r>
          </w:p>
        </w:tc>
        <w:tc>
          <w:tcPr>
            <w:tcW w:w="577" w:type="pct"/>
            <w:tcBorders>
              <w:top w:val="nil"/>
              <w:left w:val="nil"/>
              <w:bottom w:val="single" w:color="000000" w:sz="4" w:space="0"/>
              <w:right w:val="single" w:color="000000" w:sz="4" w:space="0"/>
            </w:tcBorders>
            <w:noWrap/>
            <w:vAlign w:val="center"/>
          </w:tcPr>
          <w:p w14:paraId="4CBA205C">
            <w:pPr>
              <w:widowControl/>
              <w:snapToGrid w:val="0"/>
              <w:jc w:val="center"/>
              <w:textAlignment w:val="center"/>
              <w:rPr>
                <w:rFonts w:asciiTheme="minorEastAsia" w:hAnsiTheme="minorEastAsia" w:cstheme="minorEastAsia"/>
                <w:color w:val="000000"/>
                <w:kern w:val="0"/>
                <w:szCs w:val="21"/>
              </w:rPr>
            </w:pPr>
            <w:r>
              <w:t>14.90</w:t>
            </w:r>
          </w:p>
        </w:tc>
        <w:tc>
          <w:tcPr>
            <w:tcW w:w="612" w:type="pct"/>
            <w:tcBorders>
              <w:top w:val="nil"/>
              <w:left w:val="nil"/>
              <w:bottom w:val="single" w:color="000000" w:sz="4" w:space="0"/>
              <w:right w:val="single" w:color="000000" w:sz="4" w:space="0"/>
            </w:tcBorders>
            <w:noWrap/>
            <w:vAlign w:val="center"/>
          </w:tcPr>
          <w:p w14:paraId="390CF055">
            <w:pPr>
              <w:widowControl/>
              <w:snapToGrid w:val="0"/>
              <w:jc w:val="center"/>
              <w:textAlignment w:val="center"/>
              <w:rPr>
                <w:rFonts w:asciiTheme="minorEastAsia" w:hAnsiTheme="minorEastAsia" w:cstheme="minorEastAsia"/>
                <w:color w:val="000000"/>
                <w:kern w:val="0"/>
                <w:szCs w:val="21"/>
              </w:rPr>
            </w:pPr>
            <w:r>
              <w:t>14.90</w:t>
            </w:r>
          </w:p>
        </w:tc>
        <w:tc>
          <w:tcPr>
            <w:tcW w:w="602" w:type="pct"/>
            <w:tcBorders>
              <w:top w:val="nil"/>
              <w:left w:val="nil"/>
              <w:bottom w:val="single" w:color="000000" w:sz="4" w:space="0"/>
              <w:right w:val="single" w:color="000000" w:sz="4" w:space="0"/>
            </w:tcBorders>
            <w:noWrap/>
            <w:vAlign w:val="center"/>
          </w:tcPr>
          <w:p w14:paraId="51DE4351">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2DCA9C14">
            <w:pPr>
              <w:widowControl/>
              <w:snapToGrid w:val="0"/>
              <w:jc w:val="center"/>
              <w:textAlignment w:val="center"/>
              <w:rPr>
                <w:rFonts w:asciiTheme="minorEastAsia" w:hAnsiTheme="minorEastAsia" w:cstheme="minorEastAsia"/>
                <w:color w:val="000000"/>
                <w:kern w:val="0"/>
                <w:szCs w:val="21"/>
              </w:rPr>
            </w:pPr>
            <w:r>
              <w:t>0.00</w:t>
            </w:r>
          </w:p>
        </w:tc>
      </w:tr>
      <w:tr w14:paraId="32F4FE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FCE09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国有资本经营预算收入</w:t>
            </w:r>
          </w:p>
        </w:tc>
        <w:tc>
          <w:tcPr>
            <w:tcW w:w="657" w:type="pct"/>
            <w:tcBorders>
              <w:top w:val="nil"/>
              <w:left w:val="nil"/>
              <w:bottom w:val="single" w:color="000000" w:sz="4" w:space="0"/>
              <w:right w:val="single" w:color="000000" w:sz="4" w:space="0"/>
            </w:tcBorders>
            <w:vAlign w:val="center"/>
          </w:tcPr>
          <w:p w14:paraId="5E68F6A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000000" w:sz="4" w:space="0"/>
              <w:right w:val="single" w:color="000000" w:sz="4" w:space="0"/>
            </w:tcBorders>
            <w:noWrap/>
            <w:vAlign w:val="center"/>
          </w:tcPr>
          <w:p w14:paraId="4B4409BD">
            <w:pPr>
              <w:widowControl/>
              <w:snapToGrid w:val="0"/>
              <w:jc w:val="center"/>
              <w:textAlignment w:val="center"/>
              <w:rPr>
                <w:rFonts w:asciiTheme="minorEastAsia" w:hAnsiTheme="minorEastAsia" w:cstheme="minorEastAsia"/>
                <w:color w:val="000000"/>
                <w:kern w:val="0"/>
                <w:szCs w:val="21"/>
              </w:rPr>
            </w:pPr>
            <w:r>
              <w:t>住房保障支出</w:t>
            </w:r>
          </w:p>
        </w:tc>
        <w:tc>
          <w:tcPr>
            <w:tcW w:w="577" w:type="pct"/>
            <w:tcBorders>
              <w:top w:val="nil"/>
              <w:left w:val="nil"/>
              <w:bottom w:val="single" w:color="000000" w:sz="4" w:space="0"/>
              <w:right w:val="single" w:color="000000" w:sz="4" w:space="0"/>
            </w:tcBorders>
            <w:noWrap/>
            <w:vAlign w:val="center"/>
          </w:tcPr>
          <w:p w14:paraId="5E5B7031">
            <w:pPr>
              <w:widowControl/>
              <w:snapToGrid w:val="0"/>
              <w:jc w:val="center"/>
              <w:textAlignment w:val="center"/>
              <w:rPr>
                <w:rFonts w:asciiTheme="minorEastAsia" w:hAnsiTheme="minorEastAsia" w:cstheme="minorEastAsia"/>
                <w:color w:val="000000"/>
                <w:kern w:val="0"/>
                <w:szCs w:val="21"/>
              </w:rPr>
            </w:pPr>
            <w:r>
              <w:t>26.30</w:t>
            </w:r>
          </w:p>
        </w:tc>
        <w:tc>
          <w:tcPr>
            <w:tcW w:w="612" w:type="pct"/>
            <w:tcBorders>
              <w:top w:val="nil"/>
              <w:left w:val="nil"/>
              <w:bottom w:val="single" w:color="000000" w:sz="4" w:space="0"/>
              <w:right w:val="single" w:color="000000" w:sz="4" w:space="0"/>
            </w:tcBorders>
            <w:noWrap/>
            <w:vAlign w:val="center"/>
          </w:tcPr>
          <w:p w14:paraId="2A72B10E">
            <w:pPr>
              <w:widowControl/>
              <w:snapToGrid w:val="0"/>
              <w:jc w:val="center"/>
              <w:textAlignment w:val="center"/>
              <w:rPr>
                <w:rFonts w:asciiTheme="minorEastAsia" w:hAnsiTheme="minorEastAsia" w:cstheme="minorEastAsia"/>
                <w:color w:val="000000"/>
                <w:kern w:val="0"/>
                <w:szCs w:val="21"/>
              </w:rPr>
            </w:pPr>
            <w:r>
              <w:t>26.30</w:t>
            </w:r>
          </w:p>
        </w:tc>
        <w:tc>
          <w:tcPr>
            <w:tcW w:w="602" w:type="pct"/>
            <w:tcBorders>
              <w:top w:val="nil"/>
              <w:left w:val="nil"/>
              <w:bottom w:val="single" w:color="000000" w:sz="4" w:space="0"/>
              <w:right w:val="single" w:color="000000" w:sz="4" w:space="0"/>
            </w:tcBorders>
            <w:noWrap/>
            <w:vAlign w:val="center"/>
          </w:tcPr>
          <w:p w14:paraId="4FFDC655">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5C9A0E84">
            <w:pPr>
              <w:widowControl/>
              <w:snapToGrid w:val="0"/>
              <w:jc w:val="center"/>
              <w:textAlignment w:val="center"/>
              <w:rPr>
                <w:rFonts w:asciiTheme="minorEastAsia" w:hAnsiTheme="minorEastAsia" w:cstheme="minorEastAsia"/>
                <w:color w:val="000000"/>
                <w:kern w:val="0"/>
                <w:szCs w:val="21"/>
              </w:rPr>
            </w:pPr>
            <w:r>
              <w:t>0.00</w:t>
            </w:r>
          </w:p>
        </w:tc>
      </w:tr>
      <w:tr w14:paraId="6DBC1A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B47B5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BD09E9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8FF7B3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3E5434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24400E1">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A6CE0A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EE1F609">
            <w:pPr>
              <w:widowControl/>
              <w:snapToGrid w:val="0"/>
              <w:jc w:val="center"/>
              <w:textAlignment w:val="center"/>
              <w:rPr>
                <w:rFonts w:asciiTheme="minorEastAsia" w:hAnsiTheme="minorEastAsia" w:cstheme="minorEastAsia"/>
                <w:color w:val="000000"/>
                <w:kern w:val="0"/>
                <w:szCs w:val="21"/>
              </w:rPr>
            </w:pPr>
          </w:p>
        </w:tc>
      </w:tr>
      <w:tr w14:paraId="72265A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4BCCAC">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7E7854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CE7C4D6">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09A2F0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23C87A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7BAB66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1A94572">
            <w:pPr>
              <w:widowControl/>
              <w:snapToGrid w:val="0"/>
              <w:jc w:val="center"/>
              <w:textAlignment w:val="center"/>
              <w:rPr>
                <w:rFonts w:asciiTheme="minorEastAsia" w:hAnsiTheme="minorEastAsia" w:cstheme="minorEastAsia"/>
                <w:color w:val="000000"/>
                <w:kern w:val="0"/>
                <w:szCs w:val="21"/>
              </w:rPr>
            </w:pPr>
          </w:p>
        </w:tc>
      </w:tr>
      <w:tr w14:paraId="77745A1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43907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5E1F3D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D9817C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F76D006">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7B4E135">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8772A9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BF70BD8">
            <w:pPr>
              <w:widowControl/>
              <w:snapToGrid w:val="0"/>
              <w:jc w:val="center"/>
              <w:textAlignment w:val="center"/>
              <w:rPr>
                <w:rFonts w:asciiTheme="minorEastAsia" w:hAnsiTheme="minorEastAsia" w:cstheme="minorEastAsia"/>
                <w:color w:val="000000"/>
                <w:kern w:val="0"/>
                <w:szCs w:val="21"/>
              </w:rPr>
            </w:pPr>
          </w:p>
        </w:tc>
      </w:tr>
      <w:tr w14:paraId="306A1D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B03609">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15D4A63">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94E474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7739B9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551F98C">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D47AC98">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4AE9AAA">
            <w:pPr>
              <w:widowControl/>
              <w:snapToGrid w:val="0"/>
              <w:jc w:val="center"/>
              <w:textAlignment w:val="center"/>
              <w:rPr>
                <w:rFonts w:asciiTheme="minorEastAsia" w:hAnsiTheme="minorEastAsia" w:cstheme="minorEastAsia"/>
                <w:color w:val="000000"/>
                <w:kern w:val="0"/>
                <w:szCs w:val="21"/>
              </w:rPr>
            </w:pPr>
          </w:p>
        </w:tc>
      </w:tr>
      <w:tr w14:paraId="59F4C6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62939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6EF6B7F">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BD8C1A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B8DE05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7A2C65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1657A09">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A81D2A6">
            <w:pPr>
              <w:widowControl/>
              <w:snapToGrid w:val="0"/>
              <w:jc w:val="center"/>
              <w:textAlignment w:val="center"/>
              <w:rPr>
                <w:rFonts w:asciiTheme="minorEastAsia" w:hAnsiTheme="minorEastAsia" w:cstheme="minorEastAsia"/>
                <w:color w:val="000000"/>
                <w:kern w:val="0"/>
                <w:szCs w:val="21"/>
              </w:rPr>
            </w:pPr>
          </w:p>
        </w:tc>
      </w:tr>
      <w:tr w14:paraId="76BC09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C86B32">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4923F3C">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82245F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D1B770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B195D3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FDAA6E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43B98E9">
            <w:pPr>
              <w:widowControl/>
              <w:snapToGrid w:val="0"/>
              <w:jc w:val="center"/>
              <w:textAlignment w:val="center"/>
              <w:rPr>
                <w:rFonts w:asciiTheme="minorEastAsia" w:hAnsiTheme="minorEastAsia" w:cstheme="minorEastAsia"/>
                <w:color w:val="000000"/>
                <w:kern w:val="0"/>
                <w:szCs w:val="21"/>
              </w:rPr>
            </w:pPr>
          </w:p>
        </w:tc>
      </w:tr>
      <w:tr w14:paraId="3D545D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F964E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35E445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2C124D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4E4CBC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7F17B4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01D0B40">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8B37359">
            <w:pPr>
              <w:widowControl/>
              <w:snapToGrid w:val="0"/>
              <w:jc w:val="center"/>
              <w:textAlignment w:val="center"/>
              <w:rPr>
                <w:rFonts w:asciiTheme="minorEastAsia" w:hAnsiTheme="minorEastAsia" w:cstheme="minorEastAsia"/>
                <w:color w:val="000000"/>
                <w:kern w:val="0"/>
                <w:szCs w:val="21"/>
              </w:rPr>
            </w:pPr>
          </w:p>
        </w:tc>
      </w:tr>
      <w:tr w14:paraId="097A94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635F21">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B7BD34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6D5887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CC906C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066C51C">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9907DA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BBF2909">
            <w:pPr>
              <w:widowControl/>
              <w:snapToGrid w:val="0"/>
              <w:jc w:val="center"/>
              <w:textAlignment w:val="center"/>
              <w:rPr>
                <w:rFonts w:asciiTheme="minorEastAsia" w:hAnsiTheme="minorEastAsia" w:cstheme="minorEastAsia"/>
                <w:color w:val="000000"/>
                <w:kern w:val="0"/>
                <w:szCs w:val="21"/>
              </w:rPr>
            </w:pPr>
          </w:p>
        </w:tc>
      </w:tr>
      <w:tr w14:paraId="23B604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AA063B">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941BCD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760974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6913FF3">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0FBFC0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9A2D56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30D30F8">
            <w:pPr>
              <w:widowControl/>
              <w:snapToGrid w:val="0"/>
              <w:jc w:val="center"/>
              <w:textAlignment w:val="center"/>
              <w:rPr>
                <w:rFonts w:asciiTheme="minorEastAsia" w:hAnsiTheme="minorEastAsia" w:cstheme="minorEastAsia"/>
                <w:color w:val="000000"/>
                <w:kern w:val="0"/>
                <w:szCs w:val="21"/>
              </w:rPr>
            </w:pPr>
          </w:p>
        </w:tc>
      </w:tr>
      <w:tr w14:paraId="21F433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FDEB6B">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5381502">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AF17F0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D14D06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21D3CE0">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7DEB92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F1CD065">
            <w:pPr>
              <w:widowControl/>
              <w:snapToGrid w:val="0"/>
              <w:jc w:val="center"/>
              <w:textAlignment w:val="center"/>
              <w:rPr>
                <w:rFonts w:asciiTheme="minorEastAsia" w:hAnsiTheme="minorEastAsia" w:cstheme="minorEastAsia"/>
                <w:color w:val="000000"/>
                <w:kern w:val="0"/>
                <w:szCs w:val="21"/>
              </w:rPr>
            </w:pPr>
          </w:p>
        </w:tc>
      </w:tr>
      <w:tr w14:paraId="4DA2FF3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A0D00C">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23EF01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FAFF80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8AE78B6">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A7F3B6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55DF63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AAB685F">
            <w:pPr>
              <w:widowControl/>
              <w:snapToGrid w:val="0"/>
              <w:jc w:val="center"/>
              <w:textAlignment w:val="center"/>
              <w:rPr>
                <w:rFonts w:asciiTheme="minorEastAsia" w:hAnsiTheme="minorEastAsia" w:cstheme="minorEastAsia"/>
                <w:color w:val="000000"/>
                <w:kern w:val="0"/>
                <w:szCs w:val="21"/>
              </w:rPr>
            </w:pPr>
          </w:p>
        </w:tc>
      </w:tr>
      <w:tr w14:paraId="74D977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DC6E1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0118C2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ECEF95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381C2D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7CD215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EE8931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E165F0F">
            <w:pPr>
              <w:widowControl/>
              <w:snapToGrid w:val="0"/>
              <w:jc w:val="center"/>
              <w:textAlignment w:val="center"/>
              <w:rPr>
                <w:rFonts w:asciiTheme="minorEastAsia" w:hAnsiTheme="minorEastAsia" w:cstheme="minorEastAsia"/>
                <w:color w:val="000000"/>
                <w:kern w:val="0"/>
                <w:szCs w:val="21"/>
              </w:rPr>
            </w:pPr>
          </w:p>
        </w:tc>
      </w:tr>
      <w:tr w14:paraId="7DB0B3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9ABBCF">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40D1A8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AF3297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4B105D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1C4B848">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6D2B37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05617CA">
            <w:pPr>
              <w:widowControl/>
              <w:snapToGrid w:val="0"/>
              <w:jc w:val="center"/>
              <w:textAlignment w:val="center"/>
              <w:rPr>
                <w:rFonts w:asciiTheme="minorEastAsia" w:hAnsiTheme="minorEastAsia" w:cstheme="minorEastAsia"/>
                <w:color w:val="000000"/>
                <w:kern w:val="0"/>
                <w:szCs w:val="21"/>
              </w:rPr>
            </w:pPr>
          </w:p>
        </w:tc>
      </w:tr>
      <w:tr w14:paraId="318165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C577A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F6CAED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EE896B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7B057FF">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D4A5088">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C18A5D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0D079DD">
            <w:pPr>
              <w:widowControl/>
              <w:snapToGrid w:val="0"/>
              <w:jc w:val="center"/>
              <w:textAlignment w:val="center"/>
              <w:rPr>
                <w:rFonts w:asciiTheme="minorEastAsia" w:hAnsiTheme="minorEastAsia" w:cstheme="minorEastAsia"/>
                <w:color w:val="000000"/>
                <w:kern w:val="0"/>
                <w:szCs w:val="21"/>
              </w:rPr>
            </w:pPr>
          </w:p>
        </w:tc>
      </w:tr>
      <w:tr w14:paraId="45D09F6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D49F5A">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6F4FAB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D71F2BD">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19E842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2C6D42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E79477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94C604D">
            <w:pPr>
              <w:widowControl/>
              <w:snapToGrid w:val="0"/>
              <w:jc w:val="center"/>
              <w:textAlignment w:val="center"/>
              <w:rPr>
                <w:rFonts w:asciiTheme="minorEastAsia" w:hAnsiTheme="minorEastAsia" w:cstheme="minorEastAsia"/>
                <w:color w:val="000000"/>
                <w:kern w:val="0"/>
                <w:szCs w:val="21"/>
              </w:rPr>
            </w:pPr>
          </w:p>
        </w:tc>
      </w:tr>
      <w:tr w14:paraId="1275A3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147EA2">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6E9F494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1C8A60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9CB8CA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1FC5E4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A530F0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B836DFB">
            <w:pPr>
              <w:widowControl/>
              <w:snapToGrid w:val="0"/>
              <w:jc w:val="center"/>
              <w:textAlignment w:val="center"/>
              <w:rPr>
                <w:rFonts w:asciiTheme="minorEastAsia" w:hAnsiTheme="minorEastAsia" w:cstheme="minorEastAsia"/>
                <w:color w:val="000000"/>
                <w:kern w:val="0"/>
                <w:szCs w:val="21"/>
              </w:rPr>
            </w:pPr>
          </w:p>
        </w:tc>
      </w:tr>
      <w:tr w14:paraId="446370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0C90E2">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29C3EF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6183A3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13E9486">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CC4E364">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16C92F7">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E6DA36F">
            <w:pPr>
              <w:widowControl/>
              <w:snapToGrid w:val="0"/>
              <w:jc w:val="center"/>
              <w:textAlignment w:val="center"/>
              <w:rPr>
                <w:rFonts w:asciiTheme="minorEastAsia" w:hAnsiTheme="minorEastAsia" w:cstheme="minorEastAsia"/>
                <w:color w:val="000000"/>
                <w:kern w:val="0"/>
                <w:szCs w:val="21"/>
              </w:rPr>
            </w:pPr>
          </w:p>
        </w:tc>
      </w:tr>
      <w:tr w14:paraId="15C1AC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92F97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20588C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AF274C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A00FC0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0794EA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1713CE8">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A3C666C">
            <w:pPr>
              <w:widowControl/>
              <w:snapToGrid w:val="0"/>
              <w:jc w:val="center"/>
              <w:textAlignment w:val="center"/>
              <w:rPr>
                <w:rFonts w:asciiTheme="minorEastAsia" w:hAnsiTheme="minorEastAsia" w:cstheme="minorEastAsia"/>
                <w:color w:val="000000"/>
                <w:kern w:val="0"/>
                <w:szCs w:val="21"/>
              </w:rPr>
            </w:pPr>
          </w:p>
        </w:tc>
      </w:tr>
      <w:tr w14:paraId="7C8EC6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54210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026C572">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10AD5DF">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0FCDC7A">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6E7BA2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C2F65D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594DE1F">
            <w:pPr>
              <w:widowControl/>
              <w:snapToGrid w:val="0"/>
              <w:jc w:val="center"/>
              <w:textAlignment w:val="center"/>
              <w:rPr>
                <w:rFonts w:asciiTheme="minorEastAsia" w:hAnsiTheme="minorEastAsia" w:cstheme="minorEastAsia"/>
                <w:color w:val="000000"/>
                <w:kern w:val="0"/>
                <w:szCs w:val="21"/>
              </w:rPr>
            </w:pPr>
          </w:p>
        </w:tc>
      </w:tr>
      <w:tr w14:paraId="52054F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0B9A41">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CBE0593">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005065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6CD99E3">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9562F5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3EE3E9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ADAFB70">
            <w:pPr>
              <w:widowControl/>
              <w:snapToGrid w:val="0"/>
              <w:jc w:val="center"/>
              <w:textAlignment w:val="center"/>
              <w:rPr>
                <w:rFonts w:asciiTheme="minorEastAsia" w:hAnsiTheme="minorEastAsia" w:cstheme="minorEastAsia"/>
                <w:color w:val="000000"/>
                <w:kern w:val="0"/>
                <w:szCs w:val="21"/>
              </w:rPr>
            </w:pPr>
          </w:p>
        </w:tc>
      </w:tr>
      <w:tr w14:paraId="30441C3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7C64A6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single" w:color="000000" w:sz="4" w:space="0"/>
              <w:left w:val="nil"/>
              <w:bottom w:val="single" w:color="000000" w:sz="4" w:space="0"/>
              <w:right w:val="single" w:color="000000" w:sz="4" w:space="0"/>
            </w:tcBorders>
            <w:vAlign w:val="center"/>
          </w:tcPr>
          <w:p w14:paraId="6315A02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2114632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827CFA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CD3FB2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40F2D50">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F09C7DE">
            <w:pPr>
              <w:widowControl/>
              <w:snapToGrid w:val="0"/>
              <w:jc w:val="center"/>
              <w:textAlignment w:val="center"/>
              <w:rPr>
                <w:rFonts w:asciiTheme="minorEastAsia" w:hAnsiTheme="minorEastAsia" w:cstheme="minorEastAsia"/>
                <w:color w:val="000000"/>
                <w:kern w:val="0"/>
                <w:szCs w:val="21"/>
              </w:rPr>
            </w:pPr>
          </w:p>
        </w:tc>
      </w:tr>
      <w:tr w14:paraId="577C7E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D8E5C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23DBD5F">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A8F4A9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4177C9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9797AD1">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26411E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781A2B1">
            <w:pPr>
              <w:widowControl/>
              <w:snapToGrid w:val="0"/>
              <w:jc w:val="center"/>
              <w:textAlignment w:val="center"/>
              <w:rPr>
                <w:rFonts w:asciiTheme="minorEastAsia" w:hAnsiTheme="minorEastAsia" w:cstheme="minorEastAsia"/>
                <w:color w:val="000000"/>
                <w:kern w:val="0"/>
                <w:szCs w:val="21"/>
              </w:rPr>
            </w:pPr>
          </w:p>
        </w:tc>
      </w:tr>
      <w:tr w14:paraId="55ECC2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F8F9C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0DD4EBF2">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19A47D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3F6BD03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7F0AD4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7CA7587">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FF5638F">
            <w:pPr>
              <w:widowControl/>
              <w:snapToGrid w:val="0"/>
              <w:jc w:val="center"/>
              <w:textAlignment w:val="center"/>
              <w:rPr>
                <w:rFonts w:asciiTheme="minorEastAsia" w:hAnsiTheme="minorEastAsia" w:cstheme="minorEastAsia"/>
                <w:color w:val="000000"/>
                <w:kern w:val="0"/>
                <w:szCs w:val="21"/>
              </w:rPr>
            </w:pPr>
          </w:p>
        </w:tc>
      </w:tr>
      <w:tr w14:paraId="2BDFEB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4F225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nil"/>
              <w:left w:val="nil"/>
              <w:bottom w:val="single" w:color="000000" w:sz="4" w:space="0"/>
              <w:right w:val="single" w:color="000000" w:sz="4" w:space="0"/>
            </w:tcBorders>
            <w:vAlign w:val="center"/>
          </w:tcPr>
          <w:p w14:paraId="160C742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51CE890F">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A8F1BB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F77A9E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B23BF8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036FCB8">
            <w:pPr>
              <w:widowControl/>
              <w:snapToGrid w:val="0"/>
              <w:jc w:val="center"/>
              <w:textAlignment w:val="center"/>
              <w:rPr>
                <w:rFonts w:asciiTheme="minorEastAsia" w:hAnsiTheme="minorEastAsia" w:cstheme="minorEastAsia"/>
                <w:color w:val="000000"/>
                <w:kern w:val="0"/>
                <w:szCs w:val="21"/>
              </w:rPr>
            </w:pPr>
          </w:p>
        </w:tc>
      </w:tr>
      <w:tr w14:paraId="3ABD56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4BE062">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9E8085B">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D3EB71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18412B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411383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2808AD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C438718">
            <w:pPr>
              <w:widowControl/>
              <w:snapToGrid w:val="0"/>
              <w:jc w:val="center"/>
              <w:textAlignment w:val="center"/>
              <w:rPr>
                <w:rFonts w:asciiTheme="minorEastAsia" w:hAnsiTheme="minorEastAsia" w:cstheme="minorEastAsia"/>
                <w:color w:val="000000"/>
                <w:kern w:val="0"/>
                <w:szCs w:val="21"/>
              </w:rPr>
            </w:pPr>
          </w:p>
        </w:tc>
      </w:tr>
      <w:tr w14:paraId="15D3A4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DC8F45">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二、上年结转</w:t>
            </w:r>
          </w:p>
        </w:tc>
        <w:tc>
          <w:tcPr>
            <w:tcW w:w="657" w:type="pct"/>
            <w:tcBorders>
              <w:top w:val="nil"/>
              <w:left w:val="nil"/>
              <w:bottom w:val="single" w:color="auto" w:sz="4" w:space="0"/>
              <w:right w:val="single" w:color="000000" w:sz="4" w:space="0"/>
            </w:tcBorders>
            <w:vAlign w:val="center"/>
          </w:tcPr>
          <w:p w14:paraId="6BA0E84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auto" w:sz="4" w:space="0"/>
              <w:right w:val="single" w:color="000000" w:sz="4" w:space="0"/>
            </w:tcBorders>
            <w:noWrap/>
            <w:vAlign w:val="center"/>
          </w:tcPr>
          <w:p w14:paraId="381EA16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866653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A2D6900">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5E5F227">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82ED5D0">
            <w:pPr>
              <w:widowControl/>
              <w:snapToGrid w:val="0"/>
              <w:jc w:val="center"/>
              <w:textAlignment w:val="center"/>
              <w:rPr>
                <w:rFonts w:asciiTheme="minorEastAsia" w:hAnsiTheme="minorEastAsia" w:cstheme="minorEastAsia"/>
                <w:color w:val="000000"/>
                <w:kern w:val="0"/>
                <w:szCs w:val="21"/>
              </w:rPr>
            </w:pPr>
          </w:p>
        </w:tc>
      </w:tr>
      <w:tr w14:paraId="6995B1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EF43B04">
            <w:pPr>
              <w:widowControl/>
              <w:snapToGrid w:val="0"/>
              <w:ind w:firstLine="210" w:firstLineChars="10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53882C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502B56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nil"/>
              <w:left w:val="single" w:color="auto" w:sz="4" w:space="0"/>
              <w:bottom w:val="single" w:color="auto" w:sz="4" w:space="0"/>
              <w:right w:val="single" w:color="000000" w:sz="4" w:space="0"/>
            </w:tcBorders>
            <w:noWrap/>
            <w:vAlign w:val="center"/>
          </w:tcPr>
          <w:p w14:paraId="30D421B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auto" w:sz="4" w:space="0"/>
              <w:right w:val="single" w:color="000000" w:sz="4" w:space="0"/>
            </w:tcBorders>
            <w:noWrap/>
            <w:vAlign w:val="center"/>
          </w:tcPr>
          <w:p w14:paraId="7665CEC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auto" w:sz="4" w:space="0"/>
              <w:right w:val="single" w:color="000000" w:sz="4" w:space="0"/>
            </w:tcBorders>
            <w:noWrap/>
            <w:vAlign w:val="center"/>
          </w:tcPr>
          <w:p w14:paraId="579EF3D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auto" w:sz="4" w:space="0"/>
              <w:right w:val="single" w:color="000000" w:sz="4" w:space="0"/>
            </w:tcBorders>
            <w:noWrap/>
            <w:vAlign w:val="center"/>
          </w:tcPr>
          <w:p w14:paraId="47134E00">
            <w:pPr>
              <w:widowControl/>
              <w:snapToGrid w:val="0"/>
              <w:jc w:val="center"/>
              <w:textAlignment w:val="center"/>
              <w:rPr>
                <w:rFonts w:asciiTheme="minorEastAsia" w:hAnsiTheme="minorEastAsia" w:cstheme="minorEastAsia"/>
                <w:color w:val="000000"/>
                <w:kern w:val="0"/>
                <w:szCs w:val="21"/>
              </w:rPr>
            </w:pPr>
          </w:p>
        </w:tc>
      </w:tr>
      <w:tr w14:paraId="516B1E4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ABBDCC4">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65757E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822499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6FA5C62">
            <w:pPr>
              <w:widowControl/>
              <w:snapToGrid w:val="0"/>
              <w:jc w:val="center"/>
              <w:textAlignment w:val="center"/>
              <w:rPr>
                <w:rFonts w:asciiTheme="minorEastAsia" w:hAnsiTheme="minorEastAsia" w:cstheme="minorEastAsia"/>
                <w:color w:val="000000"/>
                <w:kern w:val="0"/>
                <w:szCs w:val="21"/>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A9484C0">
            <w:pPr>
              <w:widowControl/>
              <w:snapToGrid w:val="0"/>
              <w:jc w:val="center"/>
              <w:textAlignment w:val="center"/>
              <w:rPr>
                <w:rFonts w:asciiTheme="minorEastAsia" w:hAnsiTheme="minorEastAsia" w:cstheme="minorEastAsia"/>
                <w:color w:val="000000"/>
                <w:kern w:val="0"/>
                <w:szCs w:val="21"/>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F8E7733">
            <w:pPr>
              <w:widowControl/>
              <w:snapToGrid w:val="0"/>
              <w:jc w:val="center"/>
              <w:textAlignment w:val="center"/>
              <w:rPr>
                <w:rFonts w:asciiTheme="minorEastAsia" w:hAnsiTheme="minorEastAsia" w:cstheme="minorEastAsia"/>
                <w:color w:val="000000"/>
                <w:kern w:val="0"/>
                <w:szCs w:val="21"/>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FC9307C">
            <w:pPr>
              <w:widowControl/>
              <w:snapToGrid w:val="0"/>
              <w:jc w:val="center"/>
              <w:textAlignment w:val="center"/>
              <w:rPr>
                <w:rFonts w:asciiTheme="minorEastAsia" w:hAnsiTheme="minorEastAsia" w:cstheme="minorEastAsia"/>
                <w:color w:val="000000"/>
                <w:kern w:val="0"/>
                <w:szCs w:val="21"/>
              </w:rPr>
            </w:pPr>
          </w:p>
        </w:tc>
      </w:tr>
      <w:tr w14:paraId="44CB313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C1797B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015E3C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948" w:type="pct"/>
            <w:tcBorders>
              <w:top w:val="single" w:color="auto" w:sz="4" w:space="0"/>
              <w:left w:val="single" w:color="auto" w:sz="4" w:space="0"/>
              <w:bottom w:val="single" w:color="auto" w:sz="4" w:space="0"/>
              <w:right w:val="single" w:color="auto" w:sz="4" w:space="0"/>
            </w:tcBorders>
            <w:noWrap/>
            <w:vAlign w:val="center"/>
          </w:tcPr>
          <w:p w14:paraId="4AA6352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2D14B9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612" w:type="pct"/>
            <w:tcBorders>
              <w:top w:val="single" w:color="auto" w:sz="4" w:space="0"/>
              <w:left w:val="single" w:color="auto" w:sz="4" w:space="0"/>
              <w:bottom w:val="single" w:color="auto" w:sz="4" w:space="0"/>
              <w:right w:val="single" w:color="auto" w:sz="4" w:space="0"/>
            </w:tcBorders>
            <w:noWrap/>
            <w:vAlign w:val="center"/>
          </w:tcPr>
          <w:p w14:paraId="7C6CF39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704.33</w:t>
            </w:r>
          </w:p>
        </w:tc>
        <w:tc>
          <w:tcPr>
            <w:tcW w:w="602" w:type="pct"/>
            <w:tcBorders>
              <w:top w:val="single" w:color="auto" w:sz="4" w:space="0"/>
              <w:left w:val="single" w:color="auto" w:sz="4" w:space="0"/>
              <w:bottom w:val="single" w:color="auto" w:sz="4" w:space="0"/>
              <w:right w:val="single" w:color="auto" w:sz="4" w:space="0"/>
            </w:tcBorders>
            <w:noWrap/>
            <w:vAlign w:val="center"/>
          </w:tcPr>
          <w:p w14:paraId="6A1BA35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FB66AF9">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bl>
    <w:p w14:paraId="274ADFB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33A17CE8">
        <w:tblPrEx>
          <w:tblCellMar>
            <w:top w:w="0" w:type="dxa"/>
            <w:left w:w="108" w:type="dxa"/>
            <w:bottom w:w="0" w:type="dxa"/>
            <w:right w:w="108" w:type="dxa"/>
          </w:tblCellMar>
        </w:tblPrEx>
        <w:trPr>
          <w:trHeight w:val="585" w:hRule="atLeast"/>
          <w:tblHeader/>
        </w:trPr>
        <w:tc>
          <w:tcPr>
            <w:tcW w:w="5000" w:type="pct"/>
            <w:gridSpan w:val="5"/>
            <w:noWrap/>
            <w:vAlign w:val="center"/>
          </w:tcPr>
          <w:p w14:paraId="7710E5BF">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一般公共预算支出表</w:t>
            </w:r>
          </w:p>
        </w:tc>
      </w:tr>
      <w:tr w14:paraId="2951364F">
        <w:tblPrEx>
          <w:tblCellMar>
            <w:top w:w="0" w:type="dxa"/>
            <w:left w:w="108" w:type="dxa"/>
            <w:bottom w:w="0" w:type="dxa"/>
            <w:right w:w="108" w:type="dxa"/>
          </w:tblCellMar>
        </w:tblPrEx>
        <w:trPr>
          <w:trHeight w:val="420" w:hRule="atLeast"/>
          <w:tblHeader/>
        </w:trPr>
        <w:tc>
          <w:tcPr>
            <w:tcW w:w="2433" w:type="pct"/>
            <w:gridSpan w:val="2"/>
            <w:noWrap/>
            <w:vAlign w:val="center"/>
          </w:tcPr>
          <w:p w14:paraId="34306501">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填报单位:103景德镇市珠山区人民政府</w:t>
            </w:r>
          </w:p>
        </w:tc>
        <w:tc>
          <w:tcPr>
            <w:tcW w:w="1056" w:type="pct"/>
            <w:noWrap/>
            <w:vAlign w:val="bottom"/>
          </w:tcPr>
          <w:p w14:paraId="0AD15315">
            <w:pPr>
              <w:widowControl/>
              <w:snapToGrid w:val="0"/>
              <w:jc w:val="center"/>
              <w:textAlignment w:val="center"/>
              <w:rPr>
                <w:rFonts w:asciiTheme="minorEastAsia" w:hAnsiTheme="minorEastAsia" w:cstheme="minorEastAsia"/>
                <w:color w:val="000000"/>
                <w:kern w:val="0"/>
                <w:sz w:val="13"/>
                <w:szCs w:val="13"/>
              </w:rPr>
            </w:pPr>
          </w:p>
        </w:tc>
        <w:tc>
          <w:tcPr>
            <w:tcW w:w="684" w:type="pct"/>
            <w:noWrap/>
            <w:vAlign w:val="bottom"/>
          </w:tcPr>
          <w:p w14:paraId="6F997663">
            <w:pPr>
              <w:widowControl/>
              <w:snapToGrid w:val="0"/>
              <w:jc w:val="center"/>
              <w:textAlignment w:val="center"/>
              <w:rPr>
                <w:rFonts w:asciiTheme="minorEastAsia" w:hAnsiTheme="minorEastAsia" w:cstheme="minorEastAsia"/>
                <w:color w:val="000000"/>
                <w:kern w:val="0"/>
                <w:sz w:val="13"/>
                <w:szCs w:val="13"/>
              </w:rPr>
            </w:pPr>
          </w:p>
        </w:tc>
        <w:tc>
          <w:tcPr>
            <w:tcW w:w="825" w:type="pct"/>
            <w:noWrap/>
            <w:vAlign w:val="center"/>
          </w:tcPr>
          <w:p w14:paraId="017C24DF">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287DC3C1">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96CF50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A5D173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3E34EF7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60CA7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579" w:type="pct"/>
            <w:tcBorders>
              <w:top w:val="nil"/>
              <w:left w:val="nil"/>
              <w:bottom w:val="single" w:color="000000" w:sz="4" w:space="0"/>
              <w:right w:val="single" w:color="000000" w:sz="4" w:space="0"/>
            </w:tcBorders>
            <w:noWrap/>
            <w:vAlign w:val="center"/>
          </w:tcPr>
          <w:p w14:paraId="0B4057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56" w:type="pct"/>
            <w:tcBorders>
              <w:top w:val="nil"/>
              <w:left w:val="nil"/>
              <w:bottom w:val="single" w:color="000000" w:sz="4" w:space="0"/>
              <w:right w:val="single" w:color="000000" w:sz="4" w:space="0"/>
            </w:tcBorders>
            <w:noWrap/>
            <w:vAlign w:val="center"/>
          </w:tcPr>
          <w:p w14:paraId="0B75C5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84" w:type="pct"/>
            <w:tcBorders>
              <w:top w:val="nil"/>
              <w:left w:val="nil"/>
              <w:bottom w:val="single" w:color="000000" w:sz="4" w:space="0"/>
              <w:right w:val="single" w:color="000000" w:sz="4" w:space="0"/>
            </w:tcBorders>
            <w:noWrap/>
            <w:vAlign w:val="center"/>
          </w:tcPr>
          <w:p w14:paraId="45A00D7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825" w:type="pct"/>
            <w:tcBorders>
              <w:top w:val="nil"/>
              <w:left w:val="nil"/>
              <w:bottom w:val="single" w:color="000000" w:sz="4" w:space="0"/>
              <w:right w:val="single" w:color="000000" w:sz="4" w:space="0"/>
            </w:tcBorders>
            <w:noWrap/>
            <w:vAlign w:val="center"/>
          </w:tcPr>
          <w:p w14:paraId="5A18504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70645FD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C75B43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79" w:type="pct"/>
            <w:tcBorders>
              <w:top w:val="nil"/>
              <w:left w:val="nil"/>
              <w:bottom w:val="nil"/>
              <w:right w:val="single" w:color="000000" w:sz="4" w:space="0"/>
            </w:tcBorders>
            <w:noWrap/>
            <w:vAlign w:val="center"/>
          </w:tcPr>
          <w:p w14:paraId="51B36F9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56" w:type="pct"/>
            <w:tcBorders>
              <w:top w:val="nil"/>
              <w:left w:val="nil"/>
              <w:bottom w:val="nil"/>
              <w:right w:val="single" w:color="000000" w:sz="4" w:space="0"/>
            </w:tcBorders>
            <w:noWrap/>
            <w:vAlign w:val="center"/>
          </w:tcPr>
          <w:p w14:paraId="1A91FF4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nil"/>
              <w:bottom w:val="nil"/>
              <w:right w:val="single" w:color="000000" w:sz="4" w:space="0"/>
            </w:tcBorders>
            <w:noWrap/>
            <w:vAlign w:val="center"/>
          </w:tcPr>
          <w:p w14:paraId="7FE1E55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25" w:type="pct"/>
            <w:tcBorders>
              <w:top w:val="nil"/>
              <w:left w:val="nil"/>
              <w:bottom w:val="nil"/>
              <w:right w:val="single" w:color="000000" w:sz="4" w:space="0"/>
            </w:tcBorders>
            <w:noWrap/>
            <w:vAlign w:val="center"/>
          </w:tcPr>
          <w:p w14:paraId="1AA0DFE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04FB6B6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14BA46">
            <w:pPr>
              <w:widowControl/>
              <w:snapToGrid w:val="0"/>
              <w:jc w:val="center"/>
              <w:textAlignment w:val="center"/>
              <w:rPr>
                <w:rFonts w:asciiTheme="minorEastAsia" w:hAnsiTheme="minorEastAsia" w:cstheme="minorEastAsia"/>
                <w:color w:val="000000"/>
                <w:kern w:val="0"/>
                <w:sz w:val="18"/>
                <w:szCs w:val="18"/>
              </w:rPr>
            </w:pPr>
          </w:p>
        </w:tc>
        <w:tc>
          <w:tcPr>
            <w:tcW w:w="1579" w:type="pct"/>
            <w:tcBorders>
              <w:top w:val="single" w:color="000000" w:sz="4" w:space="0"/>
              <w:left w:val="nil"/>
              <w:bottom w:val="single" w:color="000000" w:sz="4" w:space="0"/>
              <w:right w:val="single" w:color="000000" w:sz="4" w:space="0"/>
            </w:tcBorders>
            <w:noWrap/>
            <w:vAlign w:val="center"/>
          </w:tcPr>
          <w:p w14:paraId="0D7820F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1056" w:type="pct"/>
            <w:tcBorders>
              <w:top w:val="single" w:color="000000" w:sz="4" w:space="0"/>
              <w:left w:val="nil"/>
              <w:bottom w:val="single" w:color="000000" w:sz="4" w:space="0"/>
              <w:right w:val="single" w:color="000000" w:sz="4" w:space="0"/>
            </w:tcBorders>
            <w:noWrap/>
            <w:vAlign w:val="center"/>
          </w:tcPr>
          <w:p w14:paraId="54C11CA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704.33</w:t>
            </w:r>
          </w:p>
        </w:tc>
        <w:tc>
          <w:tcPr>
            <w:tcW w:w="684" w:type="pct"/>
            <w:tcBorders>
              <w:top w:val="single" w:color="000000" w:sz="4" w:space="0"/>
              <w:left w:val="nil"/>
              <w:bottom w:val="single" w:color="000000" w:sz="4" w:space="0"/>
              <w:right w:val="single" w:color="000000" w:sz="4" w:space="0"/>
            </w:tcBorders>
            <w:noWrap/>
            <w:vAlign w:val="center"/>
          </w:tcPr>
          <w:p w14:paraId="786645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403.23</w:t>
            </w:r>
          </w:p>
        </w:tc>
        <w:tc>
          <w:tcPr>
            <w:tcW w:w="825" w:type="pct"/>
            <w:tcBorders>
              <w:top w:val="single" w:color="000000" w:sz="4" w:space="0"/>
              <w:left w:val="nil"/>
              <w:bottom w:val="single" w:color="000000" w:sz="4" w:space="0"/>
              <w:right w:val="single" w:color="000000" w:sz="4" w:space="0"/>
            </w:tcBorders>
            <w:noWrap/>
            <w:vAlign w:val="center"/>
          </w:tcPr>
          <w:p w14:paraId="0770A41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301.10</w:t>
            </w:r>
          </w:p>
        </w:tc>
      </w:tr>
      <w:tr w14:paraId="55F875B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28BE5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579" w:type="pct"/>
            <w:tcBorders>
              <w:top w:val="single" w:color="000000" w:sz="4" w:space="0"/>
              <w:left w:val="nil"/>
              <w:bottom w:val="single" w:color="000000" w:sz="4" w:space="0"/>
              <w:right w:val="single" w:color="000000" w:sz="4" w:space="0"/>
            </w:tcBorders>
            <w:noWrap/>
            <w:vAlign w:val="center"/>
          </w:tcPr>
          <w:p w14:paraId="26871E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33C0EFD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628.05</w:t>
            </w:r>
          </w:p>
        </w:tc>
        <w:tc>
          <w:tcPr>
            <w:tcW w:w="684" w:type="pct"/>
            <w:tcBorders>
              <w:top w:val="single" w:color="000000" w:sz="4" w:space="0"/>
              <w:left w:val="nil"/>
              <w:bottom w:val="single" w:color="000000" w:sz="4" w:space="0"/>
              <w:right w:val="single" w:color="000000" w:sz="4" w:space="0"/>
            </w:tcBorders>
            <w:noWrap/>
            <w:vAlign w:val="center"/>
          </w:tcPr>
          <w:p w14:paraId="56E3506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326.95</w:t>
            </w:r>
          </w:p>
        </w:tc>
        <w:tc>
          <w:tcPr>
            <w:tcW w:w="825" w:type="pct"/>
            <w:tcBorders>
              <w:top w:val="single" w:color="000000" w:sz="4" w:space="0"/>
              <w:left w:val="nil"/>
              <w:bottom w:val="single" w:color="000000" w:sz="4" w:space="0"/>
              <w:right w:val="single" w:color="000000" w:sz="4" w:space="0"/>
            </w:tcBorders>
            <w:noWrap/>
            <w:vAlign w:val="center"/>
          </w:tcPr>
          <w:p w14:paraId="6476D6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301.10</w:t>
            </w:r>
          </w:p>
        </w:tc>
      </w:tr>
      <w:tr w14:paraId="68C9A79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517CE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20103</w:t>
            </w:r>
          </w:p>
        </w:tc>
        <w:tc>
          <w:tcPr>
            <w:tcW w:w="1579" w:type="pct"/>
            <w:tcBorders>
              <w:top w:val="single" w:color="000000" w:sz="4" w:space="0"/>
              <w:left w:val="nil"/>
              <w:bottom w:val="single" w:color="000000" w:sz="4" w:space="0"/>
              <w:right w:val="single" w:color="000000" w:sz="4" w:space="0"/>
            </w:tcBorders>
            <w:noWrap/>
            <w:vAlign w:val="center"/>
          </w:tcPr>
          <w:p w14:paraId="16159F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30BD188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628.05</w:t>
            </w:r>
          </w:p>
        </w:tc>
        <w:tc>
          <w:tcPr>
            <w:tcW w:w="684" w:type="pct"/>
            <w:tcBorders>
              <w:top w:val="single" w:color="000000" w:sz="4" w:space="0"/>
              <w:left w:val="nil"/>
              <w:bottom w:val="single" w:color="000000" w:sz="4" w:space="0"/>
              <w:right w:val="single" w:color="000000" w:sz="4" w:space="0"/>
            </w:tcBorders>
            <w:noWrap/>
            <w:vAlign w:val="center"/>
          </w:tcPr>
          <w:p w14:paraId="00DF2B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326.95</w:t>
            </w:r>
          </w:p>
        </w:tc>
        <w:tc>
          <w:tcPr>
            <w:tcW w:w="825" w:type="pct"/>
            <w:tcBorders>
              <w:top w:val="single" w:color="000000" w:sz="4" w:space="0"/>
              <w:left w:val="nil"/>
              <w:bottom w:val="single" w:color="000000" w:sz="4" w:space="0"/>
              <w:right w:val="single" w:color="000000" w:sz="4" w:space="0"/>
            </w:tcBorders>
            <w:noWrap/>
            <w:vAlign w:val="center"/>
          </w:tcPr>
          <w:p w14:paraId="512BF16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301.10</w:t>
            </w:r>
          </w:p>
        </w:tc>
      </w:tr>
      <w:tr w14:paraId="54D919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DD498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2010301</w:t>
            </w:r>
          </w:p>
        </w:tc>
        <w:tc>
          <w:tcPr>
            <w:tcW w:w="1579" w:type="pct"/>
            <w:tcBorders>
              <w:top w:val="single" w:color="000000" w:sz="4" w:space="0"/>
              <w:left w:val="nil"/>
              <w:bottom w:val="single" w:color="000000" w:sz="4" w:space="0"/>
              <w:right w:val="single" w:color="000000" w:sz="4" w:space="0"/>
            </w:tcBorders>
            <w:noWrap/>
            <w:vAlign w:val="center"/>
          </w:tcPr>
          <w:p w14:paraId="003F589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1056" w:type="pct"/>
            <w:tcBorders>
              <w:top w:val="single" w:color="000000" w:sz="4" w:space="0"/>
              <w:left w:val="nil"/>
              <w:bottom w:val="single" w:color="000000" w:sz="4" w:space="0"/>
              <w:right w:val="single" w:color="000000" w:sz="4" w:space="0"/>
            </w:tcBorders>
            <w:noWrap/>
            <w:vAlign w:val="center"/>
          </w:tcPr>
          <w:p w14:paraId="7E3628F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326.95</w:t>
            </w:r>
          </w:p>
        </w:tc>
        <w:tc>
          <w:tcPr>
            <w:tcW w:w="684" w:type="pct"/>
            <w:tcBorders>
              <w:top w:val="single" w:color="000000" w:sz="4" w:space="0"/>
              <w:left w:val="nil"/>
              <w:bottom w:val="single" w:color="000000" w:sz="4" w:space="0"/>
              <w:right w:val="single" w:color="000000" w:sz="4" w:space="0"/>
            </w:tcBorders>
            <w:noWrap/>
            <w:vAlign w:val="center"/>
          </w:tcPr>
          <w:p w14:paraId="36F609D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326.95</w:t>
            </w:r>
          </w:p>
        </w:tc>
        <w:tc>
          <w:tcPr>
            <w:tcW w:w="825" w:type="pct"/>
            <w:tcBorders>
              <w:top w:val="single" w:color="000000" w:sz="4" w:space="0"/>
              <w:left w:val="nil"/>
              <w:bottom w:val="single" w:color="000000" w:sz="4" w:space="0"/>
              <w:right w:val="single" w:color="000000" w:sz="4" w:space="0"/>
            </w:tcBorders>
            <w:noWrap/>
            <w:vAlign w:val="center"/>
          </w:tcPr>
          <w:p w14:paraId="00A78C7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3F030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11F4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2010399</w:t>
            </w:r>
          </w:p>
        </w:tc>
        <w:tc>
          <w:tcPr>
            <w:tcW w:w="1579" w:type="pct"/>
            <w:tcBorders>
              <w:top w:val="single" w:color="000000" w:sz="4" w:space="0"/>
              <w:left w:val="nil"/>
              <w:bottom w:val="single" w:color="000000" w:sz="4" w:space="0"/>
              <w:right w:val="single" w:color="000000" w:sz="4" w:space="0"/>
            </w:tcBorders>
            <w:noWrap/>
            <w:vAlign w:val="center"/>
          </w:tcPr>
          <w:p w14:paraId="222B9E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其他政府办公厅（室）及相关机构事务支出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770774F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684" w:type="pct"/>
            <w:tcBorders>
              <w:top w:val="single" w:color="000000" w:sz="4" w:space="0"/>
              <w:left w:val="nil"/>
              <w:bottom w:val="single" w:color="000000" w:sz="4" w:space="0"/>
              <w:right w:val="single" w:color="000000" w:sz="4" w:space="0"/>
            </w:tcBorders>
            <w:noWrap/>
            <w:vAlign w:val="center"/>
          </w:tcPr>
          <w:p w14:paraId="23602AA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25" w:type="pct"/>
            <w:tcBorders>
              <w:top w:val="single" w:color="000000" w:sz="4" w:space="0"/>
              <w:left w:val="nil"/>
              <w:bottom w:val="single" w:color="000000" w:sz="4" w:space="0"/>
              <w:right w:val="single" w:color="000000" w:sz="4" w:space="0"/>
            </w:tcBorders>
            <w:noWrap/>
            <w:vAlign w:val="center"/>
          </w:tcPr>
          <w:p w14:paraId="393AEDB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r>
      <w:tr w14:paraId="5EF67C3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E4757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579" w:type="pct"/>
            <w:tcBorders>
              <w:top w:val="single" w:color="000000" w:sz="4" w:space="0"/>
              <w:left w:val="nil"/>
              <w:bottom w:val="single" w:color="000000" w:sz="4" w:space="0"/>
              <w:right w:val="single" w:color="000000" w:sz="4" w:space="0"/>
            </w:tcBorders>
            <w:noWrap/>
            <w:vAlign w:val="center"/>
          </w:tcPr>
          <w:p w14:paraId="1C1D731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9DE18E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684" w:type="pct"/>
            <w:tcBorders>
              <w:top w:val="single" w:color="000000" w:sz="4" w:space="0"/>
              <w:left w:val="nil"/>
              <w:bottom w:val="single" w:color="000000" w:sz="4" w:space="0"/>
              <w:right w:val="single" w:color="000000" w:sz="4" w:space="0"/>
            </w:tcBorders>
            <w:noWrap/>
            <w:vAlign w:val="center"/>
          </w:tcPr>
          <w:p w14:paraId="24E9CB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825" w:type="pct"/>
            <w:tcBorders>
              <w:top w:val="single" w:color="000000" w:sz="4" w:space="0"/>
              <w:left w:val="nil"/>
              <w:bottom w:val="single" w:color="000000" w:sz="4" w:space="0"/>
              <w:right w:val="single" w:color="000000" w:sz="4" w:space="0"/>
            </w:tcBorders>
            <w:noWrap/>
            <w:vAlign w:val="center"/>
          </w:tcPr>
          <w:p w14:paraId="51E63E3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34242E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27DEA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579" w:type="pct"/>
            <w:tcBorders>
              <w:top w:val="single" w:color="000000" w:sz="4" w:space="0"/>
              <w:left w:val="nil"/>
              <w:bottom w:val="single" w:color="000000" w:sz="4" w:space="0"/>
              <w:right w:val="single" w:color="000000" w:sz="4" w:space="0"/>
            </w:tcBorders>
            <w:noWrap/>
            <w:vAlign w:val="center"/>
          </w:tcPr>
          <w:p w14:paraId="6D11B0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B6755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684" w:type="pct"/>
            <w:tcBorders>
              <w:top w:val="single" w:color="000000" w:sz="4" w:space="0"/>
              <w:left w:val="nil"/>
              <w:bottom w:val="single" w:color="000000" w:sz="4" w:space="0"/>
              <w:right w:val="single" w:color="000000" w:sz="4" w:space="0"/>
            </w:tcBorders>
            <w:noWrap/>
            <w:vAlign w:val="center"/>
          </w:tcPr>
          <w:p w14:paraId="6DF2E97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35.07</w:t>
            </w:r>
          </w:p>
        </w:tc>
        <w:tc>
          <w:tcPr>
            <w:tcW w:w="825" w:type="pct"/>
            <w:tcBorders>
              <w:top w:val="single" w:color="000000" w:sz="4" w:space="0"/>
              <w:left w:val="nil"/>
              <w:bottom w:val="single" w:color="000000" w:sz="4" w:space="0"/>
              <w:right w:val="single" w:color="000000" w:sz="4" w:space="0"/>
            </w:tcBorders>
            <w:noWrap/>
            <w:vAlign w:val="center"/>
          </w:tcPr>
          <w:p w14:paraId="56660DF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CD622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6E5C1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579" w:type="pct"/>
            <w:tcBorders>
              <w:top w:val="single" w:color="000000" w:sz="4" w:space="0"/>
              <w:left w:val="nil"/>
              <w:bottom w:val="single" w:color="000000" w:sz="4" w:space="0"/>
              <w:right w:val="single" w:color="000000" w:sz="4" w:space="0"/>
            </w:tcBorders>
            <w:noWrap/>
            <w:vAlign w:val="center"/>
          </w:tcPr>
          <w:p w14:paraId="6E08CA4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94532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35.07</w:t>
            </w:r>
          </w:p>
        </w:tc>
        <w:tc>
          <w:tcPr>
            <w:tcW w:w="684" w:type="pct"/>
            <w:tcBorders>
              <w:top w:val="single" w:color="000000" w:sz="4" w:space="0"/>
              <w:left w:val="nil"/>
              <w:bottom w:val="single" w:color="000000" w:sz="4" w:space="0"/>
              <w:right w:val="single" w:color="000000" w:sz="4" w:space="0"/>
            </w:tcBorders>
            <w:noWrap/>
            <w:vAlign w:val="center"/>
          </w:tcPr>
          <w:p w14:paraId="3D52F81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35.07</w:t>
            </w:r>
          </w:p>
        </w:tc>
        <w:tc>
          <w:tcPr>
            <w:tcW w:w="825" w:type="pct"/>
            <w:tcBorders>
              <w:top w:val="single" w:color="000000" w:sz="4" w:space="0"/>
              <w:left w:val="nil"/>
              <w:bottom w:val="single" w:color="000000" w:sz="4" w:space="0"/>
              <w:right w:val="single" w:color="000000" w:sz="4" w:space="0"/>
            </w:tcBorders>
            <w:noWrap/>
            <w:vAlign w:val="center"/>
          </w:tcPr>
          <w:p w14:paraId="34B16F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5433F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5DA42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579" w:type="pct"/>
            <w:tcBorders>
              <w:top w:val="single" w:color="000000" w:sz="4" w:space="0"/>
              <w:left w:val="nil"/>
              <w:bottom w:val="single" w:color="000000" w:sz="4" w:space="0"/>
              <w:right w:val="single" w:color="000000" w:sz="4" w:space="0"/>
            </w:tcBorders>
            <w:noWrap/>
            <w:vAlign w:val="center"/>
          </w:tcPr>
          <w:p w14:paraId="368FB0E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66425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684" w:type="pct"/>
            <w:tcBorders>
              <w:top w:val="single" w:color="000000" w:sz="4" w:space="0"/>
              <w:left w:val="nil"/>
              <w:bottom w:val="single" w:color="000000" w:sz="4" w:space="0"/>
              <w:right w:val="single" w:color="000000" w:sz="4" w:space="0"/>
            </w:tcBorders>
            <w:noWrap/>
            <w:vAlign w:val="center"/>
          </w:tcPr>
          <w:p w14:paraId="637E2F5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825" w:type="pct"/>
            <w:tcBorders>
              <w:top w:val="single" w:color="000000" w:sz="4" w:space="0"/>
              <w:left w:val="nil"/>
              <w:bottom w:val="single" w:color="000000" w:sz="4" w:space="0"/>
              <w:right w:val="single" w:color="000000" w:sz="4" w:space="0"/>
            </w:tcBorders>
            <w:noWrap/>
            <w:vAlign w:val="center"/>
          </w:tcPr>
          <w:p w14:paraId="6E812BD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5905ADD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A9C2C5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579" w:type="pct"/>
            <w:tcBorders>
              <w:top w:val="single" w:color="000000" w:sz="4" w:space="0"/>
              <w:left w:val="nil"/>
              <w:bottom w:val="single" w:color="000000" w:sz="4" w:space="0"/>
              <w:right w:val="single" w:color="000000" w:sz="4" w:space="0"/>
            </w:tcBorders>
            <w:noWrap/>
            <w:vAlign w:val="center"/>
          </w:tcPr>
          <w:p w14:paraId="4915092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D350B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684" w:type="pct"/>
            <w:tcBorders>
              <w:top w:val="single" w:color="000000" w:sz="4" w:space="0"/>
              <w:left w:val="nil"/>
              <w:bottom w:val="single" w:color="000000" w:sz="4" w:space="0"/>
              <w:right w:val="single" w:color="000000" w:sz="4" w:space="0"/>
            </w:tcBorders>
            <w:noWrap/>
            <w:vAlign w:val="center"/>
          </w:tcPr>
          <w:p w14:paraId="092CDA6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14.90</w:t>
            </w:r>
          </w:p>
        </w:tc>
        <w:tc>
          <w:tcPr>
            <w:tcW w:w="825" w:type="pct"/>
            <w:tcBorders>
              <w:top w:val="single" w:color="000000" w:sz="4" w:space="0"/>
              <w:left w:val="nil"/>
              <w:bottom w:val="single" w:color="000000" w:sz="4" w:space="0"/>
              <w:right w:val="single" w:color="000000" w:sz="4" w:space="0"/>
            </w:tcBorders>
            <w:noWrap/>
            <w:vAlign w:val="center"/>
          </w:tcPr>
          <w:p w14:paraId="338DC76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5E1475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E479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579" w:type="pct"/>
            <w:tcBorders>
              <w:top w:val="single" w:color="000000" w:sz="4" w:space="0"/>
              <w:left w:val="nil"/>
              <w:bottom w:val="single" w:color="000000" w:sz="4" w:space="0"/>
              <w:right w:val="single" w:color="000000" w:sz="4" w:space="0"/>
            </w:tcBorders>
            <w:noWrap/>
            <w:vAlign w:val="center"/>
          </w:tcPr>
          <w:p w14:paraId="7C0E036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0D25B3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14.90</w:t>
            </w:r>
          </w:p>
        </w:tc>
        <w:tc>
          <w:tcPr>
            <w:tcW w:w="684" w:type="pct"/>
            <w:tcBorders>
              <w:top w:val="single" w:color="000000" w:sz="4" w:space="0"/>
              <w:left w:val="nil"/>
              <w:bottom w:val="single" w:color="000000" w:sz="4" w:space="0"/>
              <w:right w:val="single" w:color="000000" w:sz="4" w:space="0"/>
            </w:tcBorders>
            <w:noWrap/>
            <w:vAlign w:val="center"/>
          </w:tcPr>
          <w:p w14:paraId="7AE3F97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14.90</w:t>
            </w:r>
          </w:p>
        </w:tc>
        <w:tc>
          <w:tcPr>
            <w:tcW w:w="825" w:type="pct"/>
            <w:tcBorders>
              <w:top w:val="single" w:color="000000" w:sz="4" w:space="0"/>
              <w:left w:val="nil"/>
              <w:bottom w:val="single" w:color="000000" w:sz="4" w:space="0"/>
              <w:right w:val="single" w:color="000000" w:sz="4" w:space="0"/>
            </w:tcBorders>
            <w:noWrap/>
            <w:vAlign w:val="center"/>
          </w:tcPr>
          <w:p w14:paraId="5669A1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3EECFD8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95205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579" w:type="pct"/>
            <w:tcBorders>
              <w:top w:val="single" w:color="000000" w:sz="4" w:space="0"/>
              <w:left w:val="nil"/>
              <w:bottom w:val="single" w:color="000000" w:sz="4" w:space="0"/>
              <w:right w:val="single" w:color="000000" w:sz="4" w:space="0"/>
            </w:tcBorders>
            <w:noWrap/>
            <w:vAlign w:val="center"/>
          </w:tcPr>
          <w:p w14:paraId="5DC4176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5508A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684" w:type="pct"/>
            <w:tcBorders>
              <w:top w:val="single" w:color="000000" w:sz="4" w:space="0"/>
              <w:left w:val="nil"/>
              <w:bottom w:val="single" w:color="000000" w:sz="4" w:space="0"/>
              <w:right w:val="single" w:color="000000" w:sz="4" w:space="0"/>
            </w:tcBorders>
            <w:noWrap/>
            <w:vAlign w:val="center"/>
          </w:tcPr>
          <w:p w14:paraId="3B19C4B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825" w:type="pct"/>
            <w:tcBorders>
              <w:top w:val="single" w:color="000000" w:sz="4" w:space="0"/>
              <w:left w:val="nil"/>
              <w:bottom w:val="single" w:color="000000" w:sz="4" w:space="0"/>
              <w:right w:val="single" w:color="000000" w:sz="4" w:space="0"/>
            </w:tcBorders>
            <w:noWrap/>
            <w:vAlign w:val="center"/>
          </w:tcPr>
          <w:p w14:paraId="5E34C32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FBC371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93AE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579" w:type="pct"/>
            <w:tcBorders>
              <w:top w:val="single" w:color="000000" w:sz="4" w:space="0"/>
              <w:left w:val="nil"/>
              <w:bottom w:val="single" w:color="000000" w:sz="4" w:space="0"/>
              <w:right w:val="single" w:color="000000" w:sz="4" w:space="0"/>
            </w:tcBorders>
            <w:noWrap/>
            <w:vAlign w:val="center"/>
          </w:tcPr>
          <w:p w14:paraId="74A4049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95FAA4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684" w:type="pct"/>
            <w:tcBorders>
              <w:top w:val="single" w:color="000000" w:sz="4" w:space="0"/>
              <w:left w:val="nil"/>
              <w:bottom w:val="single" w:color="000000" w:sz="4" w:space="0"/>
              <w:right w:val="single" w:color="000000" w:sz="4" w:space="0"/>
            </w:tcBorders>
            <w:noWrap/>
            <w:vAlign w:val="center"/>
          </w:tcPr>
          <w:p w14:paraId="2A64B5D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26.30</w:t>
            </w:r>
          </w:p>
        </w:tc>
        <w:tc>
          <w:tcPr>
            <w:tcW w:w="825" w:type="pct"/>
            <w:tcBorders>
              <w:top w:val="single" w:color="000000" w:sz="4" w:space="0"/>
              <w:left w:val="nil"/>
              <w:bottom w:val="single" w:color="000000" w:sz="4" w:space="0"/>
              <w:right w:val="single" w:color="000000" w:sz="4" w:space="0"/>
            </w:tcBorders>
            <w:noWrap/>
            <w:vAlign w:val="center"/>
          </w:tcPr>
          <w:p w14:paraId="6D9151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B0FFD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9F4D8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579" w:type="pct"/>
            <w:tcBorders>
              <w:top w:val="single" w:color="000000" w:sz="4" w:space="0"/>
              <w:left w:val="nil"/>
              <w:bottom w:val="single" w:color="000000" w:sz="4" w:space="0"/>
              <w:right w:val="single" w:color="000000" w:sz="4" w:space="0"/>
            </w:tcBorders>
            <w:noWrap/>
            <w:vAlign w:val="center"/>
          </w:tcPr>
          <w:p w14:paraId="6A828F2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3F92D4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26.30</w:t>
            </w:r>
          </w:p>
        </w:tc>
        <w:tc>
          <w:tcPr>
            <w:tcW w:w="684" w:type="pct"/>
            <w:tcBorders>
              <w:top w:val="single" w:color="000000" w:sz="4" w:space="0"/>
              <w:left w:val="nil"/>
              <w:bottom w:val="single" w:color="000000" w:sz="4" w:space="0"/>
              <w:right w:val="single" w:color="000000" w:sz="4" w:space="0"/>
            </w:tcBorders>
            <w:noWrap/>
            <w:vAlign w:val="center"/>
          </w:tcPr>
          <w:p w14:paraId="2D904F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26.30</w:t>
            </w:r>
          </w:p>
        </w:tc>
        <w:tc>
          <w:tcPr>
            <w:tcW w:w="825" w:type="pct"/>
            <w:tcBorders>
              <w:top w:val="single" w:color="000000" w:sz="4" w:space="0"/>
              <w:left w:val="nil"/>
              <w:bottom w:val="single" w:color="000000" w:sz="4" w:space="0"/>
              <w:right w:val="single" w:color="000000" w:sz="4" w:space="0"/>
            </w:tcBorders>
            <w:noWrap/>
            <w:vAlign w:val="center"/>
          </w:tcPr>
          <w:p w14:paraId="0F4BE2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6C8F0271">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5483C1E2">
        <w:tblPrEx>
          <w:tblCellMar>
            <w:top w:w="0" w:type="dxa"/>
            <w:left w:w="108" w:type="dxa"/>
            <w:bottom w:w="0" w:type="dxa"/>
            <w:right w:w="108" w:type="dxa"/>
          </w:tblCellMar>
        </w:tblPrEx>
        <w:trPr>
          <w:trHeight w:val="585" w:hRule="atLeast"/>
        </w:trPr>
        <w:tc>
          <w:tcPr>
            <w:tcW w:w="5000" w:type="pct"/>
            <w:gridSpan w:val="5"/>
            <w:noWrap/>
            <w:vAlign w:val="center"/>
          </w:tcPr>
          <w:p w14:paraId="5B7B5470">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rPr>
              <w:t>一般公共预算基本支出表</w:t>
            </w:r>
          </w:p>
        </w:tc>
      </w:tr>
      <w:tr w14:paraId="64DC5ABD">
        <w:tblPrEx>
          <w:tblCellMar>
            <w:top w:w="0" w:type="dxa"/>
            <w:left w:w="108" w:type="dxa"/>
            <w:bottom w:w="0" w:type="dxa"/>
            <w:right w:w="108" w:type="dxa"/>
          </w:tblCellMar>
        </w:tblPrEx>
        <w:trPr>
          <w:trHeight w:val="420" w:hRule="atLeast"/>
        </w:trPr>
        <w:tc>
          <w:tcPr>
            <w:tcW w:w="2398" w:type="pct"/>
            <w:gridSpan w:val="2"/>
            <w:noWrap/>
            <w:vAlign w:val="center"/>
          </w:tcPr>
          <w:p w14:paraId="5CC1184B">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填报单位:103景德镇市珠山区人民政府</w:t>
            </w:r>
          </w:p>
        </w:tc>
        <w:tc>
          <w:tcPr>
            <w:tcW w:w="891" w:type="pct"/>
            <w:noWrap/>
            <w:vAlign w:val="bottom"/>
          </w:tcPr>
          <w:p w14:paraId="76A3D756">
            <w:pPr>
              <w:widowControl/>
              <w:snapToGrid w:val="0"/>
              <w:jc w:val="center"/>
              <w:textAlignment w:val="center"/>
              <w:rPr>
                <w:rFonts w:asciiTheme="minorEastAsia" w:hAnsiTheme="minorEastAsia" w:cstheme="minorEastAsia"/>
                <w:color w:val="000000"/>
                <w:kern w:val="0"/>
                <w:sz w:val="13"/>
                <w:szCs w:val="13"/>
              </w:rPr>
            </w:pPr>
          </w:p>
        </w:tc>
        <w:tc>
          <w:tcPr>
            <w:tcW w:w="842" w:type="pct"/>
            <w:noWrap/>
            <w:vAlign w:val="bottom"/>
          </w:tcPr>
          <w:p w14:paraId="78B3E33C">
            <w:pPr>
              <w:widowControl/>
              <w:snapToGrid w:val="0"/>
              <w:jc w:val="center"/>
              <w:textAlignment w:val="center"/>
              <w:rPr>
                <w:rFonts w:asciiTheme="minorEastAsia" w:hAnsiTheme="minorEastAsia" w:cstheme="minorEastAsia"/>
                <w:color w:val="000000"/>
                <w:kern w:val="0"/>
                <w:sz w:val="13"/>
                <w:szCs w:val="13"/>
              </w:rPr>
            </w:pPr>
          </w:p>
        </w:tc>
        <w:tc>
          <w:tcPr>
            <w:tcW w:w="867" w:type="pct"/>
            <w:noWrap/>
            <w:vAlign w:val="center"/>
          </w:tcPr>
          <w:p w14:paraId="0F078E3B">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6EDAE8F7">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30A51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3B8B72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2026年基本支出</w:t>
            </w:r>
          </w:p>
        </w:tc>
      </w:tr>
      <w:tr w14:paraId="78593362">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795F5B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460" w:type="pct"/>
            <w:tcBorders>
              <w:top w:val="nil"/>
              <w:left w:val="nil"/>
              <w:bottom w:val="single" w:color="000000" w:sz="4" w:space="0"/>
              <w:right w:val="nil"/>
            </w:tcBorders>
            <w:noWrap/>
            <w:vAlign w:val="center"/>
          </w:tcPr>
          <w:p w14:paraId="102AEF9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C0AC4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842" w:type="pct"/>
            <w:tcBorders>
              <w:top w:val="nil"/>
              <w:left w:val="nil"/>
              <w:bottom w:val="single" w:color="000000" w:sz="4" w:space="0"/>
              <w:right w:val="single" w:color="000000" w:sz="4" w:space="0"/>
            </w:tcBorders>
            <w:noWrap/>
            <w:vAlign w:val="center"/>
          </w:tcPr>
          <w:p w14:paraId="478CFA3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人员经费</w:t>
            </w:r>
          </w:p>
        </w:tc>
        <w:tc>
          <w:tcPr>
            <w:tcW w:w="867" w:type="pct"/>
            <w:tcBorders>
              <w:top w:val="nil"/>
              <w:left w:val="nil"/>
              <w:bottom w:val="single" w:color="000000" w:sz="4" w:space="0"/>
              <w:right w:val="single" w:color="000000" w:sz="4" w:space="0"/>
            </w:tcBorders>
            <w:noWrap/>
            <w:vAlign w:val="center"/>
          </w:tcPr>
          <w:p w14:paraId="5112C2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公用经费</w:t>
            </w:r>
          </w:p>
        </w:tc>
      </w:tr>
      <w:tr w14:paraId="0A8A82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0F4A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AEFE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6E12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A7BB1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8A362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20A973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3B090C">
            <w:pPr>
              <w:widowControl/>
              <w:snapToGrid w:val="0"/>
              <w:jc w:val="center"/>
              <w:textAlignment w:val="center"/>
              <w:rPr>
                <w:rFonts w:asciiTheme="minorEastAsia" w:hAnsiTheme="minorEastAsia" w:cstheme="minorEastAsia"/>
                <w:color w:val="000000"/>
                <w:kern w:val="0"/>
                <w:sz w:val="18"/>
                <w:szCs w:val="18"/>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3F411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F3ED6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403.23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5103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350.20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EDC72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53.03</w:t>
            </w:r>
          </w:p>
        </w:tc>
      </w:tr>
      <w:tr w14:paraId="1E25E7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7BA55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E7CBA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60619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313.89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168C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313.89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88FC0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AB92C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4642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EA978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55FE0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103.96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D0F4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103.96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1A651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B9F623F">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DE46D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6F842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6C22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52.81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C8A25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52.81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6098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4915C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592D2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908D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8E4F0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E507D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F1B5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E6377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46C42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A5439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C983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FC785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737C4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5E39B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4E9AE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52AF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73DFA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F6569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652A1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DCB7F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DF16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88B04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1C8F3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31ED5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065F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0D1A851">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5BA9F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EE8D0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E59AB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4D40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C9B3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55679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BF81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57AB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1BD16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CBAAA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D77E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979FC5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93369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1D476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B73F8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8A0F1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18.00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9621D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30B985D">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C278B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630DE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64BDF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53.03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2C6D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D1452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53.03</w:t>
            </w:r>
          </w:p>
        </w:tc>
      </w:tr>
      <w:tr w14:paraId="7DA42A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A824A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8D9D5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8E776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17.18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C498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29A6C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17.18</w:t>
            </w:r>
          </w:p>
        </w:tc>
      </w:tr>
      <w:tr w14:paraId="5F1A0A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E7FB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0C20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1C5B9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57981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E5C8A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5.00</w:t>
            </w:r>
          </w:p>
        </w:tc>
      </w:tr>
      <w:tr w14:paraId="596A84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4AF57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690B4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因公出国（境）费用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6502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39DFE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4961B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w:t>
            </w:r>
          </w:p>
        </w:tc>
      </w:tr>
      <w:tr w14:paraId="2324A3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2DE9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78D63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7C08B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47768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4B19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6.62</w:t>
            </w:r>
          </w:p>
        </w:tc>
      </w:tr>
      <w:tr w14:paraId="09D668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966E1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5A4DE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FC008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163BD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DE3B0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15.23</w:t>
            </w:r>
          </w:p>
        </w:tc>
      </w:tr>
      <w:tr w14:paraId="24AC7A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C963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A2AA4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845E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36.31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2669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36.31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D48F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B1FF9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6C011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FFFE4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A0161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33.09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3C211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33.09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1FA0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6E515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479FF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36A8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9C0A3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5D3F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A1F4C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7CED3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AF6E8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413B7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D4D2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FC7D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E375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73C2B42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3A73413A">
        <w:tblPrEx>
          <w:tblCellMar>
            <w:top w:w="0" w:type="dxa"/>
            <w:left w:w="108" w:type="dxa"/>
            <w:bottom w:w="0" w:type="dxa"/>
            <w:right w:w="108" w:type="dxa"/>
          </w:tblCellMar>
        </w:tblPrEx>
        <w:trPr>
          <w:trHeight w:val="450" w:hRule="atLeast"/>
          <w:tblHeader/>
        </w:trPr>
        <w:tc>
          <w:tcPr>
            <w:tcW w:w="636" w:type="pct"/>
            <w:noWrap/>
            <w:vAlign w:val="bottom"/>
          </w:tcPr>
          <w:p w14:paraId="6E389588">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506C06B">
            <w:pPr>
              <w:widowControl/>
              <w:jc w:val="left"/>
              <w:rPr>
                <w:rFonts w:ascii="Times New Roman" w:hAnsi="Times New Roman" w:eastAsia="宋体"/>
                <w:kern w:val="0"/>
                <w:sz w:val="20"/>
                <w:szCs w:val="20"/>
              </w:rPr>
            </w:pPr>
          </w:p>
        </w:tc>
        <w:tc>
          <w:tcPr>
            <w:tcW w:w="684" w:type="pct"/>
            <w:noWrap/>
            <w:vAlign w:val="bottom"/>
          </w:tcPr>
          <w:p w14:paraId="75E795E5">
            <w:pPr>
              <w:widowControl/>
              <w:jc w:val="left"/>
              <w:rPr>
                <w:rFonts w:ascii="Times New Roman" w:hAnsi="Times New Roman" w:eastAsia="宋体"/>
                <w:kern w:val="0"/>
                <w:sz w:val="20"/>
                <w:szCs w:val="20"/>
              </w:rPr>
            </w:pPr>
          </w:p>
        </w:tc>
        <w:tc>
          <w:tcPr>
            <w:tcW w:w="538" w:type="pct"/>
            <w:noWrap/>
            <w:vAlign w:val="bottom"/>
          </w:tcPr>
          <w:p w14:paraId="0B67C736">
            <w:pPr>
              <w:widowControl/>
              <w:jc w:val="left"/>
              <w:rPr>
                <w:rFonts w:ascii="Times New Roman" w:hAnsi="Times New Roman" w:eastAsia="宋体"/>
                <w:kern w:val="0"/>
                <w:sz w:val="20"/>
                <w:szCs w:val="20"/>
              </w:rPr>
            </w:pPr>
          </w:p>
        </w:tc>
        <w:tc>
          <w:tcPr>
            <w:tcW w:w="2836" w:type="pct"/>
            <w:gridSpan w:val="5"/>
            <w:noWrap/>
            <w:vAlign w:val="center"/>
          </w:tcPr>
          <w:p w14:paraId="13E42741">
            <w:pPr>
              <w:widowControl/>
              <w:snapToGrid w:val="0"/>
              <w:jc w:val="right"/>
              <w:textAlignment w:val="center"/>
              <w:rPr>
                <w:rFonts w:asciiTheme="minorEastAsia" w:hAnsiTheme="minorEastAsia" w:cstheme="minorEastAsia"/>
                <w:color w:val="000000"/>
                <w:kern w:val="0"/>
                <w:sz w:val="13"/>
                <w:szCs w:val="13"/>
              </w:rPr>
            </w:pPr>
          </w:p>
        </w:tc>
      </w:tr>
      <w:tr w14:paraId="4BAB2803">
        <w:tblPrEx>
          <w:tblCellMar>
            <w:top w:w="0" w:type="dxa"/>
            <w:left w:w="108" w:type="dxa"/>
            <w:bottom w:w="0" w:type="dxa"/>
            <w:right w:w="108" w:type="dxa"/>
          </w:tblCellMar>
        </w:tblPrEx>
        <w:trPr>
          <w:trHeight w:val="485" w:hRule="atLeast"/>
          <w:tblHeader/>
        </w:trPr>
        <w:tc>
          <w:tcPr>
            <w:tcW w:w="5000" w:type="pct"/>
            <w:gridSpan w:val="9"/>
            <w:noWrap/>
            <w:vAlign w:val="center"/>
          </w:tcPr>
          <w:p w14:paraId="5D265C29">
            <w:pPr>
              <w:widowControl/>
              <w:snapToGrid w:val="0"/>
              <w:jc w:val="center"/>
              <w:textAlignment w:val="center"/>
              <w:rPr>
                <w:rFonts w:eastAsia="仿宋_GB2312" w:asciiTheme="minorEastAsia" w:hAnsiTheme="minorEastAsia" w:cstheme="minorEastAsia"/>
                <w:color w:val="000000"/>
                <w:kern w:val="0"/>
                <w:sz w:val="13"/>
                <w:szCs w:val="13"/>
              </w:rPr>
            </w:pPr>
            <w:r>
              <w:rPr>
                <w:rFonts w:hint="eastAsia" w:asciiTheme="minorEastAsia" w:hAnsiTheme="minorEastAsia" w:cstheme="minorEastAsia"/>
                <w:b/>
                <w:bCs/>
                <w:color w:val="000000"/>
                <w:kern w:val="0"/>
                <w:sz w:val="24"/>
                <w:szCs w:val="24"/>
              </w:rPr>
              <w:t>财政拨款“三公”经费支出表</w:t>
            </w:r>
          </w:p>
        </w:tc>
      </w:tr>
      <w:tr w14:paraId="4E3009CE">
        <w:tblPrEx>
          <w:tblCellMar>
            <w:top w:w="0" w:type="dxa"/>
            <w:left w:w="108" w:type="dxa"/>
            <w:bottom w:w="0" w:type="dxa"/>
            <w:right w:w="108" w:type="dxa"/>
          </w:tblCellMar>
        </w:tblPrEx>
        <w:trPr>
          <w:trHeight w:val="340" w:hRule="atLeast"/>
          <w:tblHeader/>
        </w:trPr>
        <w:tc>
          <w:tcPr>
            <w:tcW w:w="2163" w:type="pct"/>
            <w:gridSpan w:val="4"/>
            <w:noWrap/>
            <w:vAlign w:val="center"/>
          </w:tcPr>
          <w:p w14:paraId="049C5D7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rPr>
              <w:t>填报单位:103景德镇市珠山区人民政府</w:t>
            </w:r>
          </w:p>
        </w:tc>
        <w:tc>
          <w:tcPr>
            <w:tcW w:w="742" w:type="pct"/>
            <w:noWrap/>
            <w:vAlign w:val="bottom"/>
          </w:tcPr>
          <w:p w14:paraId="08F4F940">
            <w:pPr>
              <w:widowControl/>
              <w:jc w:val="left"/>
              <w:rPr>
                <w:rFonts w:ascii="Times New Roman" w:hAnsi="Times New Roman" w:eastAsia="宋体"/>
                <w:kern w:val="0"/>
                <w:sz w:val="20"/>
                <w:szCs w:val="20"/>
              </w:rPr>
            </w:pPr>
          </w:p>
        </w:tc>
        <w:tc>
          <w:tcPr>
            <w:tcW w:w="474" w:type="pct"/>
            <w:noWrap/>
            <w:vAlign w:val="bottom"/>
          </w:tcPr>
          <w:p w14:paraId="29CD7663">
            <w:pPr>
              <w:widowControl/>
              <w:jc w:val="left"/>
              <w:rPr>
                <w:rFonts w:ascii="Times New Roman" w:hAnsi="Times New Roman" w:eastAsia="宋体"/>
                <w:kern w:val="0"/>
                <w:sz w:val="20"/>
                <w:szCs w:val="20"/>
              </w:rPr>
            </w:pPr>
          </w:p>
        </w:tc>
        <w:tc>
          <w:tcPr>
            <w:tcW w:w="596" w:type="pct"/>
            <w:noWrap/>
            <w:vAlign w:val="bottom"/>
          </w:tcPr>
          <w:p w14:paraId="014D5B44">
            <w:pPr>
              <w:widowControl/>
              <w:jc w:val="left"/>
              <w:rPr>
                <w:rFonts w:ascii="Times New Roman" w:hAnsi="Times New Roman" w:eastAsia="宋体"/>
                <w:kern w:val="0"/>
                <w:sz w:val="20"/>
                <w:szCs w:val="20"/>
              </w:rPr>
            </w:pPr>
          </w:p>
        </w:tc>
        <w:tc>
          <w:tcPr>
            <w:tcW w:w="1023" w:type="pct"/>
            <w:gridSpan w:val="2"/>
            <w:noWrap/>
            <w:vAlign w:val="bottom"/>
          </w:tcPr>
          <w:p w14:paraId="2F7CFA48">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单位：万元</w:t>
            </w:r>
          </w:p>
        </w:tc>
      </w:tr>
      <w:tr w14:paraId="46A49BD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1BA71E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8D6D5E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C6BE9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EBFC2D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公务用车购置及运行维护费</w:t>
            </w:r>
          </w:p>
        </w:tc>
      </w:tr>
      <w:tr w14:paraId="233FD5FB">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237DF317">
            <w:pPr>
              <w:widowControl/>
              <w:snapToGrid w:val="0"/>
              <w:jc w:val="center"/>
              <w:textAlignment w:val="center"/>
              <w:rPr>
                <w:rFonts w:asciiTheme="minorEastAsia" w:hAnsiTheme="minorEastAsia" w:cstheme="minorEastAsia"/>
                <w:color w:val="000000"/>
                <w:kern w:val="0"/>
                <w:sz w:val="18"/>
                <w:szCs w:val="18"/>
              </w:rPr>
            </w:pPr>
          </w:p>
        </w:tc>
        <w:tc>
          <w:tcPr>
            <w:tcW w:w="684" w:type="pct"/>
            <w:tcBorders>
              <w:top w:val="nil"/>
              <w:left w:val="nil"/>
              <w:bottom w:val="single" w:color="000000" w:sz="4" w:space="0"/>
              <w:right w:val="single" w:color="000000" w:sz="4" w:space="0"/>
            </w:tcBorders>
            <w:noWrap/>
            <w:vAlign w:val="center"/>
          </w:tcPr>
          <w:p w14:paraId="362AC0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38" w:type="pct"/>
            <w:tcBorders>
              <w:top w:val="nil"/>
              <w:left w:val="nil"/>
              <w:bottom w:val="single" w:color="000000" w:sz="4" w:space="0"/>
              <w:right w:val="single" w:color="000000" w:sz="4" w:space="0"/>
            </w:tcBorders>
            <w:vAlign w:val="center"/>
          </w:tcPr>
          <w:p w14:paraId="2BEB41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一般公务出国（境）费</w:t>
            </w:r>
          </w:p>
        </w:tc>
        <w:tc>
          <w:tcPr>
            <w:tcW w:w="742" w:type="pct"/>
            <w:tcBorders>
              <w:top w:val="nil"/>
              <w:left w:val="nil"/>
              <w:bottom w:val="single" w:color="000000" w:sz="4" w:space="0"/>
              <w:right w:val="single" w:color="000000" w:sz="4" w:space="0"/>
            </w:tcBorders>
            <w:vAlign w:val="center"/>
          </w:tcPr>
          <w:p w14:paraId="5BE70F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715BF98">
            <w:pPr>
              <w:widowControl/>
              <w:snapToGrid w:val="0"/>
              <w:jc w:val="center"/>
              <w:textAlignment w:val="center"/>
              <w:rPr>
                <w:rFonts w:asciiTheme="minorEastAsia" w:hAnsiTheme="minorEastAsia" w:cstheme="minorEastAsia"/>
                <w:color w:val="000000"/>
                <w:kern w:val="0"/>
                <w:sz w:val="18"/>
                <w:szCs w:val="18"/>
              </w:rPr>
            </w:pPr>
          </w:p>
        </w:tc>
        <w:tc>
          <w:tcPr>
            <w:tcW w:w="596" w:type="pct"/>
            <w:tcBorders>
              <w:top w:val="nil"/>
              <w:left w:val="nil"/>
              <w:bottom w:val="single" w:color="000000" w:sz="4" w:space="0"/>
              <w:right w:val="single" w:color="000000" w:sz="4" w:space="0"/>
            </w:tcBorders>
            <w:noWrap/>
            <w:vAlign w:val="center"/>
          </w:tcPr>
          <w:p w14:paraId="6EE83EE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43" w:type="pct"/>
            <w:tcBorders>
              <w:top w:val="nil"/>
              <w:left w:val="nil"/>
              <w:bottom w:val="single" w:color="000000" w:sz="4" w:space="0"/>
              <w:right w:val="single" w:color="000000" w:sz="4" w:space="0"/>
            </w:tcBorders>
            <w:vAlign w:val="center"/>
          </w:tcPr>
          <w:p w14:paraId="11F67CF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公务用车运行维护费</w:t>
            </w:r>
          </w:p>
        </w:tc>
        <w:tc>
          <w:tcPr>
            <w:tcW w:w="479" w:type="pct"/>
            <w:tcBorders>
              <w:top w:val="nil"/>
              <w:left w:val="nil"/>
              <w:bottom w:val="single" w:color="000000" w:sz="4" w:space="0"/>
              <w:right w:val="single" w:color="000000" w:sz="4" w:space="0"/>
            </w:tcBorders>
            <w:noWrap/>
            <w:vAlign w:val="center"/>
          </w:tcPr>
          <w:p w14:paraId="636BD05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w:t>
            </w:r>
          </w:p>
        </w:tc>
      </w:tr>
      <w:tr w14:paraId="17EE3AD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DADA78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single" w:color="000000" w:sz="4" w:space="0"/>
              <w:bottom w:val="nil"/>
              <w:right w:val="nil"/>
            </w:tcBorders>
            <w:vAlign w:val="center"/>
          </w:tcPr>
          <w:p w14:paraId="0DDA5EB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538" w:type="pct"/>
            <w:tcBorders>
              <w:top w:val="nil"/>
              <w:left w:val="single" w:color="000000" w:sz="4" w:space="0"/>
              <w:bottom w:val="nil"/>
              <w:right w:val="nil"/>
            </w:tcBorders>
            <w:vAlign w:val="center"/>
          </w:tcPr>
          <w:p w14:paraId="3CD2221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742" w:type="pct"/>
            <w:tcBorders>
              <w:top w:val="nil"/>
              <w:left w:val="single" w:color="000000" w:sz="4" w:space="0"/>
              <w:bottom w:val="nil"/>
              <w:right w:val="nil"/>
            </w:tcBorders>
            <w:vAlign w:val="center"/>
          </w:tcPr>
          <w:p w14:paraId="17CD59E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p>
        </w:tc>
        <w:tc>
          <w:tcPr>
            <w:tcW w:w="474" w:type="pct"/>
            <w:tcBorders>
              <w:top w:val="nil"/>
              <w:left w:val="single" w:color="000000" w:sz="4" w:space="0"/>
              <w:bottom w:val="nil"/>
              <w:right w:val="nil"/>
            </w:tcBorders>
            <w:vAlign w:val="center"/>
          </w:tcPr>
          <w:p w14:paraId="5527891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596" w:type="pct"/>
            <w:tcBorders>
              <w:top w:val="nil"/>
              <w:left w:val="single" w:color="000000" w:sz="4" w:space="0"/>
              <w:bottom w:val="nil"/>
              <w:right w:val="nil"/>
            </w:tcBorders>
            <w:vAlign w:val="center"/>
          </w:tcPr>
          <w:p w14:paraId="57E6298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w:t>
            </w:r>
          </w:p>
        </w:tc>
        <w:tc>
          <w:tcPr>
            <w:tcW w:w="543" w:type="pct"/>
            <w:tcBorders>
              <w:top w:val="nil"/>
              <w:left w:val="single" w:color="000000" w:sz="4" w:space="0"/>
              <w:bottom w:val="nil"/>
              <w:right w:val="nil"/>
            </w:tcBorders>
            <w:vAlign w:val="center"/>
          </w:tcPr>
          <w:p w14:paraId="72A2848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w:t>
            </w:r>
          </w:p>
        </w:tc>
        <w:tc>
          <w:tcPr>
            <w:tcW w:w="479" w:type="pct"/>
            <w:tcBorders>
              <w:top w:val="nil"/>
              <w:left w:val="single" w:color="000000" w:sz="4" w:space="0"/>
              <w:bottom w:val="nil"/>
              <w:right w:val="single" w:color="000000" w:sz="4" w:space="0"/>
            </w:tcBorders>
            <w:vAlign w:val="center"/>
          </w:tcPr>
          <w:p w14:paraId="64EBDF6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14:paraId="2F90EAD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0491C5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15.62</w:t>
            </w:r>
          </w:p>
        </w:tc>
        <w:tc>
          <w:tcPr>
            <w:tcW w:w="684" w:type="pct"/>
            <w:tcBorders>
              <w:top w:val="single" w:color="000000" w:sz="4" w:space="0"/>
              <w:left w:val="nil"/>
              <w:bottom w:val="single" w:color="000000" w:sz="4" w:space="0"/>
              <w:right w:val="single" w:color="000000" w:sz="4" w:space="0"/>
            </w:tcBorders>
            <w:vAlign w:val="center"/>
          </w:tcPr>
          <w:p w14:paraId="35D8449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w:t>
            </w:r>
          </w:p>
        </w:tc>
        <w:tc>
          <w:tcPr>
            <w:tcW w:w="538" w:type="pct"/>
            <w:tcBorders>
              <w:top w:val="single" w:color="000000" w:sz="4" w:space="0"/>
              <w:left w:val="nil"/>
              <w:bottom w:val="single" w:color="000000" w:sz="4" w:space="0"/>
              <w:right w:val="single" w:color="000000" w:sz="4" w:space="0"/>
            </w:tcBorders>
            <w:noWrap/>
            <w:vAlign w:val="center"/>
          </w:tcPr>
          <w:p w14:paraId="20DFC43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w:t>
            </w:r>
          </w:p>
        </w:tc>
        <w:tc>
          <w:tcPr>
            <w:tcW w:w="742" w:type="pct"/>
            <w:tcBorders>
              <w:top w:val="single" w:color="000000" w:sz="4" w:space="0"/>
              <w:left w:val="nil"/>
              <w:bottom w:val="single" w:color="000000" w:sz="4" w:space="0"/>
              <w:right w:val="single" w:color="000000" w:sz="4" w:space="0"/>
            </w:tcBorders>
            <w:vAlign w:val="center"/>
          </w:tcPr>
          <w:p w14:paraId="295E48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4" w:type="pct"/>
            <w:tcBorders>
              <w:top w:val="single" w:color="000000" w:sz="4" w:space="0"/>
              <w:left w:val="nil"/>
              <w:bottom w:val="single" w:color="000000" w:sz="4" w:space="0"/>
              <w:right w:val="nil"/>
            </w:tcBorders>
            <w:vAlign w:val="center"/>
          </w:tcPr>
          <w:p w14:paraId="63F809E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6.62</w:t>
            </w:r>
          </w:p>
        </w:tc>
        <w:tc>
          <w:tcPr>
            <w:tcW w:w="596" w:type="pct"/>
            <w:tcBorders>
              <w:top w:val="single" w:color="000000" w:sz="4" w:space="0"/>
              <w:left w:val="single" w:color="000000" w:sz="4" w:space="0"/>
              <w:bottom w:val="single" w:color="000000" w:sz="4" w:space="0"/>
              <w:right w:val="nil"/>
            </w:tcBorders>
            <w:vAlign w:val="center"/>
          </w:tcPr>
          <w:p w14:paraId="505686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44C06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9" w:type="pct"/>
            <w:tcBorders>
              <w:top w:val="single" w:color="000000" w:sz="4" w:space="0"/>
              <w:left w:val="nil"/>
              <w:bottom w:val="single" w:color="000000" w:sz="4" w:space="0"/>
              <w:right w:val="single" w:color="000000" w:sz="4" w:space="0"/>
            </w:tcBorders>
            <w:vAlign w:val="center"/>
          </w:tcPr>
          <w:p w14:paraId="759D0EA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06B17A1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1F5903A8">
        <w:tblPrEx>
          <w:tblCellMar>
            <w:top w:w="0" w:type="dxa"/>
            <w:left w:w="108" w:type="dxa"/>
            <w:bottom w:w="0" w:type="dxa"/>
            <w:right w:w="108" w:type="dxa"/>
          </w:tblCellMar>
        </w:tblPrEx>
        <w:trPr>
          <w:trHeight w:val="507" w:hRule="atLeast"/>
          <w:tblHeader/>
        </w:trPr>
        <w:tc>
          <w:tcPr>
            <w:tcW w:w="976" w:type="pct"/>
            <w:noWrap/>
            <w:vAlign w:val="bottom"/>
          </w:tcPr>
          <w:p w14:paraId="4454BD79">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5A641C68">
            <w:pPr>
              <w:widowControl/>
              <w:jc w:val="left"/>
              <w:rPr>
                <w:rFonts w:ascii="Times New Roman" w:hAnsi="Times New Roman" w:eastAsia="宋体"/>
                <w:kern w:val="0"/>
                <w:sz w:val="20"/>
                <w:szCs w:val="20"/>
              </w:rPr>
            </w:pPr>
          </w:p>
        </w:tc>
        <w:tc>
          <w:tcPr>
            <w:tcW w:w="2801" w:type="pct"/>
            <w:gridSpan w:val="3"/>
            <w:noWrap/>
            <w:vAlign w:val="center"/>
          </w:tcPr>
          <w:p w14:paraId="4CB9339A">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注：若为空表，则为该部门（单位）无政府性基金支出</w:t>
            </w:r>
          </w:p>
        </w:tc>
      </w:tr>
      <w:tr w14:paraId="16EA4206">
        <w:tblPrEx>
          <w:tblCellMar>
            <w:top w:w="0" w:type="dxa"/>
            <w:left w:w="108" w:type="dxa"/>
            <w:bottom w:w="0" w:type="dxa"/>
            <w:right w:w="108" w:type="dxa"/>
          </w:tblCellMar>
        </w:tblPrEx>
        <w:trPr>
          <w:trHeight w:val="564" w:hRule="atLeast"/>
          <w:tblHeader/>
        </w:trPr>
        <w:tc>
          <w:tcPr>
            <w:tcW w:w="5000" w:type="pct"/>
            <w:gridSpan w:val="5"/>
            <w:noWrap/>
            <w:vAlign w:val="center"/>
          </w:tcPr>
          <w:p w14:paraId="2701CB4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政府性基金预算支出表</w:t>
            </w:r>
          </w:p>
        </w:tc>
      </w:tr>
      <w:tr w14:paraId="406D9FDE">
        <w:tblPrEx>
          <w:tblCellMar>
            <w:top w:w="0" w:type="dxa"/>
            <w:left w:w="108" w:type="dxa"/>
            <w:bottom w:w="0" w:type="dxa"/>
            <w:right w:w="108" w:type="dxa"/>
          </w:tblCellMar>
        </w:tblPrEx>
        <w:trPr>
          <w:trHeight w:val="405" w:hRule="atLeast"/>
          <w:tblHeader/>
        </w:trPr>
        <w:tc>
          <w:tcPr>
            <w:tcW w:w="2198" w:type="pct"/>
            <w:gridSpan w:val="2"/>
            <w:noWrap/>
            <w:vAlign w:val="center"/>
          </w:tcPr>
          <w:p w14:paraId="3F98DFBE">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填报单位:103景德镇市珠山区人民政府</w:t>
            </w:r>
          </w:p>
        </w:tc>
        <w:tc>
          <w:tcPr>
            <w:tcW w:w="1099" w:type="pct"/>
            <w:noWrap/>
            <w:vAlign w:val="bottom"/>
          </w:tcPr>
          <w:p w14:paraId="327FDCBB">
            <w:pPr>
              <w:rPr>
                <w:rFonts w:ascii="宋体" w:hAnsi="宋体" w:eastAsia="宋体" w:cs="Arial"/>
                <w:color w:val="000000"/>
                <w:kern w:val="0"/>
                <w:sz w:val="24"/>
                <w:szCs w:val="24"/>
              </w:rPr>
            </w:pPr>
          </w:p>
        </w:tc>
        <w:tc>
          <w:tcPr>
            <w:tcW w:w="766" w:type="pct"/>
            <w:noWrap/>
            <w:vAlign w:val="bottom"/>
          </w:tcPr>
          <w:p w14:paraId="20958273">
            <w:pPr>
              <w:widowControl/>
              <w:jc w:val="left"/>
              <w:rPr>
                <w:rFonts w:ascii="Times New Roman" w:hAnsi="Times New Roman" w:eastAsia="宋体"/>
                <w:kern w:val="0"/>
                <w:sz w:val="20"/>
                <w:szCs w:val="20"/>
              </w:rPr>
            </w:pPr>
          </w:p>
        </w:tc>
        <w:tc>
          <w:tcPr>
            <w:tcW w:w="935" w:type="pct"/>
            <w:noWrap/>
            <w:vAlign w:val="center"/>
          </w:tcPr>
          <w:p w14:paraId="67DCD54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324A552E">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7B5F35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605CF9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72DA8A4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6B3EE6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21" w:type="pct"/>
            <w:tcBorders>
              <w:top w:val="nil"/>
              <w:left w:val="nil"/>
              <w:bottom w:val="single" w:color="000000" w:sz="4" w:space="0"/>
              <w:right w:val="single" w:color="000000" w:sz="4" w:space="0"/>
            </w:tcBorders>
            <w:noWrap/>
            <w:vAlign w:val="center"/>
          </w:tcPr>
          <w:p w14:paraId="7F26942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99" w:type="pct"/>
            <w:tcBorders>
              <w:top w:val="nil"/>
              <w:left w:val="nil"/>
              <w:bottom w:val="single" w:color="000000" w:sz="4" w:space="0"/>
              <w:right w:val="single" w:color="000000" w:sz="4" w:space="0"/>
            </w:tcBorders>
            <w:noWrap/>
            <w:vAlign w:val="center"/>
          </w:tcPr>
          <w:p w14:paraId="70E01B8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6" w:type="pct"/>
            <w:tcBorders>
              <w:top w:val="nil"/>
              <w:left w:val="nil"/>
              <w:bottom w:val="single" w:color="000000" w:sz="4" w:space="0"/>
              <w:right w:val="single" w:color="000000" w:sz="4" w:space="0"/>
            </w:tcBorders>
            <w:noWrap/>
            <w:vAlign w:val="center"/>
          </w:tcPr>
          <w:p w14:paraId="5E0FDE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35" w:type="pct"/>
            <w:tcBorders>
              <w:top w:val="nil"/>
              <w:left w:val="nil"/>
              <w:bottom w:val="single" w:color="000000" w:sz="4" w:space="0"/>
              <w:right w:val="single" w:color="000000" w:sz="4" w:space="0"/>
            </w:tcBorders>
            <w:noWrap/>
            <w:vAlign w:val="center"/>
          </w:tcPr>
          <w:p w14:paraId="19EA229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65B1369C">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ECBF6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21" w:type="pct"/>
            <w:tcBorders>
              <w:top w:val="nil"/>
              <w:left w:val="nil"/>
              <w:bottom w:val="single" w:color="000000" w:sz="4" w:space="0"/>
              <w:right w:val="single" w:color="000000" w:sz="4" w:space="0"/>
            </w:tcBorders>
            <w:noWrap/>
            <w:vAlign w:val="center"/>
          </w:tcPr>
          <w:p w14:paraId="556167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99" w:type="pct"/>
            <w:tcBorders>
              <w:top w:val="nil"/>
              <w:left w:val="nil"/>
              <w:bottom w:val="single" w:color="000000" w:sz="4" w:space="0"/>
              <w:right w:val="single" w:color="000000" w:sz="4" w:space="0"/>
            </w:tcBorders>
            <w:noWrap/>
            <w:vAlign w:val="center"/>
          </w:tcPr>
          <w:p w14:paraId="60F4467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6" w:type="pct"/>
            <w:tcBorders>
              <w:top w:val="nil"/>
              <w:left w:val="nil"/>
              <w:bottom w:val="single" w:color="000000" w:sz="4" w:space="0"/>
              <w:right w:val="single" w:color="000000" w:sz="4" w:space="0"/>
            </w:tcBorders>
            <w:noWrap/>
            <w:vAlign w:val="center"/>
          </w:tcPr>
          <w:p w14:paraId="49EE933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35" w:type="pct"/>
            <w:tcBorders>
              <w:top w:val="nil"/>
              <w:left w:val="nil"/>
              <w:bottom w:val="single" w:color="000000" w:sz="4" w:space="0"/>
              <w:right w:val="single" w:color="000000" w:sz="4" w:space="0"/>
            </w:tcBorders>
            <w:noWrap/>
            <w:vAlign w:val="center"/>
          </w:tcPr>
          <w:p w14:paraId="685B579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2DAAB400">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057409AB">
        <w:tblPrEx>
          <w:tblCellMar>
            <w:top w:w="0" w:type="dxa"/>
            <w:left w:w="108" w:type="dxa"/>
            <w:bottom w:w="0" w:type="dxa"/>
            <w:right w:w="108" w:type="dxa"/>
          </w:tblCellMar>
        </w:tblPrEx>
        <w:trPr>
          <w:trHeight w:val="619" w:hRule="atLeast"/>
          <w:tblHeader/>
        </w:trPr>
        <w:tc>
          <w:tcPr>
            <w:tcW w:w="960" w:type="pct"/>
            <w:noWrap/>
            <w:vAlign w:val="bottom"/>
          </w:tcPr>
          <w:p w14:paraId="742B7AEF">
            <w:pPr>
              <w:rPr>
                <w:rStyle w:val="12"/>
                <w:rFonts w:ascii="仿宋" w:hAnsi="仿宋" w:eastAsia="仿宋"/>
                <w:bCs/>
                <w:sz w:val="32"/>
                <w:szCs w:val="32"/>
              </w:rPr>
            </w:pPr>
          </w:p>
        </w:tc>
        <w:tc>
          <w:tcPr>
            <w:tcW w:w="1233" w:type="pct"/>
            <w:noWrap/>
            <w:vAlign w:val="bottom"/>
          </w:tcPr>
          <w:p w14:paraId="75848B46">
            <w:pPr>
              <w:widowControl/>
              <w:jc w:val="left"/>
              <w:rPr>
                <w:rFonts w:ascii="Times New Roman" w:hAnsi="Times New Roman" w:eastAsia="宋体"/>
                <w:kern w:val="0"/>
                <w:sz w:val="20"/>
                <w:szCs w:val="20"/>
              </w:rPr>
            </w:pPr>
          </w:p>
        </w:tc>
        <w:tc>
          <w:tcPr>
            <w:tcW w:w="2805" w:type="pct"/>
            <w:gridSpan w:val="3"/>
            <w:noWrap/>
            <w:vAlign w:val="center"/>
          </w:tcPr>
          <w:p w14:paraId="08E7097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88C3752">
        <w:tblPrEx>
          <w:tblCellMar>
            <w:top w:w="0" w:type="dxa"/>
            <w:left w:w="108" w:type="dxa"/>
            <w:bottom w:w="0" w:type="dxa"/>
            <w:right w:w="108" w:type="dxa"/>
          </w:tblCellMar>
        </w:tblPrEx>
        <w:trPr>
          <w:trHeight w:val="613" w:hRule="atLeast"/>
          <w:tblHeader/>
        </w:trPr>
        <w:tc>
          <w:tcPr>
            <w:tcW w:w="5000" w:type="pct"/>
            <w:gridSpan w:val="5"/>
            <w:noWrap/>
            <w:vAlign w:val="center"/>
          </w:tcPr>
          <w:p w14:paraId="57E1CD79">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国有资本经营预算支出表</w:t>
            </w:r>
          </w:p>
        </w:tc>
      </w:tr>
      <w:tr w14:paraId="0F8B62E1">
        <w:tblPrEx>
          <w:tblCellMar>
            <w:top w:w="0" w:type="dxa"/>
            <w:left w:w="108" w:type="dxa"/>
            <w:bottom w:w="0" w:type="dxa"/>
            <w:right w:w="108" w:type="dxa"/>
          </w:tblCellMar>
        </w:tblPrEx>
        <w:trPr>
          <w:trHeight w:val="413" w:hRule="atLeast"/>
          <w:tblHeader/>
        </w:trPr>
        <w:tc>
          <w:tcPr>
            <w:tcW w:w="3282" w:type="pct"/>
            <w:gridSpan w:val="3"/>
            <w:noWrap/>
            <w:vAlign w:val="center"/>
          </w:tcPr>
          <w:p w14:paraId="1AE9B372">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填报单位:103景德镇市珠山区人民政府</w:t>
            </w:r>
          </w:p>
        </w:tc>
        <w:tc>
          <w:tcPr>
            <w:tcW w:w="762" w:type="pct"/>
            <w:noWrap/>
            <w:vAlign w:val="bottom"/>
          </w:tcPr>
          <w:p w14:paraId="7FADA155">
            <w:pPr>
              <w:widowControl/>
              <w:jc w:val="left"/>
              <w:rPr>
                <w:rFonts w:ascii="Times New Roman" w:hAnsi="Times New Roman" w:eastAsia="宋体"/>
                <w:kern w:val="0"/>
                <w:sz w:val="20"/>
                <w:szCs w:val="20"/>
              </w:rPr>
            </w:pPr>
          </w:p>
        </w:tc>
        <w:tc>
          <w:tcPr>
            <w:tcW w:w="954" w:type="pct"/>
            <w:noWrap/>
            <w:vAlign w:val="center"/>
          </w:tcPr>
          <w:p w14:paraId="53BDEFD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285F183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A1D852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680F5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091E522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369DB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33" w:type="pct"/>
            <w:tcBorders>
              <w:top w:val="nil"/>
              <w:left w:val="nil"/>
              <w:bottom w:val="single" w:color="000000" w:sz="4" w:space="0"/>
              <w:right w:val="single" w:color="000000" w:sz="4" w:space="0"/>
            </w:tcBorders>
            <w:noWrap/>
            <w:vAlign w:val="center"/>
          </w:tcPr>
          <w:p w14:paraId="5DEFE08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88" w:type="pct"/>
            <w:tcBorders>
              <w:top w:val="nil"/>
              <w:left w:val="nil"/>
              <w:bottom w:val="single" w:color="000000" w:sz="4" w:space="0"/>
              <w:right w:val="single" w:color="000000" w:sz="4" w:space="0"/>
            </w:tcBorders>
            <w:noWrap/>
            <w:vAlign w:val="center"/>
          </w:tcPr>
          <w:p w14:paraId="0C3C95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2" w:type="pct"/>
            <w:tcBorders>
              <w:top w:val="nil"/>
              <w:left w:val="nil"/>
              <w:bottom w:val="single" w:color="000000" w:sz="4" w:space="0"/>
              <w:right w:val="single" w:color="000000" w:sz="4" w:space="0"/>
            </w:tcBorders>
            <w:noWrap/>
            <w:vAlign w:val="center"/>
          </w:tcPr>
          <w:p w14:paraId="338C0B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54" w:type="pct"/>
            <w:tcBorders>
              <w:top w:val="nil"/>
              <w:left w:val="nil"/>
              <w:bottom w:val="single" w:color="000000" w:sz="4" w:space="0"/>
              <w:right w:val="single" w:color="000000" w:sz="4" w:space="0"/>
            </w:tcBorders>
            <w:noWrap/>
            <w:vAlign w:val="center"/>
          </w:tcPr>
          <w:p w14:paraId="5A4F14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5C3C0C5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4E030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965B77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2F16F4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5D36D8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BED02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7551607E">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18804896">
        <w:tblPrEx>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5981EBAE">
            <w:pPr>
              <w:widowControl/>
              <w:jc w:val="center"/>
              <w:textAlignment w:val="center"/>
              <w:rPr>
                <w:rFonts w:asciiTheme="minorEastAsia" w:hAnsiTheme="minorEastAsia" w:cstheme="minorEastAsia"/>
                <w:bCs/>
                <w:color w:val="000000"/>
                <w:kern w:val="0"/>
                <w:sz w:val="24"/>
                <w:szCs w:val="24"/>
              </w:rPr>
            </w:pPr>
            <w:r>
              <w:rPr>
                <w:rFonts w:hint="eastAsia" w:asciiTheme="minorEastAsia" w:hAnsiTheme="minorEastAsia" w:cstheme="minorEastAsia"/>
                <w:b/>
                <w:color w:val="000000"/>
                <w:kern w:val="0"/>
                <w:sz w:val="24"/>
                <w:szCs w:val="24"/>
              </w:rPr>
              <w:t>部门整体绩效目标</w:t>
            </w:r>
          </w:p>
        </w:tc>
      </w:tr>
      <w:tr w14:paraId="251B7DC8">
        <w:tblPrEx>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E3B0B1B">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19EB3">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103</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3ED8142">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04109">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景德镇市珠山区人民政府</w:t>
            </w:r>
          </w:p>
        </w:tc>
      </w:tr>
      <w:tr w14:paraId="273EDED6">
        <w:tblPrEx>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D78ADC">
            <w:pPr>
              <w:widowControl/>
              <w:jc w:val="center"/>
              <w:textAlignment w:val="center"/>
              <w:rPr>
                <w:rFonts w:asciiTheme="minorEastAsia" w:hAnsiTheme="minorEastAsia" w:cstheme="minorEastAsia"/>
                <w:color w:val="000000"/>
                <w:sz w:val="18"/>
                <w:szCs w:val="18"/>
              </w:rPr>
            </w:pPr>
            <w:r>
              <w:rPr>
                <w:rStyle w:val="15"/>
                <w:rFonts w:hint="default" w:asciiTheme="minorEastAsia" w:hAnsiTheme="minorEastAsia" w:eastAsiaTheme="minorEastAsia" w:cstheme="minorEastAsia"/>
                <w:b/>
                <w:bCs/>
                <w:sz w:val="18"/>
                <w:szCs w:val="18"/>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C674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保障本年度单位正常运转和日常工作的正常开展，稳步推进上级各项决策部署和重大工作任务，认真履行部门工作职责。检查督促各街道办事处和区政府各部门贯彻国家和国务院、省政府、市政府、区政府各项法律、法规、规章、政策及工作部署、区政府会议决定事项及区政府领导重要批示的执行情况。认真推动全区各街道及部门各项工作，合法、合规、合理使用经费。</w:t>
            </w:r>
          </w:p>
        </w:tc>
      </w:tr>
      <w:tr w14:paraId="058E409A">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77A0467">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8204">
            <w:pPr>
              <w:jc w:val="center"/>
              <w:rPr>
                <w:rFonts w:asciiTheme="minorEastAsia" w:hAnsiTheme="minorEastAsia" w:cstheme="minorEastAsia"/>
                <w:color w:val="000000"/>
                <w:sz w:val="18"/>
                <w:szCs w:val="18"/>
              </w:rPr>
            </w:pPr>
          </w:p>
        </w:tc>
      </w:tr>
      <w:tr w14:paraId="03A9111A">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04BBAA2">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C3A99">
            <w:pPr>
              <w:jc w:val="center"/>
              <w:rPr>
                <w:rFonts w:asciiTheme="minorEastAsia" w:hAnsiTheme="minorEastAsia" w:cstheme="minorEastAsia"/>
                <w:color w:val="000000"/>
                <w:sz w:val="18"/>
                <w:szCs w:val="18"/>
              </w:rPr>
            </w:pPr>
          </w:p>
        </w:tc>
      </w:tr>
      <w:tr w14:paraId="67999C06">
        <w:tblPrEx>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CA15A8F">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4C8C25E">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78AA83E">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473CC6">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930178C">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DFB708B">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度量单位</w:t>
            </w:r>
          </w:p>
        </w:tc>
      </w:tr>
      <w:tr w14:paraId="234E7621">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DB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31D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FD6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办公设备维修维护</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67F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F643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376D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批次</w:t>
            </w:r>
          </w:p>
        </w:tc>
      </w:tr>
      <w:tr w14:paraId="12BEC83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5C41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E3A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123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打字复印服务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BF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DD0C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12E1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批次</w:t>
            </w:r>
          </w:p>
        </w:tc>
      </w:tr>
      <w:tr w14:paraId="0DD62F23">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77E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3CE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EA82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会议举行场次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FDFF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993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F83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场次</w:t>
            </w:r>
          </w:p>
        </w:tc>
      </w:tr>
      <w:tr w14:paraId="71EC5F9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6BF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359C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28A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办公用品采购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295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AC4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D65A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批次</w:t>
            </w:r>
          </w:p>
        </w:tc>
      </w:tr>
      <w:tr w14:paraId="74A15A3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1AF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007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18F9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办公设备完好率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757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13D2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7C50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4E558434">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BF8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B445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CE42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对工作保障率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77FF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711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F596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29CDC3EF">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9CF1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7A4C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E8D9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上级指示与区委区政府要求传达率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98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2484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EE31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5B7D074">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3CB2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8FE6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773C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经费使用时限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CB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7BE4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06BD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年度</w:t>
            </w:r>
          </w:p>
        </w:tc>
      </w:tr>
      <w:tr w14:paraId="7F5B193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A3E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C0E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EEC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5A43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8C3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238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r>
      <w:tr w14:paraId="6824013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B093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2A5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9EF4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325D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09B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92A2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2266AE7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F6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9A7A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789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22DB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2FD7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FA1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B6526B6">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FE0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1A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4896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80C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F5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4A0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70666E9D">
        <w:tblPrEx>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94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125B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FEC4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对本区经济发展与民生改善</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E71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753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较好提升经济发展与民生改善</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53980">
            <w:pPr>
              <w:widowControl/>
              <w:jc w:val="center"/>
              <w:textAlignment w:val="center"/>
              <w:rPr>
                <w:rFonts w:asciiTheme="minorEastAsia" w:hAnsiTheme="minorEastAsia" w:cstheme="minorEastAsia"/>
                <w:color w:val="000000"/>
                <w:sz w:val="18"/>
                <w:szCs w:val="18"/>
              </w:rPr>
            </w:pPr>
          </w:p>
        </w:tc>
      </w:tr>
      <w:tr w14:paraId="23794010">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B1D3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3946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15FA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区属百姓满意度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EA9C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A99C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B287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1F21855F">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F79B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6CAD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C70C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区领导满意度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9883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80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8A7E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2DEC4B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903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297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7BD3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各科室满意度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444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CEF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758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bl>
    <w:p w14:paraId="0D59779D">
      <w:pPr>
        <w:sectPr>
          <w:pgSz w:w="11906" w:h="16838"/>
          <w:pgMar w:top="720" w:right="720" w:bottom="720" w:left="720" w:header="851" w:footer="992" w:gutter="0"/>
          <w:cols w:space="425" w:num="1"/>
          <w:docGrid w:type="lines" w:linePitch="312" w:charSpace="0"/>
        </w:sectPr>
      </w:pPr>
    </w:p>
    <w:tbl>
      <w:tblPr>
        <w:tblStyle w:val="6"/>
        <w:tblW w:w="9080" w:type="dxa"/>
        <w:tblInd w:w="96" w:type="dxa"/>
        <w:tblLayout w:type="autofit"/>
        <w:tblCellMar>
          <w:top w:w="0" w:type="dxa"/>
          <w:left w:w="108" w:type="dxa"/>
          <w:bottom w:w="0" w:type="dxa"/>
          <w:right w:w="108" w:type="dxa"/>
        </w:tblCellMar>
      </w:tblPr>
      <w:tblGrid>
        <w:gridCol w:w="1217"/>
        <w:gridCol w:w="1677"/>
        <w:gridCol w:w="2530"/>
        <w:gridCol w:w="1339"/>
        <w:gridCol w:w="2317"/>
      </w:tblGrid>
      <w:tr w14:paraId="134F4D22">
        <w:tblPrEx>
          <w:tblCellMar>
            <w:top w:w="0" w:type="dxa"/>
            <w:left w:w="108" w:type="dxa"/>
            <w:bottom w:w="0" w:type="dxa"/>
            <w:right w:w="108" w:type="dxa"/>
          </w:tblCellMar>
        </w:tblPrEx>
        <w:trPr>
          <w:trHeight w:val="777" w:hRule="atLeast"/>
        </w:trPr>
        <w:tc>
          <w:tcPr>
            <w:tcW w:w="9080" w:type="dxa"/>
            <w:gridSpan w:val="5"/>
            <w:tcBorders>
              <w:top w:val="nil"/>
              <w:left w:val="nil"/>
              <w:bottom w:val="nil"/>
              <w:right w:val="nil"/>
            </w:tcBorders>
            <w:shd w:val="clear" w:color="auto" w:fill="auto"/>
            <w:vAlign w:val="center"/>
          </w:tcPr>
          <w:p w14:paraId="55343886">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项目支出绩效目标表</w:t>
            </w:r>
          </w:p>
        </w:tc>
      </w:tr>
      <w:tr w14:paraId="59A4C004">
        <w:tblPrEx>
          <w:tblCellMar>
            <w:top w:w="0" w:type="dxa"/>
            <w:left w:w="108" w:type="dxa"/>
            <w:bottom w:w="0" w:type="dxa"/>
            <w:right w:w="108" w:type="dxa"/>
          </w:tblCellMar>
        </w:tblPrEx>
        <w:trPr>
          <w:trHeight w:val="388" w:hRule="atLeast"/>
        </w:trPr>
        <w:tc>
          <w:tcPr>
            <w:tcW w:w="9080" w:type="dxa"/>
            <w:gridSpan w:val="5"/>
            <w:tcBorders>
              <w:top w:val="nil"/>
              <w:left w:val="nil"/>
              <w:bottom w:val="nil"/>
              <w:right w:val="nil"/>
            </w:tcBorders>
            <w:shd w:val="clear" w:color="auto" w:fill="auto"/>
            <w:vAlign w:val="center"/>
          </w:tcPr>
          <w:p w14:paraId="64A13A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（2026年度）</w:t>
            </w:r>
          </w:p>
        </w:tc>
      </w:tr>
      <w:tr w14:paraId="66F1C677">
        <w:tblPrEx>
          <w:tblCellMar>
            <w:top w:w="0" w:type="dxa"/>
            <w:left w:w="108" w:type="dxa"/>
            <w:bottom w:w="0" w:type="dxa"/>
            <w:right w:w="108" w:type="dxa"/>
          </w:tblCellMar>
        </w:tblPrEx>
        <w:trPr>
          <w:trHeight w:val="473" w:hRule="atLeast"/>
        </w:trPr>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59E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6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CE7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区政府法律顾问经费（2026）</w:t>
            </w:r>
          </w:p>
        </w:tc>
      </w:tr>
      <w:tr w14:paraId="62065BC8">
        <w:tblPrEx>
          <w:tblCellMar>
            <w:top w:w="0" w:type="dxa"/>
            <w:left w:w="108" w:type="dxa"/>
            <w:bottom w:w="0" w:type="dxa"/>
            <w:right w:w="108" w:type="dxa"/>
          </w:tblCellMar>
        </w:tblPrEx>
        <w:trPr>
          <w:trHeight w:val="789" w:hRule="atLeast"/>
        </w:trPr>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2AC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主管部门及代码</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F5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103-景德镇市珠山区人民政府</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3D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实施单位</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3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景德镇市珠山区人民政府</w:t>
            </w:r>
          </w:p>
        </w:tc>
      </w:tr>
      <w:tr w14:paraId="4D7E09D5">
        <w:tblPrEx>
          <w:tblCellMar>
            <w:top w:w="0" w:type="dxa"/>
            <w:left w:w="108" w:type="dxa"/>
            <w:bottom w:w="0" w:type="dxa"/>
            <w:right w:w="108" w:type="dxa"/>
          </w:tblCellMar>
        </w:tblPrEx>
        <w:trPr>
          <w:trHeight w:val="473" w:hRule="atLeast"/>
        </w:trPr>
        <w:tc>
          <w:tcPr>
            <w:tcW w:w="2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C98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（万元）</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68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年度资金总额</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2BC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44</w:t>
            </w:r>
          </w:p>
        </w:tc>
      </w:tr>
      <w:tr w14:paraId="3B52B702">
        <w:tblPrEx>
          <w:tblCellMar>
            <w:top w:w="0" w:type="dxa"/>
            <w:left w:w="108" w:type="dxa"/>
            <w:bottom w:w="0" w:type="dxa"/>
            <w:right w:w="108" w:type="dxa"/>
          </w:tblCellMar>
        </w:tblPrEx>
        <w:trPr>
          <w:trHeight w:val="473" w:hRule="atLeast"/>
        </w:trPr>
        <w:tc>
          <w:tcPr>
            <w:tcW w:w="2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1F3D">
            <w:pPr>
              <w:jc w:val="center"/>
              <w:rPr>
                <w:rFonts w:ascii="宋体" w:hAnsi="宋体" w:eastAsia="宋体" w:cs="宋体"/>
                <w:color w:val="000000"/>
                <w:sz w:val="24"/>
                <w:szCs w:val="24"/>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53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其中：财政拨款</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6CF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44</w:t>
            </w:r>
          </w:p>
        </w:tc>
      </w:tr>
      <w:tr w14:paraId="2AFA1E58">
        <w:tblPrEx>
          <w:tblCellMar>
            <w:top w:w="0" w:type="dxa"/>
            <w:left w:w="108" w:type="dxa"/>
            <w:bottom w:w="0" w:type="dxa"/>
            <w:right w:w="108" w:type="dxa"/>
          </w:tblCellMar>
        </w:tblPrEx>
        <w:trPr>
          <w:trHeight w:val="473" w:hRule="atLeast"/>
        </w:trPr>
        <w:tc>
          <w:tcPr>
            <w:tcW w:w="2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6BD1">
            <w:pPr>
              <w:jc w:val="center"/>
              <w:rPr>
                <w:rFonts w:ascii="宋体" w:hAnsi="宋体" w:eastAsia="宋体" w:cs="宋体"/>
                <w:color w:val="000000"/>
                <w:sz w:val="24"/>
                <w:szCs w:val="24"/>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1A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其他资金</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B8D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r>
      <w:tr w14:paraId="05D81C3E">
        <w:tblPrEx>
          <w:tblCellMar>
            <w:top w:w="0" w:type="dxa"/>
            <w:left w:w="108" w:type="dxa"/>
            <w:bottom w:w="0" w:type="dxa"/>
            <w:right w:w="108" w:type="dxa"/>
          </w:tblCellMar>
        </w:tblPrEx>
        <w:trPr>
          <w:trHeight w:val="473" w:hRule="atLeast"/>
        </w:trPr>
        <w:tc>
          <w:tcPr>
            <w:tcW w:w="2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A2BE">
            <w:pPr>
              <w:jc w:val="center"/>
              <w:rPr>
                <w:rFonts w:ascii="宋体" w:hAnsi="宋体" w:eastAsia="宋体" w:cs="宋体"/>
                <w:color w:val="000000"/>
                <w:sz w:val="24"/>
                <w:szCs w:val="24"/>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B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上年结转</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D40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r>
      <w:tr w14:paraId="664C8F2B">
        <w:tblPrEx>
          <w:tblCellMar>
            <w:top w:w="0" w:type="dxa"/>
            <w:left w:w="108" w:type="dxa"/>
            <w:bottom w:w="0" w:type="dxa"/>
            <w:right w:w="108" w:type="dxa"/>
          </w:tblCellMar>
        </w:tblPrEx>
        <w:trPr>
          <w:trHeight w:val="401"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FB8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年度绩效目标</w:t>
            </w:r>
          </w:p>
        </w:tc>
      </w:tr>
      <w:tr w14:paraId="26924CA8">
        <w:tblPrEx>
          <w:tblCellMar>
            <w:top w:w="0" w:type="dxa"/>
            <w:left w:w="108" w:type="dxa"/>
            <w:bottom w:w="0" w:type="dxa"/>
            <w:right w:w="108" w:type="dxa"/>
          </w:tblCellMar>
        </w:tblPrEx>
        <w:trPr>
          <w:trHeight w:val="1267" w:hRule="atLeast"/>
        </w:trPr>
        <w:tc>
          <w:tcPr>
            <w:tcW w:w="9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7D0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保障本年度区政府法律法规咨询与评估等工作正常开展，合法、合规、合理使用经费。</w:t>
            </w:r>
          </w:p>
        </w:tc>
      </w:tr>
      <w:tr w14:paraId="4BCD2CA7">
        <w:tblPrEx>
          <w:tblCellMar>
            <w:top w:w="0" w:type="dxa"/>
            <w:left w:w="108" w:type="dxa"/>
            <w:bottom w:w="0" w:type="dxa"/>
            <w:right w:w="108" w:type="dxa"/>
          </w:tblCellMar>
        </w:tblPrEx>
        <w:trPr>
          <w:trHeight w:val="401"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ED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一级指标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C78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二级指标</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2BA0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三级指标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B6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指标值</w:t>
            </w:r>
          </w:p>
        </w:tc>
      </w:tr>
      <w:tr w14:paraId="2AAD2513">
        <w:tblPrEx>
          <w:tblCellMar>
            <w:top w:w="0" w:type="dxa"/>
            <w:left w:w="108" w:type="dxa"/>
            <w:bottom w:w="0" w:type="dxa"/>
            <w:right w:w="108" w:type="dxa"/>
          </w:tblCellMar>
        </w:tblPrEx>
        <w:trPr>
          <w:trHeight w:val="473"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E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58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经济成本指标</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DDB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经费使用成本控制</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4D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≤44万元</w:t>
            </w:r>
          </w:p>
        </w:tc>
      </w:tr>
      <w:tr w14:paraId="60518840">
        <w:tblPrEx>
          <w:tblCellMar>
            <w:top w:w="0" w:type="dxa"/>
            <w:left w:w="108" w:type="dxa"/>
            <w:bottom w:w="0" w:type="dxa"/>
            <w:right w:w="108" w:type="dxa"/>
          </w:tblCellMar>
        </w:tblPrEx>
        <w:trPr>
          <w:trHeight w:val="473"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E21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产出指标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DE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72E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法律法规类咨询与评估次数</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F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≥6次</w:t>
            </w:r>
          </w:p>
        </w:tc>
      </w:tr>
      <w:tr w14:paraId="11CA82FB">
        <w:tblPrEx>
          <w:tblCellMar>
            <w:top w:w="0" w:type="dxa"/>
            <w:left w:w="108" w:type="dxa"/>
            <w:bottom w:w="0" w:type="dxa"/>
            <w:right w:w="108" w:type="dxa"/>
          </w:tblCellMar>
        </w:tblPrEx>
        <w:trPr>
          <w:trHeight w:val="473"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8D37">
            <w:pPr>
              <w:jc w:val="center"/>
              <w:rPr>
                <w:rFonts w:ascii="宋体" w:hAnsi="宋体" w:eastAsia="宋体" w:cs="宋体"/>
                <w:color w:val="000000"/>
                <w:sz w:val="24"/>
                <w:szCs w:val="24"/>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178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质量指标</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C7C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涉及法律法规案件评查合格率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F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r>
      <w:tr w14:paraId="58A7E575">
        <w:tblPrEx>
          <w:tblCellMar>
            <w:top w:w="0" w:type="dxa"/>
            <w:left w:w="108" w:type="dxa"/>
            <w:bottom w:w="0" w:type="dxa"/>
            <w:right w:w="108" w:type="dxa"/>
          </w:tblCellMar>
        </w:tblPrEx>
        <w:trPr>
          <w:trHeight w:val="473"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685C">
            <w:pPr>
              <w:jc w:val="center"/>
              <w:rPr>
                <w:rFonts w:ascii="宋体" w:hAnsi="宋体" w:eastAsia="宋体" w:cs="宋体"/>
                <w:color w:val="000000"/>
                <w:sz w:val="24"/>
                <w:szCs w:val="24"/>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74C6B">
            <w:pPr>
              <w:jc w:val="center"/>
              <w:rPr>
                <w:rFonts w:ascii="宋体" w:hAnsi="宋体" w:eastAsia="宋体" w:cs="宋体"/>
                <w:color w:val="000000"/>
                <w:sz w:val="24"/>
                <w:szCs w:val="24"/>
              </w:rPr>
            </w:pP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6D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法律咨询意见采纳率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6F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≥90%</w:t>
            </w:r>
          </w:p>
        </w:tc>
      </w:tr>
      <w:tr w14:paraId="121ADEEE">
        <w:tblPrEx>
          <w:tblCellMar>
            <w:top w:w="0" w:type="dxa"/>
            <w:left w:w="108" w:type="dxa"/>
            <w:bottom w:w="0" w:type="dxa"/>
            <w:right w:w="108" w:type="dxa"/>
          </w:tblCellMar>
        </w:tblPrEx>
        <w:trPr>
          <w:trHeight w:val="473"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5B0D">
            <w:pPr>
              <w:jc w:val="center"/>
              <w:rPr>
                <w:rFonts w:ascii="宋体" w:hAnsi="宋体" w:eastAsia="宋体" w:cs="宋体"/>
                <w:color w:val="000000"/>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3D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54AB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法律咨询解答及时率</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C7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r>
      <w:tr w14:paraId="55C13397">
        <w:tblPrEx>
          <w:tblCellMar>
            <w:top w:w="0" w:type="dxa"/>
            <w:left w:w="108" w:type="dxa"/>
            <w:bottom w:w="0" w:type="dxa"/>
            <w:right w:w="108" w:type="dxa"/>
          </w:tblCellMar>
        </w:tblPrEx>
        <w:trPr>
          <w:trHeight w:val="789"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F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效益指标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9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社会效益指标</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FF6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为区政府及时提供法律法规服务</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F9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降低风险，提升政府法治水平</w:t>
            </w:r>
          </w:p>
        </w:tc>
      </w:tr>
      <w:tr w14:paraId="1519885E">
        <w:tblPrEx>
          <w:tblCellMar>
            <w:top w:w="0" w:type="dxa"/>
            <w:left w:w="108" w:type="dxa"/>
            <w:bottom w:w="0" w:type="dxa"/>
            <w:right w:w="108" w:type="dxa"/>
          </w:tblCellMar>
        </w:tblPrEx>
        <w:trPr>
          <w:trHeight w:val="473"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51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64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服务对象满意度</w:t>
            </w: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EC2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区政府领导满意度</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4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≥90%</w:t>
            </w:r>
          </w:p>
        </w:tc>
      </w:tr>
      <w:tr w14:paraId="6B391B64">
        <w:tblPrEx>
          <w:tblCellMar>
            <w:top w:w="0" w:type="dxa"/>
            <w:left w:w="108" w:type="dxa"/>
            <w:bottom w:w="0" w:type="dxa"/>
            <w:right w:w="108" w:type="dxa"/>
          </w:tblCellMar>
        </w:tblPrEx>
        <w:trPr>
          <w:trHeight w:val="492"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8ED6">
            <w:pPr>
              <w:jc w:val="center"/>
              <w:rPr>
                <w:rFonts w:ascii="宋体" w:hAnsi="宋体" w:eastAsia="宋体" w:cs="宋体"/>
                <w:color w:val="000000"/>
                <w:sz w:val="24"/>
                <w:szCs w:val="24"/>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3573">
            <w:pPr>
              <w:jc w:val="center"/>
              <w:rPr>
                <w:rFonts w:ascii="宋体" w:hAnsi="宋体" w:eastAsia="宋体" w:cs="宋体"/>
                <w:color w:val="000000"/>
                <w:sz w:val="24"/>
                <w:szCs w:val="24"/>
              </w:rPr>
            </w:pPr>
          </w:p>
        </w:tc>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87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社会公众满意度</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F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≥90%</w:t>
            </w:r>
          </w:p>
        </w:tc>
      </w:tr>
    </w:tbl>
    <w:p w14:paraId="3FEE56CD">
      <w:pPr>
        <w:pStyle w:val="17"/>
        <w:numPr>
          <w:ilvl w:val="0"/>
          <w:numId w:val="0"/>
        </w:numPr>
        <w:ind w:left="420" w:leftChars="200"/>
        <w:jc w:val="center"/>
        <w:rPr>
          <w:rFonts w:ascii="仿宋" w:hAnsi="仿宋" w:eastAsia="仿宋"/>
          <w:b/>
        </w:rPr>
      </w:pPr>
    </w:p>
    <w:p w14:paraId="2BBA30D6">
      <w:pPr>
        <w:pStyle w:val="17"/>
        <w:numPr>
          <w:ilvl w:val="0"/>
          <w:numId w:val="0"/>
        </w:numPr>
        <w:ind w:left="420" w:leftChars="200"/>
        <w:jc w:val="center"/>
        <w:rPr>
          <w:rFonts w:ascii="仿宋" w:hAnsi="仿宋" w:eastAsia="仿宋"/>
          <w:b/>
        </w:rPr>
      </w:pPr>
    </w:p>
    <w:p w14:paraId="28E070D7">
      <w:pPr>
        <w:pStyle w:val="17"/>
        <w:numPr>
          <w:ilvl w:val="0"/>
          <w:numId w:val="0"/>
        </w:numPr>
        <w:ind w:left="420" w:leftChars="200"/>
        <w:jc w:val="center"/>
        <w:rPr>
          <w:rFonts w:ascii="仿宋" w:hAnsi="仿宋" w:eastAsia="仿宋"/>
          <w:b/>
        </w:rPr>
      </w:pPr>
      <w:r>
        <w:rPr>
          <w:rFonts w:hint="eastAsia" w:ascii="仿宋" w:hAnsi="仿宋" w:eastAsia="仿宋"/>
          <w:b/>
        </w:rPr>
        <w:t>第三部分  景德镇市珠山区人民政府2026年部门预算情况说明</w:t>
      </w:r>
    </w:p>
    <w:p w14:paraId="3516E94C">
      <w:pPr>
        <w:widowControl/>
        <w:spacing w:line="580" w:lineRule="exact"/>
        <w:jc w:val="center"/>
        <w:rPr>
          <w:rFonts w:ascii="仿宋_GB2312" w:eastAsia="仿宋_GB2312"/>
          <w:b/>
          <w:sz w:val="32"/>
          <w:szCs w:val="30"/>
        </w:rPr>
      </w:pPr>
    </w:p>
    <w:p w14:paraId="5FA4DDFE">
      <w:pPr>
        <w:pStyle w:val="17"/>
        <w:numPr>
          <w:ilvl w:val="0"/>
          <w:numId w:val="0"/>
        </w:numPr>
        <w:ind w:left="420" w:leftChars="200" w:firstLine="281" w:firstLineChars="100"/>
        <w:rPr>
          <w:rFonts w:ascii="仿宋" w:hAnsi="仿宋" w:eastAsia="仿宋"/>
          <w:b/>
          <w:sz w:val="28"/>
          <w:szCs w:val="28"/>
        </w:rPr>
      </w:pPr>
      <w:r>
        <w:rPr>
          <w:rFonts w:hint="eastAsia" w:ascii="仿宋" w:hAnsi="仿宋" w:eastAsia="仿宋"/>
          <w:b/>
          <w:sz w:val="28"/>
          <w:szCs w:val="28"/>
        </w:rPr>
        <w:t>一、2026年部门预算收支情况说明</w:t>
      </w:r>
    </w:p>
    <w:p w14:paraId="46597E8D">
      <w:pPr>
        <w:pStyle w:val="19"/>
        <w:numPr>
          <w:ilvl w:val="0"/>
          <w:numId w:val="0"/>
        </w:numPr>
        <w:ind w:left="420" w:leftChars="200"/>
        <w:rPr>
          <w:rFonts w:ascii="仿宋" w:hAnsi="仿宋" w:eastAsia="仿宋"/>
          <w:sz w:val="28"/>
          <w:szCs w:val="28"/>
        </w:rPr>
      </w:pPr>
      <w:r>
        <w:rPr>
          <w:rFonts w:hint="eastAsia" w:ascii="仿宋" w:hAnsi="仿宋" w:eastAsia="仿宋"/>
          <w:sz w:val="28"/>
          <w:szCs w:val="28"/>
        </w:rPr>
        <w:t xml:space="preserve"> (一)收入预算情况</w:t>
      </w:r>
    </w:p>
    <w:p w14:paraId="2A3929DD">
      <w:pPr>
        <w:pStyle w:val="18"/>
        <w:ind w:firstLine="560"/>
        <w:rPr>
          <w:rFonts w:ascii="仿宋" w:hAnsi="仿宋" w:eastAsia="仿宋"/>
          <w:sz w:val="28"/>
          <w:szCs w:val="28"/>
        </w:rPr>
      </w:pPr>
      <w:r>
        <w:rPr>
          <w:rFonts w:hint="eastAsia" w:ascii="仿宋" w:hAnsi="仿宋" w:eastAsia="仿宋"/>
          <w:sz w:val="28"/>
          <w:szCs w:val="28"/>
        </w:rPr>
        <w:t>2026年景德镇市珠山区人民政府收入预算总额为704.33万元，较上年预算安排减少90.55万元；本年收入合计704.33万元，较上年预算安排减少90.55万元；包括：财政拨款收入704.33万元，较上年预算安排减少90.55万元。</w:t>
      </w:r>
    </w:p>
    <w:p w14:paraId="6265F859">
      <w:pPr>
        <w:pStyle w:val="19"/>
        <w:numPr>
          <w:ilvl w:val="0"/>
          <w:numId w:val="0"/>
        </w:numPr>
        <w:ind w:left="420" w:leftChars="200"/>
        <w:rPr>
          <w:rFonts w:ascii="仿宋" w:hAnsi="仿宋" w:eastAsia="仿宋"/>
          <w:sz w:val="28"/>
          <w:szCs w:val="28"/>
        </w:rPr>
      </w:pPr>
      <w:r>
        <w:rPr>
          <w:rFonts w:hint="eastAsia" w:ascii="仿宋" w:hAnsi="仿宋" w:eastAsia="仿宋"/>
          <w:sz w:val="28"/>
          <w:szCs w:val="28"/>
        </w:rPr>
        <w:t xml:space="preserve"> (二)支出预算情况</w:t>
      </w:r>
    </w:p>
    <w:p w14:paraId="3A97D4D1">
      <w:pPr>
        <w:pStyle w:val="18"/>
        <w:ind w:firstLine="560"/>
        <w:rPr>
          <w:rFonts w:ascii="仿宋" w:hAnsi="仿宋" w:eastAsia="仿宋"/>
          <w:sz w:val="28"/>
          <w:szCs w:val="28"/>
        </w:rPr>
      </w:pPr>
      <w:r>
        <w:rPr>
          <w:rFonts w:hint="eastAsia" w:ascii="仿宋" w:hAnsi="仿宋" w:eastAsia="仿宋"/>
          <w:sz w:val="28"/>
          <w:szCs w:val="28"/>
        </w:rPr>
        <w:t xml:space="preserve">2026年景德镇市珠山区人民政府支出预算总额为704.33万元，较上年预算安排减少90.55万元。 </w:t>
      </w:r>
    </w:p>
    <w:p w14:paraId="6347FA1B">
      <w:pPr>
        <w:pStyle w:val="18"/>
        <w:ind w:firstLine="560"/>
        <w:rPr>
          <w:rFonts w:ascii="仿宋" w:hAnsi="仿宋" w:eastAsia="仿宋"/>
          <w:sz w:val="28"/>
          <w:szCs w:val="28"/>
        </w:rPr>
      </w:pPr>
      <w:r>
        <w:rPr>
          <w:rFonts w:hint="eastAsia" w:ascii="仿宋" w:hAnsi="仿宋" w:eastAsia="仿宋"/>
          <w:sz w:val="28"/>
          <w:szCs w:val="28"/>
        </w:rPr>
        <w:t>按支出项目类别划分：基本支出403.23万元，较上年预算安排减少53.99万元；项目支出301.10万元，较上年预算安排增加0万元。</w:t>
      </w:r>
    </w:p>
    <w:p w14:paraId="05F510DB">
      <w:pPr>
        <w:pStyle w:val="18"/>
        <w:ind w:firstLine="560"/>
        <w:rPr>
          <w:rFonts w:ascii="仿宋" w:hAnsi="仿宋" w:eastAsia="仿宋"/>
          <w:sz w:val="28"/>
          <w:szCs w:val="28"/>
        </w:rPr>
      </w:pPr>
      <w:r>
        <w:rPr>
          <w:rFonts w:hint="eastAsia" w:ascii="仿宋" w:hAnsi="仿宋" w:eastAsia="仿宋"/>
          <w:sz w:val="28"/>
          <w:szCs w:val="28"/>
        </w:rPr>
        <w:t>按支出功能科目划分：一般公共服务支出628.05万元，较上年预算安排减少50.84万元；社会保障和就业支出35.07万元，较上年预算安排减少1.77万元；卫生健康支出14.90万元，较上年预算安排减少0.07万元；住房保障支出26.30万元，较上年预算安排减少1.33万元。</w:t>
      </w:r>
    </w:p>
    <w:p w14:paraId="29DE590E">
      <w:pPr>
        <w:pStyle w:val="18"/>
        <w:ind w:firstLine="560"/>
        <w:rPr>
          <w:rFonts w:ascii="仿宋" w:hAnsi="仿宋" w:eastAsia="仿宋"/>
          <w:sz w:val="28"/>
          <w:szCs w:val="28"/>
        </w:rPr>
      </w:pPr>
      <w:r>
        <w:rPr>
          <w:rFonts w:hint="eastAsia" w:ascii="仿宋" w:hAnsi="仿宋" w:eastAsia="仿宋"/>
          <w:sz w:val="28"/>
          <w:szCs w:val="28"/>
        </w:rPr>
        <w:t>按支出经济分类划分：工资福利支出313.89万元，较上年预算安排减少61.10万元；商品和服务支出344.13万元，较上年预算安排增加36.12万元；对个人和家庭的补助36.31万元，较上年预算安排增加0.98万元；资本性支出10.00万元，较上年预算安排减少30万元。</w:t>
      </w:r>
    </w:p>
    <w:p w14:paraId="7D7DC912">
      <w:pPr>
        <w:pStyle w:val="19"/>
        <w:numPr>
          <w:ilvl w:val="0"/>
          <w:numId w:val="0"/>
        </w:numPr>
        <w:ind w:left="420" w:leftChars="200"/>
        <w:rPr>
          <w:rFonts w:ascii="仿宋" w:hAnsi="仿宋" w:eastAsia="仿宋"/>
          <w:sz w:val="28"/>
          <w:szCs w:val="28"/>
        </w:rPr>
      </w:pPr>
      <w:r>
        <w:rPr>
          <w:rFonts w:hint="eastAsia" w:ascii="仿宋" w:hAnsi="仿宋" w:eastAsia="仿宋"/>
          <w:sz w:val="28"/>
          <w:szCs w:val="28"/>
        </w:rPr>
        <w:t xml:space="preserve"> (三)财政拨款支出情况</w:t>
      </w:r>
    </w:p>
    <w:p w14:paraId="7C711DB7">
      <w:pPr>
        <w:pStyle w:val="18"/>
        <w:ind w:firstLine="560"/>
        <w:rPr>
          <w:rFonts w:ascii="仿宋" w:hAnsi="仿宋" w:eastAsia="仿宋"/>
          <w:sz w:val="28"/>
          <w:szCs w:val="28"/>
        </w:rPr>
      </w:pPr>
      <w:r>
        <w:rPr>
          <w:rFonts w:hint="eastAsia" w:ascii="仿宋" w:hAnsi="仿宋" w:eastAsia="仿宋"/>
          <w:sz w:val="28"/>
          <w:szCs w:val="28"/>
        </w:rPr>
        <w:t>2026年景德镇市珠山区人民政府财政拨款支出预算总额704.33万元,较上年预算安排减少53.99万元。</w:t>
      </w:r>
    </w:p>
    <w:p w14:paraId="777A8BC2">
      <w:pPr>
        <w:pStyle w:val="18"/>
        <w:ind w:firstLine="560"/>
        <w:rPr>
          <w:rFonts w:ascii="仿宋" w:hAnsi="仿宋" w:eastAsia="仿宋"/>
          <w:sz w:val="28"/>
          <w:szCs w:val="28"/>
        </w:rPr>
      </w:pPr>
      <w:r>
        <w:rPr>
          <w:rFonts w:hint="eastAsia" w:ascii="仿宋" w:hAnsi="仿宋" w:eastAsia="仿宋"/>
          <w:sz w:val="28"/>
          <w:szCs w:val="28"/>
        </w:rPr>
        <w:t>按支出功能科目划分：一般公共服务支出628.05万元，社会保障和就业支出35.07万元，卫生健康支出14.90万元，住房保障支出26.30万元。</w:t>
      </w:r>
    </w:p>
    <w:p w14:paraId="6CB7F6CE">
      <w:pPr>
        <w:pStyle w:val="18"/>
        <w:ind w:firstLine="560"/>
        <w:rPr>
          <w:rFonts w:ascii="仿宋" w:hAnsi="仿宋" w:eastAsia="仿宋"/>
          <w:sz w:val="28"/>
          <w:szCs w:val="28"/>
        </w:rPr>
      </w:pPr>
      <w:r>
        <w:rPr>
          <w:rFonts w:hint="eastAsia" w:ascii="仿宋" w:hAnsi="仿宋" w:eastAsia="仿宋"/>
          <w:sz w:val="28"/>
          <w:szCs w:val="28"/>
        </w:rPr>
        <w:t>按支出项目类别划分：基本支出403.23万元,项目支出301.10万元。</w:t>
      </w:r>
    </w:p>
    <w:p w14:paraId="418DDAD2">
      <w:pPr>
        <w:pStyle w:val="18"/>
        <w:ind w:firstLine="560"/>
        <w:rPr>
          <w:rFonts w:ascii="仿宋" w:hAnsi="仿宋" w:eastAsia="仿宋"/>
          <w:sz w:val="28"/>
          <w:szCs w:val="28"/>
        </w:rPr>
      </w:pPr>
      <w:r>
        <w:rPr>
          <w:rFonts w:hint="eastAsia" w:ascii="仿宋" w:hAnsi="仿宋" w:eastAsia="仿宋"/>
          <w:sz w:val="28"/>
          <w:szCs w:val="28"/>
        </w:rPr>
        <w:t>按支出经济分类划分：工资福利支出313.89万元，商品和服务支出344.13万元（其中委托业务费94.00万元），对个人和家庭的补助36.31万元，资本性支出10.00万元。</w:t>
      </w:r>
    </w:p>
    <w:p w14:paraId="08E6B4C6">
      <w:pPr>
        <w:pStyle w:val="19"/>
        <w:numPr>
          <w:ilvl w:val="0"/>
          <w:numId w:val="0"/>
        </w:numPr>
        <w:ind w:firstLine="562" w:firstLineChars="200"/>
        <w:rPr>
          <w:rFonts w:ascii="仿宋" w:hAnsi="仿宋" w:eastAsia="仿宋"/>
          <w:sz w:val="28"/>
          <w:szCs w:val="28"/>
        </w:rPr>
      </w:pPr>
      <w:r>
        <w:rPr>
          <w:rFonts w:hint="eastAsia" w:ascii="仿宋" w:hAnsi="仿宋" w:eastAsia="仿宋"/>
          <w:sz w:val="28"/>
          <w:szCs w:val="28"/>
        </w:rPr>
        <w:t xml:space="preserve"> (四)政府性基金情况</w:t>
      </w:r>
    </w:p>
    <w:p w14:paraId="60E12810">
      <w:pPr>
        <w:spacing w:before="212" w:line="220" w:lineRule="auto"/>
        <w:ind w:left="653"/>
        <w:rPr>
          <w:rFonts w:ascii="仿宋" w:hAnsi="仿宋" w:eastAsia="仿宋" w:cs="仿宋"/>
          <w:color w:val="auto"/>
          <w:sz w:val="31"/>
          <w:szCs w:val="31"/>
        </w:rPr>
      </w:pPr>
      <w:r>
        <w:rPr>
          <w:rFonts w:ascii="仿宋" w:hAnsi="仿宋" w:eastAsia="仿宋" w:cs="仿宋"/>
          <w:color w:val="auto"/>
          <w:spacing w:val="7"/>
          <w:sz w:val="31"/>
          <w:szCs w:val="31"/>
        </w:rPr>
        <w:t>2026</w:t>
      </w:r>
      <w:r>
        <w:rPr>
          <w:rFonts w:ascii="仿宋" w:hAnsi="仿宋" w:eastAsia="仿宋" w:cs="仿宋"/>
          <w:color w:val="auto"/>
          <w:spacing w:val="-52"/>
          <w:sz w:val="31"/>
          <w:szCs w:val="31"/>
        </w:rPr>
        <w:t xml:space="preserve"> </w:t>
      </w:r>
      <w:r>
        <w:rPr>
          <w:rFonts w:ascii="仿宋" w:hAnsi="仿宋" w:eastAsia="仿宋" w:cs="仿宋"/>
          <w:color w:val="auto"/>
          <w:spacing w:val="7"/>
          <w:sz w:val="31"/>
          <w:szCs w:val="31"/>
        </w:rPr>
        <w:t>年本部门没有使用政府性基金预算拨款安排的支出。</w:t>
      </w:r>
    </w:p>
    <w:p w14:paraId="5FAF7A93">
      <w:pPr>
        <w:pStyle w:val="19"/>
        <w:numPr>
          <w:ilvl w:val="0"/>
          <w:numId w:val="0"/>
        </w:numPr>
        <w:ind w:firstLine="562" w:firstLineChars="200"/>
        <w:rPr>
          <w:rFonts w:ascii="仿宋" w:hAnsi="仿宋" w:eastAsia="仿宋"/>
          <w:color w:val="auto"/>
          <w:sz w:val="28"/>
          <w:szCs w:val="28"/>
        </w:rPr>
      </w:pPr>
      <w:r>
        <w:rPr>
          <w:rFonts w:hint="eastAsia" w:ascii="仿宋" w:hAnsi="仿宋" w:eastAsia="仿宋"/>
          <w:color w:val="auto"/>
          <w:sz w:val="28"/>
          <w:szCs w:val="28"/>
        </w:rPr>
        <w:t xml:space="preserve"> (五)国有资本经营情况</w:t>
      </w:r>
    </w:p>
    <w:p w14:paraId="66BEC1D5">
      <w:pPr>
        <w:spacing w:before="215" w:line="292" w:lineRule="auto"/>
        <w:ind w:left="43" w:firstLine="612"/>
        <w:outlineLvl w:val="1"/>
        <w:rPr>
          <w:rFonts w:ascii="仿宋" w:hAnsi="仿宋" w:eastAsia="仿宋" w:cs="仿宋"/>
          <w:color w:val="auto"/>
          <w:sz w:val="31"/>
          <w:szCs w:val="31"/>
        </w:rPr>
      </w:pPr>
      <w:r>
        <w:rPr>
          <w:rFonts w:ascii="仿宋" w:hAnsi="仿宋" w:eastAsia="仿宋" w:cs="仿宋"/>
          <w:color w:val="auto"/>
          <w:spacing w:val="20"/>
          <w:sz w:val="31"/>
          <w:szCs w:val="31"/>
        </w:rPr>
        <w:t>2026</w:t>
      </w:r>
      <w:r>
        <w:rPr>
          <w:rFonts w:ascii="仿宋" w:hAnsi="仿宋" w:eastAsia="仿宋" w:cs="仿宋"/>
          <w:color w:val="auto"/>
          <w:spacing w:val="-44"/>
          <w:sz w:val="31"/>
          <w:szCs w:val="31"/>
        </w:rPr>
        <w:t xml:space="preserve"> </w:t>
      </w:r>
      <w:r>
        <w:rPr>
          <w:rFonts w:ascii="仿宋" w:hAnsi="仿宋" w:eastAsia="仿宋" w:cs="仿宋"/>
          <w:color w:val="auto"/>
          <w:spacing w:val="20"/>
          <w:sz w:val="31"/>
          <w:szCs w:val="31"/>
        </w:rPr>
        <w:t>年本部门没有使用国有资本经营预</w:t>
      </w:r>
      <w:r>
        <w:rPr>
          <w:rFonts w:ascii="仿宋" w:hAnsi="仿宋" w:eastAsia="仿宋" w:cs="仿宋"/>
          <w:color w:val="auto"/>
          <w:spacing w:val="19"/>
          <w:sz w:val="31"/>
          <w:szCs w:val="31"/>
        </w:rPr>
        <w:t>算拨款安排的支</w:t>
      </w:r>
      <w:r>
        <w:rPr>
          <w:rFonts w:ascii="仿宋" w:hAnsi="仿宋" w:eastAsia="仿宋" w:cs="仿宋"/>
          <w:color w:val="auto"/>
          <w:spacing w:val="-23"/>
          <w:sz w:val="31"/>
          <w:szCs w:val="31"/>
        </w:rPr>
        <w:t>出。</w:t>
      </w:r>
    </w:p>
    <w:p w14:paraId="4CAE2D16">
      <w:pPr>
        <w:pStyle w:val="19"/>
        <w:numPr>
          <w:ilvl w:val="0"/>
          <w:numId w:val="0"/>
        </w:numPr>
        <w:ind w:firstLine="562" w:firstLineChars="200"/>
        <w:rPr>
          <w:rFonts w:ascii="仿宋" w:hAnsi="仿宋" w:eastAsia="仿宋"/>
          <w:color w:val="auto"/>
          <w:sz w:val="28"/>
          <w:szCs w:val="28"/>
        </w:rPr>
      </w:pPr>
      <w:r>
        <w:rPr>
          <w:rFonts w:hint="eastAsia" w:ascii="仿宋" w:hAnsi="仿宋" w:eastAsia="仿宋"/>
          <w:color w:val="auto"/>
          <w:sz w:val="28"/>
          <w:szCs w:val="28"/>
        </w:rPr>
        <w:t>(六)机关运行经费等重要事项的说明</w:t>
      </w:r>
    </w:p>
    <w:p w14:paraId="4B6C6AE5">
      <w:pPr>
        <w:pStyle w:val="18"/>
        <w:ind w:firstLine="560"/>
        <w:rPr>
          <w:rFonts w:ascii="Adobe 仿宋 Std R" w:hAnsi="Adobe 仿宋 Std R" w:eastAsia="Adobe 仿宋 Std R"/>
          <w:color w:val="auto"/>
          <w:sz w:val="32"/>
          <w:szCs w:val="32"/>
        </w:rPr>
      </w:pPr>
      <w:r>
        <w:rPr>
          <w:rFonts w:hint="eastAsia" w:ascii="仿宋" w:hAnsi="仿宋" w:eastAsia="仿宋"/>
          <w:color w:val="auto"/>
          <w:sz w:val="28"/>
          <w:szCs w:val="28"/>
        </w:rPr>
        <w:t>2026年部门机关运行费预算354.13万元，比2025年预算增减少30.43万元，下降7.91%。</w:t>
      </w:r>
    </w:p>
    <w:p w14:paraId="6B4CE49C">
      <w:pPr>
        <w:pStyle w:val="19"/>
        <w:numPr>
          <w:ilvl w:val="0"/>
          <w:numId w:val="0"/>
        </w:numPr>
        <w:ind w:firstLine="562" w:firstLineChars="200"/>
        <w:rPr>
          <w:rFonts w:ascii="仿宋" w:hAnsi="仿宋" w:eastAsia="仿宋"/>
          <w:color w:val="auto"/>
          <w:sz w:val="28"/>
          <w:szCs w:val="28"/>
        </w:rPr>
      </w:pPr>
      <w:r>
        <w:rPr>
          <w:rFonts w:hint="eastAsia" w:ascii="仿宋" w:hAnsi="仿宋" w:eastAsia="仿宋"/>
          <w:color w:val="auto"/>
          <w:sz w:val="28"/>
          <w:szCs w:val="28"/>
        </w:rPr>
        <w:t>(七)政府采购情况</w:t>
      </w:r>
    </w:p>
    <w:p w14:paraId="575FF34F">
      <w:pPr>
        <w:pStyle w:val="18"/>
        <w:ind w:firstLine="560"/>
        <w:rPr>
          <w:color w:val="auto"/>
        </w:rPr>
      </w:pPr>
      <w:r>
        <w:rPr>
          <w:rFonts w:hint="eastAsia" w:ascii="仿宋" w:hAnsi="仿宋" w:eastAsia="仿宋"/>
          <w:color w:val="auto"/>
          <w:sz w:val="28"/>
          <w:szCs w:val="28"/>
        </w:rPr>
        <w:t>2026年部门所属各单位政府采购总额 84.00 万元,其中: 政府采购货物预算  10.00 万元, 政府采购工程预算 0.00 万元, 政府采购服务预算 74.00 万元。</w:t>
      </w:r>
    </w:p>
    <w:p w14:paraId="6653C84C">
      <w:pPr>
        <w:pStyle w:val="19"/>
        <w:numPr>
          <w:ilvl w:val="0"/>
          <w:numId w:val="0"/>
        </w:numPr>
        <w:ind w:firstLine="562" w:firstLineChars="200"/>
        <w:rPr>
          <w:rFonts w:ascii="仿宋" w:hAnsi="仿宋" w:eastAsia="仿宋"/>
          <w:color w:val="auto"/>
          <w:sz w:val="28"/>
          <w:szCs w:val="28"/>
        </w:rPr>
      </w:pPr>
      <w:r>
        <w:rPr>
          <w:rFonts w:hint="eastAsia" w:ascii="仿宋" w:hAnsi="仿宋" w:eastAsia="仿宋"/>
          <w:color w:val="auto"/>
          <w:sz w:val="28"/>
          <w:szCs w:val="28"/>
        </w:rPr>
        <w:t>(八)国有资产占有使用情况</w:t>
      </w:r>
    </w:p>
    <w:p w14:paraId="53FE8E75">
      <w:pPr>
        <w:pStyle w:val="18"/>
        <w:ind w:firstLine="560"/>
        <w:rPr>
          <w:rFonts w:ascii="仿宋" w:hAnsi="仿宋" w:eastAsia="仿宋"/>
          <w:color w:val="auto"/>
          <w:sz w:val="28"/>
          <w:szCs w:val="28"/>
        </w:rPr>
      </w:pPr>
      <w:r>
        <w:rPr>
          <w:rFonts w:hint="eastAsia" w:ascii="仿宋" w:hAnsi="仿宋" w:eastAsia="仿宋"/>
          <w:color w:val="auto"/>
          <w:sz w:val="28"/>
          <w:szCs w:val="28"/>
        </w:rPr>
        <w:t>截至2025年7月31日, 部门共有车辆0辆,其中：一般公务用车实有数0辆。</w:t>
      </w:r>
    </w:p>
    <w:p w14:paraId="1F9AAAB9">
      <w:pPr>
        <w:pStyle w:val="18"/>
        <w:ind w:firstLine="560"/>
        <w:rPr>
          <w:rFonts w:hint="eastAsia" w:ascii="仿宋" w:hAnsi="仿宋" w:eastAsia="仿宋"/>
          <w:color w:val="auto"/>
          <w:sz w:val="28"/>
          <w:szCs w:val="28"/>
        </w:rPr>
      </w:pPr>
      <w:r>
        <w:rPr>
          <w:rFonts w:hint="eastAsia" w:ascii="仿宋" w:hAnsi="仿宋" w:eastAsia="仿宋"/>
          <w:color w:val="auto"/>
          <w:sz w:val="28"/>
          <w:szCs w:val="28"/>
        </w:rPr>
        <w:t>2026 年部门预算安排购置车辆 0 辆，未安排购置单位价值200 万元以上大型设备。</w:t>
      </w:r>
    </w:p>
    <w:p w14:paraId="0E1F41DA">
      <w:pPr>
        <w:pStyle w:val="19"/>
        <w:numPr>
          <w:ilvl w:val="0"/>
          <w:numId w:val="4"/>
        </w:numPr>
        <w:ind w:firstLine="562" w:firstLineChars="200"/>
        <w:rPr>
          <w:rFonts w:hint="eastAsia" w:ascii="仿宋" w:hAnsi="仿宋" w:eastAsia="仿宋"/>
          <w:color w:val="auto"/>
          <w:sz w:val="28"/>
          <w:szCs w:val="28"/>
        </w:rPr>
      </w:pPr>
      <w:r>
        <w:rPr>
          <w:rFonts w:hint="eastAsia" w:ascii="仿宋" w:hAnsi="仿宋" w:eastAsia="仿宋"/>
          <w:color w:val="auto"/>
          <w:sz w:val="28"/>
          <w:szCs w:val="28"/>
        </w:rPr>
        <w:t>法律顾问经费项目情况说明</w:t>
      </w:r>
    </w:p>
    <w:p w14:paraId="0DF8F9EF">
      <w:pPr>
        <w:numPr>
          <w:ilvl w:val="0"/>
          <w:numId w:val="0"/>
        </w:numPr>
        <w:rPr>
          <w:rFonts w:hint="default" w:eastAsiaTheme="minorEastAsia"/>
          <w:color w:val="auto"/>
          <w:lang w:val="en-US" w:eastAsia="zh-CN"/>
        </w:rPr>
      </w:pPr>
      <w:r>
        <w:rPr>
          <w:rFonts w:hint="eastAsia"/>
          <w:color w:val="auto"/>
          <w:lang w:val="en-US" w:eastAsia="zh-CN"/>
        </w:rPr>
        <w:t xml:space="preserve">  </w:t>
      </w:r>
      <w:r>
        <w:rPr>
          <w:rFonts w:hint="eastAsia" w:ascii="仿宋" w:hAnsi="仿宋" w:eastAsia="仿宋" w:cs="仿宋_GB2312"/>
          <w:color w:val="auto"/>
          <w:sz w:val="28"/>
          <w:szCs w:val="28"/>
          <w:lang w:val="en-US" w:eastAsia="zh-CN"/>
        </w:rPr>
        <w:t xml:space="preserve">   （1）</w:t>
      </w:r>
      <w:r>
        <w:rPr>
          <w:rFonts w:hint="eastAsia" w:ascii="仿宋" w:hAnsi="仿宋" w:eastAsia="仿宋" w:cs="仿宋_GB2312"/>
          <w:color w:val="auto"/>
          <w:sz w:val="28"/>
          <w:szCs w:val="28"/>
        </w:rPr>
        <w:t>项目概述</w:t>
      </w:r>
    </w:p>
    <w:p w14:paraId="5CC760AA">
      <w:pPr>
        <w:spacing w:line="560" w:lineRule="exact"/>
        <w:ind w:firstLine="560" w:firstLineChars="200"/>
        <w:rPr>
          <w:rFonts w:ascii="仿宋" w:hAnsi="仿宋" w:eastAsia="仿宋" w:cs="仿宋_GB2312"/>
          <w:color w:val="auto"/>
          <w:sz w:val="28"/>
          <w:szCs w:val="28"/>
        </w:rPr>
      </w:pPr>
      <w:r>
        <w:rPr>
          <w:rFonts w:hint="eastAsia" w:ascii="仿宋" w:hAnsi="仿宋" w:eastAsia="仿宋"/>
          <w:color w:val="auto"/>
          <w:sz w:val="28"/>
          <w:szCs w:val="28"/>
        </w:rPr>
        <w:t xml:space="preserve"> 2</w:t>
      </w:r>
      <w:r>
        <w:rPr>
          <w:rFonts w:hint="eastAsia" w:ascii="仿宋" w:hAnsi="仿宋" w:eastAsia="仿宋" w:cs="仿宋_GB2312"/>
          <w:color w:val="auto"/>
          <w:sz w:val="28"/>
          <w:szCs w:val="28"/>
        </w:rPr>
        <w:t>026年度珠山区人民政府与江西京天律师事务所、江西法烁智律师事务所购买服务，签订法律合同。通过该项目聘请专业法律服务机构，为区政府提供全面，专业法律服务，以保障政府工作的合法合规性，提升珠山区人民政府工作决策的效率和科学性。</w:t>
      </w:r>
    </w:p>
    <w:p w14:paraId="199EB68E">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（2）立项依据</w:t>
      </w:r>
    </w:p>
    <w:p w14:paraId="064A6134">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依据上年度经费估算，保障本单位本年度，涉法涉规工作正常开展。提升政府决策水平，有效控制政府在行政管理和公共服务过程中可能面临的法律风险。</w:t>
      </w:r>
    </w:p>
    <w:p w14:paraId="7063ACA9">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（3）实施主体</w:t>
      </w:r>
    </w:p>
    <w:p w14:paraId="2C91C506">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珠山区人民政府办公室。</w:t>
      </w:r>
    </w:p>
    <w:p w14:paraId="2CD45DD9">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（4）实施方案</w:t>
      </w:r>
    </w:p>
    <w:p w14:paraId="31E6AE7C">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根据实际工作需要分配资金，严格经费申报使用流程。合法、合规、合理安排使用相关费用。</w:t>
      </w:r>
    </w:p>
    <w:p w14:paraId="7E5DD359">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（5）实施周期</w:t>
      </w:r>
    </w:p>
    <w:p w14:paraId="4DCBD279">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2026年1月1日至12月31日。</w:t>
      </w:r>
    </w:p>
    <w:p w14:paraId="48D87830">
      <w:pPr>
        <w:spacing w:line="56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（6）年度预算安排</w:t>
      </w:r>
    </w:p>
    <w:p w14:paraId="6C822934">
      <w:pPr>
        <w:spacing w:line="560" w:lineRule="exact"/>
        <w:ind w:firstLine="560" w:firstLineChars="200"/>
        <w:rPr>
          <w:color w:val="auto"/>
        </w:rPr>
      </w:pPr>
      <w:r>
        <w:rPr>
          <w:rFonts w:hint="eastAsia" w:ascii="仿宋" w:hAnsi="仿宋" w:eastAsia="仿宋" w:cs="仿宋_GB2312"/>
          <w:color w:val="auto"/>
          <w:sz w:val="28"/>
          <w:szCs w:val="28"/>
        </w:rPr>
        <w:t>年度预算安排44万元。</w:t>
      </w:r>
    </w:p>
    <w:p w14:paraId="382709E3">
      <w:pPr>
        <w:pStyle w:val="17"/>
        <w:numPr>
          <w:ilvl w:val="0"/>
          <w:numId w:val="0"/>
        </w:numPr>
        <w:ind w:left="420" w:leftChars="200" w:firstLine="281" w:firstLineChars="100"/>
        <w:rPr>
          <w:rFonts w:ascii="仿宋" w:hAnsi="仿宋" w:eastAsia="仿宋"/>
          <w:b/>
          <w:color w:val="auto"/>
          <w:sz w:val="28"/>
          <w:szCs w:val="28"/>
        </w:rPr>
      </w:pPr>
      <w:r>
        <w:rPr>
          <w:rFonts w:hint="eastAsia" w:ascii="仿宋" w:hAnsi="仿宋" w:eastAsia="仿宋"/>
          <w:b/>
          <w:color w:val="auto"/>
          <w:sz w:val="28"/>
          <w:szCs w:val="28"/>
        </w:rPr>
        <w:t>二、2026年财政拨款“三公”经费预算情况说明</w:t>
      </w:r>
    </w:p>
    <w:p w14:paraId="1556EAC9">
      <w:pPr>
        <w:pStyle w:val="18"/>
        <w:ind w:firstLine="560"/>
        <w:rPr>
          <w:rFonts w:ascii="仿宋" w:hAnsi="仿宋" w:eastAsia="仿宋"/>
          <w:color w:val="auto"/>
          <w:sz w:val="28"/>
          <w:szCs w:val="28"/>
        </w:rPr>
      </w:pPr>
      <w:r>
        <w:rPr>
          <w:rFonts w:hint="eastAsia" w:ascii="仿宋" w:hAnsi="仿宋" w:eastAsia="仿宋"/>
          <w:color w:val="auto"/>
          <w:sz w:val="28"/>
          <w:szCs w:val="28"/>
        </w:rPr>
        <w:t>2026年景德镇市珠山区人民政府财政拨款"三公"经费安排15.62万元，其中：</w:t>
      </w:r>
    </w:p>
    <w:p w14:paraId="790B5950">
      <w:pPr>
        <w:pStyle w:val="18"/>
        <w:ind w:firstLine="560"/>
        <w:rPr>
          <w:rFonts w:ascii="仿宋" w:hAnsi="仿宋" w:eastAsia="仿宋"/>
          <w:color w:val="auto"/>
          <w:sz w:val="28"/>
          <w:szCs w:val="28"/>
        </w:rPr>
      </w:pPr>
      <w:r>
        <w:rPr>
          <w:rFonts w:hint="eastAsia" w:ascii="仿宋" w:hAnsi="仿宋" w:eastAsia="仿宋"/>
          <w:color w:val="auto"/>
          <w:sz w:val="28"/>
          <w:szCs w:val="28"/>
        </w:rPr>
        <w:t>因公出国9.00万元,比上年增</w:t>
      </w:r>
      <w:r>
        <w:rPr>
          <w:rFonts w:hint="eastAsia" w:ascii="仿宋" w:hAnsi="仿宋" w:eastAsia="仿宋"/>
          <w:color w:val="auto"/>
          <w:sz w:val="28"/>
          <w:szCs w:val="28"/>
          <w:lang w:val="en-US" w:eastAsia="zh-CN"/>
        </w:rPr>
        <w:t>长</w:t>
      </w:r>
      <w:r>
        <w:rPr>
          <w:rFonts w:hint="eastAsia" w:ascii="仿宋" w:hAnsi="仿宋" w:eastAsia="仿宋"/>
          <w:color w:val="auto"/>
          <w:sz w:val="28"/>
          <w:szCs w:val="28"/>
        </w:rPr>
        <w:t>0万元，主要原因是：与上年</w:t>
      </w:r>
      <w:r>
        <w:rPr>
          <w:rFonts w:hint="eastAsia" w:ascii="仿宋" w:hAnsi="仿宋" w:eastAsia="仿宋"/>
          <w:color w:val="auto"/>
          <w:sz w:val="28"/>
          <w:szCs w:val="28"/>
          <w:lang w:val="en-US" w:eastAsia="zh-CN"/>
        </w:rPr>
        <w:t>安排</w:t>
      </w:r>
      <w:r>
        <w:rPr>
          <w:rFonts w:hint="eastAsia" w:ascii="仿宋" w:hAnsi="仿宋" w:eastAsia="仿宋"/>
          <w:color w:val="auto"/>
          <w:sz w:val="28"/>
          <w:szCs w:val="28"/>
        </w:rPr>
        <w:t>保持一致。</w:t>
      </w:r>
    </w:p>
    <w:p w14:paraId="5A110721">
      <w:pPr>
        <w:pStyle w:val="18"/>
        <w:ind w:firstLine="560"/>
        <w:rPr>
          <w:rFonts w:ascii="仿宋" w:hAnsi="仿宋" w:eastAsia="仿宋"/>
          <w:color w:val="auto"/>
          <w:sz w:val="28"/>
          <w:szCs w:val="28"/>
        </w:rPr>
      </w:pPr>
      <w:r>
        <w:rPr>
          <w:rFonts w:hint="eastAsia" w:ascii="仿宋" w:hAnsi="仿宋" w:eastAsia="仿宋"/>
          <w:color w:val="auto"/>
          <w:sz w:val="28"/>
          <w:szCs w:val="28"/>
        </w:rPr>
        <w:t>公务接待6.62万元,比上年减</w:t>
      </w:r>
      <w:r>
        <w:rPr>
          <w:rFonts w:hint="eastAsia" w:ascii="仿宋" w:hAnsi="仿宋" w:eastAsia="仿宋"/>
          <w:color w:val="auto"/>
          <w:sz w:val="28"/>
          <w:szCs w:val="28"/>
          <w:lang w:val="en-US" w:eastAsia="zh-CN"/>
        </w:rPr>
        <w:t>少</w:t>
      </w:r>
      <w:r>
        <w:rPr>
          <w:rFonts w:hint="eastAsia" w:ascii="仿宋" w:hAnsi="仿宋" w:eastAsia="仿宋"/>
          <w:color w:val="auto"/>
          <w:sz w:val="28"/>
          <w:szCs w:val="28"/>
        </w:rPr>
        <w:t>0.14万元，主要原因是：</w:t>
      </w:r>
      <w:r>
        <w:rPr>
          <w:rFonts w:hint="eastAsia" w:ascii="仿宋" w:hAnsi="仿宋" w:eastAsia="仿宋" w:cs="仿宋_GB2312"/>
          <w:color w:val="auto"/>
          <w:sz w:val="28"/>
          <w:szCs w:val="28"/>
        </w:rPr>
        <w:t>在不影响接待工作前提下，适当按比例逐年减少支出。</w:t>
      </w:r>
    </w:p>
    <w:p w14:paraId="30AEB776">
      <w:pPr>
        <w:pStyle w:val="18"/>
        <w:ind w:firstLine="560"/>
        <w:rPr>
          <w:rFonts w:ascii="仿宋" w:hAnsi="仿宋" w:eastAsia="仿宋"/>
          <w:color w:val="auto"/>
          <w:sz w:val="28"/>
          <w:szCs w:val="28"/>
        </w:rPr>
      </w:pPr>
      <w:r>
        <w:rPr>
          <w:rFonts w:hint="eastAsia" w:ascii="仿宋" w:hAnsi="仿宋" w:eastAsia="仿宋"/>
          <w:color w:val="auto"/>
          <w:sz w:val="28"/>
          <w:szCs w:val="28"/>
        </w:rPr>
        <w:t>公务用车运行0.00万元,比上年增</w:t>
      </w:r>
      <w:r>
        <w:rPr>
          <w:rFonts w:hint="eastAsia" w:ascii="仿宋" w:hAnsi="仿宋" w:eastAsia="仿宋"/>
          <w:color w:val="auto"/>
          <w:sz w:val="28"/>
          <w:szCs w:val="28"/>
          <w:lang w:val="en-US" w:eastAsia="zh-CN"/>
        </w:rPr>
        <w:t>长</w:t>
      </w:r>
      <w:r>
        <w:rPr>
          <w:rFonts w:hint="eastAsia" w:ascii="仿宋" w:hAnsi="仿宋" w:eastAsia="仿宋"/>
          <w:color w:val="auto"/>
          <w:sz w:val="28"/>
          <w:szCs w:val="28"/>
        </w:rPr>
        <w:t>0万元，主要原因是：与上年</w:t>
      </w:r>
      <w:r>
        <w:rPr>
          <w:rFonts w:hint="eastAsia" w:ascii="仿宋" w:hAnsi="仿宋" w:eastAsia="仿宋"/>
          <w:color w:val="auto"/>
          <w:sz w:val="28"/>
          <w:szCs w:val="28"/>
          <w:lang w:val="en-US" w:eastAsia="zh-CN"/>
        </w:rPr>
        <w:t>安排</w:t>
      </w:r>
      <w:r>
        <w:rPr>
          <w:rFonts w:hint="eastAsia" w:ascii="仿宋" w:hAnsi="仿宋" w:eastAsia="仿宋"/>
          <w:color w:val="auto"/>
          <w:sz w:val="28"/>
          <w:szCs w:val="28"/>
        </w:rPr>
        <w:t>保持一致。</w:t>
      </w:r>
    </w:p>
    <w:p w14:paraId="5F4D1CC3">
      <w:pPr>
        <w:pStyle w:val="18"/>
        <w:ind w:firstLine="560"/>
        <w:rPr>
          <w:rFonts w:ascii="仿宋" w:hAnsi="仿宋" w:eastAsia="仿宋"/>
          <w:color w:val="auto"/>
          <w:sz w:val="28"/>
          <w:szCs w:val="28"/>
        </w:rPr>
      </w:pPr>
      <w:r>
        <w:rPr>
          <w:rFonts w:hint="eastAsia" w:ascii="仿宋" w:hAnsi="仿宋" w:eastAsia="仿宋"/>
          <w:color w:val="auto"/>
          <w:sz w:val="28"/>
          <w:szCs w:val="28"/>
        </w:rPr>
        <w:t>公务用车购置0.00万元,比上年增</w:t>
      </w:r>
      <w:r>
        <w:rPr>
          <w:rFonts w:hint="eastAsia" w:ascii="仿宋" w:hAnsi="仿宋" w:eastAsia="仿宋"/>
          <w:color w:val="auto"/>
          <w:sz w:val="28"/>
          <w:szCs w:val="28"/>
          <w:lang w:val="en-US" w:eastAsia="zh-CN"/>
        </w:rPr>
        <w:t>长</w:t>
      </w:r>
      <w:r>
        <w:rPr>
          <w:rFonts w:hint="eastAsia" w:ascii="仿宋" w:hAnsi="仿宋" w:eastAsia="仿宋"/>
          <w:color w:val="auto"/>
          <w:sz w:val="28"/>
          <w:szCs w:val="28"/>
        </w:rPr>
        <w:t>0万元，主要原因是：与上年</w:t>
      </w:r>
      <w:r>
        <w:rPr>
          <w:rFonts w:hint="eastAsia" w:ascii="仿宋" w:hAnsi="仿宋" w:eastAsia="仿宋"/>
          <w:color w:val="auto"/>
          <w:sz w:val="28"/>
          <w:szCs w:val="28"/>
          <w:lang w:val="en-US" w:eastAsia="zh-CN"/>
        </w:rPr>
        <w:t>安排</w:t>
      </w:r>
      <w:r>
        <w:rPr>
          <w:rFonts w:hint="eastAsia" w:ascii="仿宋" w:hAnsi="仿宋" w:eastAsia="仿宋"/>
          <w:color w:val="auto"/>
          <w:sz w:val="28"/>
          <w:szCs w:val="28"/>
        </w:rPr>
        <w:t>保持一致。</w:t>
      </w:r>
    </w:p>
    <w:p w14:paraId="59F731EB">
      <w:pPr>
        <w:pStyle w:val="18"/>
        <w:ind w:left="2940" w:hanging="2940" w:hangingChars="1050"/>
        <w:rPr>
          <w:rFonts w:ascii="仿宋" w:hAnsi="仿宋" w:eastAsia="仿宋"/>
          <w:color w:val="auto"/>
          <w:sz w:val="28"/>
          <w:szCs w:val="28"/>
        </w:rPr>
      </w:pPr>
      <w:r>
        <w:rPr>
          <w:rStyle w:val="12"/>
          <w:rFonts w:hint="eastAsia" w:ascii="仿宋" w:hAnsi="仿宋" w:eastAsia="仿宋"/>
          <w:color w:val="auto"/>
          <w:sz w:val="28"/>
          <w:szCs w:val="28"/>
        </w:rPr>
        <w:br w:type="page"/>
      </w:r>
      <w:r>
        <w:rPr>
          <w:rFonts w:hint="eastAsia" w:ascii="仿宋" w:hAnsi="仿宋" w:eastAsia="仿宋"/>
          <w:b/>
          <w:color w:val="auto"/>
        </w:rPr>
        <w:t>第四部分   名词解释</w:t>
      </w:r>
    </w:p>
    <w:p w14:paraId="6AA8AE67">
      <w:pPr>
        <w:spacing w:before="218" w:line="233" w:lineRule="auto"/>
        <w:ind w:left="745"/>
        <w:outlineLvl w:val="0"/>
        <w:rPr>
          <w:rFonts w:ascii="仿宋" w:hAnsi="仿宋" w:eastAsia="仿宋" w:cs="楷体"/>
          <w:color w:val="auto"/>
          <w:sz w:val="28"/>
          <w:szCs w:val="28"/>
        </w:rPr>
      </w:pPr>
      <w:r>
        <w:rPr>
          <w:rFonts w:ascii="仿宋" w:hAnsi="仿宋" w:eastAsia="仿宋" w:cs="楷体"/>
          <w:b/>
          <w:bCs/>
          <w:color w:val="auto"/>
          <w:spacing w:val="4"/>
          <w:sz w:val="28"/>
          <w:szCs w:val="28"/>
        </w:rPr>
        <w:t>一、收入科目</w:t>
      </w:r>
    </w:p>
    <w:p w14:paraId="0F3409B7">
      <w:pPr>
        <w:spacing w:before="211" w:line="222" w:lineRule="auto"/>
        <w:ind w:left="631"/>
        <w:rPr>
          <w:rFonts w:ascii="仿宋" w:hAnsi="仿宋" w:eastAsia="仿宋" w:cs="仿宋"/>
          <w:color w:val="auto"/>
          <w:sz w:val="28"/>
          <w:szCs w:val="28"/>
        </w:rPr>
      </w:pPr>
      <w:r>
        <w:rPr>
          <w:rFonts w:ascii="仿宋" w:hAnsi="仿宋" w:eastAsia="仿宋" w:cs="仿宋"/>
          <w:color w:val="auto"/>
          <w:spacing w:val="5"/>
          <w:sz w:val="28"/>
          <w:szCs w:val="28"/>
        </w:rPr>
        <w:t>（</w:t>
      </w:r>
      <w:r>
        <w:rPr>
          <w:rFonts w:ascii="仿宋" w:hAnsi="仿宋" w:eastAsia="仿宋" w:cs="仿宋"/>
          <w:color w:val="auto"/>
          <w:spacing w:val="-68"/>
          <w:sz w:val="28"/>
          <w:szCs w:val="28"/>
        </w:rPr>
        <w:t xml:space="preserve"> </w:t>
      </w:r>
      <w:r>
        <w:rPr>
          <w:rFonts w:ascii="仿宋" w:hAnsi="仿宋" w:eastAsia="仿宋" w:cs="仿宋"/>
          <w:color w:val="auto"/>
          <w:spacing w:val="5"/>
          <w:sz w:val="28"/>
          <w:szCs w:val="28"/>
        </w:rPr>
        <w:t>一）财政拨款：指省级财政当年拨付的资金。</w:t>
      </w:r>
    </w:p>
    <w:p w14:paraId="251A7C08">
      <w:pPr>
        <w:spacing w:before="227" w:line="290" w:lineRule="auto"/>
        <w:ind w:left="19" w:right="73" w:firstLine="611"/>
        <w:rPr>
          <w:rFonts w:ascii="仿宋" w:hAnsi="仿宋" w:eastAsia="仿宋" w:cs="仿宋"/>
          <w:color w:val="auto"/>
          <w:sz w:val="28"/>
          <w:szCs w:val="28"/>
        </w:rPr>
      </w:pPr>
      <w:r>
        <w:rPr>
          <w:rFonts w:ascii="仿宋" w:hAnsi="仿宋" w:eastAsia="仿宋" w:cs="仿宋"/>
          <w:color w:val="auto"/>
          <w:spacing w:val="10"/>
          <w:sz w:val="28"/>
          <w:szCs w:val="28"/>
        </w:rPr>
        <w:t>（</w:t>
      </w:r>
      <w:r>
        <w:rPr>
          <w:rFonts w:ascii="仿宋" w:hAnsi="仿宋" w:eastAsia="仿宋" w:cs="仿宋"/>
          <w:color w:val="auto"/>
          <w:spacing w:val="-73"/>
          <w:sz w:val="28"/>
          <w:szCs w:val="28"/>
        </w:rPr>
        <w:t xml:space="preserve"> </w:t>
      </w:r>
      <w:r>
        <w:rPr>
          <w:rFonts w:ascii="仿宋" w:hAnsi="仿宋" w:eastAsia="仿宋" w:cs="仿宋"/>
          <w:color w:val="auto"/>
          <w:spacing w:val="10"/>
          <w:sz w:val="28"/>
          <w:szCs w:val="28"/>
        </w:rPr>
        <w:t>二）其他收入：指除财政拨款、事业收入、事业单位经</w:t>
      </w:r>
      <w:r>
        <w:rPr>
          <w:rFonts w:ascii="仿宋" w:hAnsi="仿宋" w:eastAsia="仿宋" w:cs="仿宋"/>
          <w:color w:val="auto"/>
          <w:spacing w:val="6"/>
          <w:sz w:val="28"/>
          <w:szCs w:val="28"/>
        </w:rPr>
        <w:t>营收入等以外的各项收入。</w:t>
      </w:r>
    </w:p>
    <w:p w14:paraId="0528A043">
      <w:pPr>
        <w:spacing w:before="225" w:line="288" w:lineRule="auto"/>
        <w:ind w:left="1" w:right="71" w:firstLine="630"/>
        <w:rPr>
          <w:rFonts w:ascii="仿宋" w:hAnsi="仿宋" w:eastAsia="仿宋" w:cs="仿宋"/>
          <w:color w:val="auto"/>
          <w:sz w:val="28"/>
          <w:szCs w:val="28"/>
        </w:rPr>
      </w:pPr>
      <w:r>
        <w:rPr>
          <w:rFonts w:ascii="仿宋" w:hAnsi="仿宋" w:eastAsia="仿宋" w:cs="仿宋"/>
          <w:color w:val="auto"/>
          <w:spacing w:val="2"/>
          <w:sz w:val="28"/>
          <w:szCs w:val="28"/>
        </w:rPr>
        <w:t>（</w:t>
      </w:r>
      <w:r>
        <w:rPr>
          <w:rFonts w:ascii="仿宋" w:hAnsi="仿宋" w:eastAsia="仿宋" w:cs="仿宋"/>
          <w:color w:val="auto"/>
          <w:spacing w:val="-75"/>
          <w:sz w:val="28"/>
          <w:szCs w:val="28"/>
        </w:rPr>
        <w:t xml:space="preserve"> </w:t>
      </w:r>
      <w:r>
        <w:rPr>
          <w:rFonts w:ascii="仿宋" w:hAnsi="仿宋" w:eastAsia="仿宋" w:cs="仿宋"/>
          <w:color w:val="auto"/>
          <w:spacing w:val="2"/>
          <w:sz w:val="28"/>
          <w:szCs w:val="28"/>
        </w:rPr>
        <w:t>三）上年结转和结余：填列</w:t>
      </w:r>
      <w:r>
        <w:rPr>
          <w:rFonts w:ascii="仿宋" w:hAnsi="仿宋" w:eastAsia="仿宋" w:cs="仿宋"/>
          <w:color w:val="auto"/>
          <w:spacing w:val="-49"/>
          <w:sz w:val="28"/>
          <w:szCs w:val="28"/>
        </w:rPr>
        <w:t xml:space="preserve"> </w:t>
      </w:r>
      <w:r>
        <w:rPr>
          <w:rFonts w:ascii="仿宋" w:hAnsi="仿宋" w:eastAsia="仿宋" w:cs="仿宋"/>
          <w:color w:val="auto"/>
          <w:spacing w:val="2"/>
          <w:sz w:val="28"/>
          <w:szCs w:val="28"/>
        </w:rPr>
        <w:t>2025</w:t>
      </w:r>
      <w:r>
        <w:rPr>
          <w:rFonts w:ascii="仿宋" w:hAnsi="仿宋" w:eastAsia="仿宋" w:cs="仿宋"/>
          <w:color w:val="auto"/>
          <w:spacing w:val="-58"/>
          <w:sz w:val="28"/>
          <w:szCs w:val="28"/>
        </w:rPr>
        <w:t xml:space="preserve"> </w:t>
      </w:r>
      <w:r>
        <w:rPr>
          <w:rFonts w:ascii="仿宋" w:hAnsi="仿宋" w:eastAsia="仿宋" w:cs="仿宋"/>
          <w:color w:val="auto"/>
          <w:spacing w:val="2"/>
          <w:sz w:val="28"/>
          <w:szCs w:val="28"/>
        </w:rPr>
        <w:t>年全部结转和结</w:t>
      </w:r>
      <w:r>
        <w:rPr>
          <w:rFonts w:ascii="仿宋" w:hAnsi="仿宋" w:eastAsia="仿宋" w:cs="仿宋"/>
          <w:color w:val="auto"/>
          <w:spacing w:val="1"/>
          <w:sz w:val="28"/>
          <w:szCs w:val="28"/>
        </w:rPr>
        <w:t>余的资</w:t>
      </w:r>
      <w:r>
        <w:rPr>
          <w:rFonts w:ascii="仿宋" w:hAnsi="仿宋" w:eastAsia="仿宋" w:cs="仿宋"/>
          <w:color w:val="auto"/>
          <w:spacing w:val="9"/>
          <w:sz w:val="28"/>
          <w:szCs w:val="28"/>
        </w:rPr>
        <w:t>金数，包括当年结转结余资金和历年滚存结转结余资</w:t>
      </w:r>
      <w:r>
        <w:rPr>
          <w:rFonts w:ascii="仿宋" w:hAnsi="仿宋" w:eastAsia="仿宋" w:cs="仿宋"/>
          <w:color w:val="auto"/>
          <w:spacing w:val="8"/>
          <w:sz w:val="28"/>
          <w:szCs w:val="28"/>
        </w:rPr>
        <w:t>金。</w:t>
      </w:r>
    </w:p>
    <w:p w14:paraId="29317A5D">
      <w:pPr>
        <w:spacing w:before="231" w:line="233" w:lineRule="auto"/>
        <w:ind w:left="741"/>
        <w:outlineLvl w:val="0"/>
        <w:rPr>
          <w:rFonts w:ascii="仿宋" w:hAnsi="仿宋" w:eastAsia="仿宋" w:cs="楷体"/>
          <w:color w:val="auto"/>
          <w:sz w:val="28"/>
          <w:szCs w:val="28"/>
        </w:rPr>
      </w:pPr>
      <w:r>
        <w:rPr>
          <w:rFonts w:ascii="仿宋" w:hAnsi="仿宋" w:eastAsia="仿宋" w:cs="楷体"/>
          <w:b/>
          <w:bCs/>
          <w:color w:val="auto"/>
          <w:spacing w:val="5"/>
          <w:sz w:val="28"/>
          <w:szCs w:val="28"/>
        </w:rPr>
        <w:t>二、支出科目</w:t>
      </w:r>
    </w:p>
    <w:p w14:paraId="06577520">
      <w:pPr>
        <w:spacing w:before="195" w:line="283" w:lineRule="auto"/>
        <w:ind w:right="70" w:firstLine="631"/>
        <w:rPr>
          <w:rFonts w:ascii="仿宋" w:hAnsi="仿宋" w:eastAsia="仿宋" w:cs="仿宋"/>
          <w:color w:val="auto"/>
          <w:sz w:val="28"/>
          <w:szCs w:val="28"/>
        </w:rPr>
      </w:pPr>
      <w:r>
        <w:rPr>
          <w:rFonts w:ascii="仿宋" w:hAnsi="仿宋" w:eastAsia="仿宋" w:cs="仿宋"/>
          <w:color w:val="auto"/>
          <w:spacing w:val="3"/>
          <w:sz w:val="28"/>
          <w:szCs w:val="28"/>
        </w:rPr>
        <w:t>（</w:t>
      </w:r>
      <w:r>
        <w:rPr>
          <w:rFonts w:ascii="仿宋" w:hAnsi="仿宋" w:eastAsia="仿宋" w:cs="仿宋"/>
          <w:color w:val="auto"/>
          <w:spacing w:val="-62"/>
          <w:sz w:val="28"/>
          <w:szCs w:val="28"/>
        </w:rPr>
        <w:t xml:space="preserve"> </w:t>
      </w:r>
      <w:r>
        <w:rPr>
          <w:rFonts w:ascii="仿宋" w:hAnsi="仿宋" w:eastAsia="仿宋" w:cs="仿宋"/>
          <w:color w:val="auto"/>
          <w:spacing w:val="3"/>
          <w:sz w:val="28"/>
          <w:szCs w:val="28"/>
        </w:rPr>
        <w:t>一）一般公共服务支出(类)财政事务(款)行政运行(项):</w:t>
      </w:r>
      <w:r>
        <w:rPr>
          <w:rFonts w:ascii="仿宋" w:hAnsi="仿宋" w:eastAsia="仿宋" w:cs="仿宋"/>
          <w:color w:val="auto"/>
          <w:spacing w:val="9"/>
          <w:sz w:val="28"/>
          <w:szCs w:val="28"/>
        </w:rPr>
        <w:t>反映行政单位(包括实行公务员管理的事业</w:t>
      </w:r>
      <w:r>
        <w:rPr>
          <w:rFonts w:ascii="仿宋" w:hAnsi="仿宋" w:eastAsia="仿宋" w:cs="仿宋"/>
          <w:color w:val="auto"/>
          <w:spacing w:val="8"/>
          <w:sz w:val="28"/>
          <w:szCs w:val="28"/>
        </w:rPr>
        <w:t>单位)的基本支出。</w:t>
      </w:r>
    </w:p>
    <w:p w14:paraId="49871FC3">
      <w:pPr>
        <w:spacing w:before="208" w:line="304" w:lineRule="auto"/>
        <w:ind w:left="6" w:right="71" w:firstLine="625"/>
        <w:rPr>
          <w:rFonts w:ascii="仿宋" w:hAnsi="仿宋" w:eastAsia="仿宋" w:cs="仿宋"/>
          <w:color w:val="auto"/>
          <w:sz w:val="28"/>
          <w:szCs w:val="28"/>
        </w:rPr>
      </w:pPr>
      <w:r>
        <w:rPr>
          <w:rFonts w:ascii="仿宋" w:hAnsi="仿宋" w:eastAsia="仿宋" w:cs="仿宋"/>
          <w:color w:val="auto"/>
          <w:spacing w:val="9"/>
          <w:sz w:val="28"/>
          <w:szCs w:val="28"/>
        </w:rPr>
        <w:t>（</w:t>
      </w:r>
      <w:r>
        <w:rPr>
          <w:rFonts w:ascii="仿宋" w:hAnsi="仿宋" w:eastAsia="仿宋" w:cs="仿宋"/>
          <w:color w:val="auto"/>
          <w:spacing w:val="-64"/>
          <w:sz w:val="28"/>
          <w:szCs w:val="28"/>
        </w:rPr>
        <w:t xml:space="preserve"> </w:t>
      </w:r>
      <w:r>
        <w:rPr>
          <w:rFonts w:ascii="仿宋" w:hAnsi="仿宋" w:eastAsia="仿宋" w:cs="仿宋"/>
          <w:color w:val="auto"/>
          <w:spacing w:val="9"/>
          <w:sz w:val="28"/>
          <w:szCs w:val="28"/>
        </w:rPr>
        <w:t>二）一般公共服务支出(类)财政事务(款)一般行政管理</w:t>
      </w:r>
      <w:r>
        <w:rPr>
          <w:rFonts w:ascii="仿宋" w:hAnsi="仿宋" w:eastAsia="仿宋" w:cs="仿宋"/>
          <w:color w:val="auto"/>
          <w:spacing w:val="17"/>
          <w:sz w:val="28"/>
          <w:szCs w:val="28"/>
        </w:rPr>
        <w:t>事务(项):反映行政单位(包括实行公务员管理的事业单位)未</w:t>
      </w:r>
      <w:r>
        <w:rPr>
          <w:rFonts w:ascii="仿宋" w:hAnsi="仿宋" w:eastAsia="仿宋" w:cs="仿宋"/>
          <w:color w:val="auto"/>
          <w:spacing w:val="8"/>
          <w:sz w:val="28"/>
          <w:szCs w:val="28"/>
        </w:rPr>
        <w:t>单独设置项级科目的其他项目支出。</w:t>
      </w:r>
    </w:p>
    <w:p w14:paraId="33E43527">
      <w:pPr>
        <w:spacing w:before="209" w:line="304" w:lineRule="auto"/>
        <w:ind w:firstLine="576"/>
        <w:rPr>
          <w:rFonts w:ascii="仿宋" w:hAnsi="仿宋" w:eastAsia="仿宋" w:cs="仿宋"/>
          <w:color w:val="auto"/>
          <w:sz w:val="28"/>
          <w:szCs w:val="28"/>
        </w:rPr>
      </w:pPr>
      <w:r>
        <w:rPr>
          <w:rFonts w:ascii="仿宋" w:hAnsi="仿宋" w:eastAsia="仿宋" w:cs="仿宋"/>
          <w:color w:val="auto"/>
          <w:spacing w:val="-1"/>
          <w:sz w:val="28"/>
          <w:szCs w:val="28"/>
        </w:rPr>
        <w:t>（</w:t>
      </w:r>
      <w:r>
        <w:rPr>
          <w:rFonts w:ascii="仿宋" w:hAnsi="仿宋" w:eastAsia="仿宋" w:cs="仿宋"/>
          <w:color w:val="auto"/>
          <w:spacing w:val="-71"/>
          <w:sz w:val="28"/>
          <w:szCs w:val="28"/>
        </w:rPr>
        <w:t xml:space="preserve"> </w:t>
      </w:r>
      <w:r>
        <w:rPr>
          <w:rFonts w:ascii="仿宋" w:hAnsi="仿宋" w:eastAsia="仿宋" w:cs="仿宋"/>
          <w:color w:val="auto"/>
          <w:spacing w:val="-1"/>
          <w:sz w:val="28"/>
          <w:szCs w:val="28"/>
        </w:rPr>
        <w:t>三）一般公共服务支出(类)财政事务(款)机关服务（项</w:t>
      </w:r>
      <w:r>
        <w:rPr>
          <w:rFonts w:ascii="仿宋" w:hAnsi="仿宋" w:eastAsia="仿宋" w:cs="仿宋"/>
          <w:color w:val="auto"/>
          <w:spacing w:val="-80"/>
          <w:w w:val="91"/>
          <w:sz w:val="28"/>
          <w:szCs w:val="28"/>
        </w:rPr>
        <w:t>）：</w:t>
      </w:r>
      <w:r>
        <w:rPr>
          <w:rFonts w:ascii="仿宋" w:hAnsi="仿宋" w:eastAsia="仿宋" w:cs="仿宋"/>
          <w:color w:val="auto"/>
          <w:spacing w:val="13"/>
          <w:sz w:val="28"/>
          <w:szCs w:val="28"/>
        </w:rPr>
        <w:t>反映为行政单位（包括实行公务员管理的事业单位</w:t>
      </w:r>
      <w:r>
        <w:rPr>
          <w:rFonts w:ascii="仿宋" w:hAnsi="仿宋" w:eastAsia="仿宋" w:cs="仿宋"/>
          <w:color w:val="auto"/>
          <w:spacing w:val="12"/>
          <w:sz w:val="28"/>
          <w:szCs w:val="28"/>
        </w:rPr>
        <w:t>）提供后勤</w:t>
      </w:r>
      <w:r>
        <w:rPr>
          <w:rFonts w:ascii="仿宋" w:hAnsi="仿宋" w:eastAsia="仿宋" w:cs="仿宋"/>
          <w:color w:val="auto"/>
          <w:spacing w:val="6"/>
          <w:sz w:val="28"/>
          <w:szCs w:val="28"/>
        </w:rPr>
        <w:t>服务的各类后勤服务中心、</w:t>
      </w:r>
      <w:r>
        <w:rPr>
          <w:rFonts w:ascii="仿宋" w:hAnsi="仿宋" w:eastAsia="仿宋" w:cs="仿宋"/>
          <w:color w:val="auto"/>
          <w:spacing w:val="-77"/>
          <w:sz w:val="28"/>
          <w:szCs w:val="28"/>
        </w:rPr>
        <w:t xml:space="preserve"> </w:t>
      </w:r>
      <w:r>
        <w:rPr>
          <w:rFonts w:ascii="仿宋" w:hAnsi="仿宋" w:eastAsia="仿宋" w:cs="仿宋"/>
          <w:color w:val="auto"/>
          <w:spacing w:val="6"/>
          <w:sz w:val="28"/>
          <w:szCs w:val="28"/>
        </w:rPr>
        <w:t>医务室等附属事业单位的支出。</w:t>
      </w:r>
    </w:p>
    <w:p w14:paraId="301CF62D">
      <w:pPr>
        <w:spacing w:before="211" w:line="283" w:lineRule="auto"/>
        <w:ind w:firstLine="576"/>
        <w:rPr>
          <w:rFonts w:ascii="仿宋" w:hAnsi="仿宋" w:eastAsia="仿宋" w:cs="仿宋"/>
          <w:color w:val="auto"/>
          <w:sz w:val="28"/>
          <w:szCs w:val="28"/>
        </w:rPr>
      </w:pPr>
      <w:r>
        <w:rPr>
          <w:rFonts w:ascii="仿宋" w:hAnsi="仿宋" w:eastAsia="仿宋" w:cs="仿宋"/>
          <w:color w:val="auto"/>
          <w:spacing w:val="-1"/>
          <w:sz w:val="28"/>
          <w:szCs w:val="28"/>
        </w:rPr>
        <w:t>（</w:t>
      </w:r>
      <w:r>
        <w:rPr>
          <w:rFonts w:ascii="仿宋" w:hAnsi="仿宋" w:eastAsia="仿宋" w:cs="仿宋"/>
          <w:color w:val="auto"/>
          <w:spacing w:val="-57"/>
          <w:sz w:val="28"/>
          <w:szCs w:val="28"/>
        </w:rPr>
        <w:t xml:space="preserve"> </w:t>
      </w:r>
      <w:r>
        <w:rPr>
          <w:rFonts w:ascii="仿宋" w:hAnsi="仿宋" w:eastAsia="仿宋" w:cs="仿宋"/>
          <w:color w:val="auto"/>
          <w:spacing w:val="-1"/>
          <w:sz w:val="28"/>
          <w:szCs w:val="28"/>
        </w:rPr>
        <w:t>四）一般公共服务支出(类)财政事务(款)财政监察（项</w:t>
      </w:r>
      <w:r>
        <w:rPr>
          <w:rFonts w:ascii="仿宋" w:hAnsi="仿宋" w:eastAsia="仿宋" w:cs="仿宋"/>
          <w:color w:val="auto"/>
          <w:spacing w:val="-78"/>
          <w:w w:val="88"/>
          <w:sz w:val="28"/>
          <w:szCs w:val="28"/>
        </w:rPr>
        <w:t>）：</w:t>
      </w:r>
      <w:r>
        <w:rPr>
          <w:rFonts w:ascii="仿宋" w:hAnsi="仿宋" w:eastAsia="仿宋" w:cs="仿宋"/>
          <w:color w:val="auto"/>
          <w:spacing w:val="8"/>
          <w:sz w:val="28"/>
          <w:szCs w:val="28"/>
        </w:rPr>
        <w:t>反映财政监察方面的专项业务支出。</w:t>
      </w:r>
    </w:p>
    <w:p w14:paraId="4CA192CC">
      <w:pPr>
        <w:spacing w:before="207" w:line="284" w:lineRule="auto"/>
        <w:ind w:left="66" w:right="71" w:firstLine="565"/>
        <w:rPr>
          <w:rFonts w:ascii="仿宋" w:hAnsi="仿宋" w:eastAsia="仿宋" w:cs="仿宋"/>
          <w:color w:val="auto"/>
          <w:sz w:val="28"/>
          <w:szCs w:val="28"/>
        </w:rPr>
      </w:pPr>
      <w:r>
        <w:rPr>
          <w:rFonts w:ascii="仿宋" w:hAnsi="仿宋" w:eastAsia="仿宋" w:cs="仿宋"/>
          <w:color w:val="auto"/>
          <w:spacing w:val="18"/>
          <w:sz w:val="28"/>
          <w:szCs w:val="28"/>
        </w:rPr>
        <w:t>（</w:t>
      </w:r>
      <w:r>
        <w:rPr>
          <w:rFonts w:ascii="仿宋" w:hAnsi="仿宋" w:eastAsia="仿宋" w:cs="仿宋"/>
          <w:color w:val="auto"/>
          <w:spacing w:val="-71"/>
          <w:sz w:val="28"/>
          <w:szCs w:val="28"/>
        </w:rPr>
        <w:t xml:space="preserve"> </w:t>
      </w:r>
      <w:r>
        <w:rPr>
          <w:rFonts w:ascii="仿宋" w:hAnsi="仿宋" w:eastAsia="仿宋" w:cs="仿宋"/>
          <w:color w:val="auto"/>
          <w:spacing w:val="18"/>
          <w:sz w:val="28"/>
          <w:szCs w:val="28"/>
        </w:rPr>
        <w:t>五）一般公共服务支出</w:t>
      </w:r>
      <w:r>
        <w:rPr>
          <w:rFonts w:ascii="仿宋" w:hAnsi="仿宋" w:eastAsia="仿宋" w:cs="仿宋"/>
          <w:color w:val="auto"/>
          <w:spacing w:val="-56"/>
          <w:sz w:val="28"/>
          <w:szCs w:val="28"/>
        </w:rPr>
        <w:t xml:space="preserve"> </w:t>
      </w:r>
      <w:r>
        <w:rPr>
          <w:rFonts w:ascii="仿宋" w:hAnsi="仿宋" w:eastAsia="仿宋" w:cs="仿宋"/>
          <w:color w:val="auto"/>
          <w:spacing w:val="18"/>
          <w:sz w:val="28"/>
          <w:szCs w:val="28"/>
        </w:rPr>
        <w:t>(类)财政事务(</w:t>
      </w:r>
      <w:r>
        <w:rPr>
          <w:rFonts w:ascii="仿宋" w:hAnsi="仿宋" w:eastAsia="仿宋" w:cs="仿宋"/>
          <w:color w:val="auto"/>
          <w:spacing w:val="17"/>
          <w:sz w:val="28"/>
          <w:szCs w:val="28"/>
        </w:rPr>
        <w:t>款)信息化建设</w:t>
      </w:r>
      <w:r>
        <w:rPr>
          <w:rFonts w:ascii="仿宋" w:hAnsi="仿宋" w:eastAsia="仿宋" w:cs="仿宋"/>
          <w:color w:val="auto"/>
          <w:spacing w:val="5"/>
          <w:sz w:val="28"/>
          <w:szCs w:val="28"/>
        </w:rPr>
        <w:t>(项):反映财政部门用于信息化建设方面的支出。</w:t>
      </w:r>
    </w:p>
    <w:p w14:paraId="0C640DFE">
      <w:pPr>
        <w:spacing w:before="206" w:line="222" w:lineRule="auto"/>
        <w:ind w:left="631"/>
        <w:rPr>
          <w:rFonts w:ascii="仿宋" w:hAnsi="仿宋" w:eastAsia="仿宋" w:cs="仿宋"/>
          <w:color w:val="auto"/>
          <w:sz w:val="31"/>
          <w:szCs w:val="31"/>
        </w:rPr>
      </w:pPr>
      <w:r>
        <w:rPr>
          <w:rFonts w:ascii="仿宋" w:hAnsi="仿宋" w:eastAsia="仿宋" w:cs="仿宋"/>
          <w:color w:val="auto"/>
          <w:spacing w:val="9"/>
          <w:sz w:val="31"/>
          <w:szCs w:val="31"/>
        </w:rPr>
        <w:t>（</w:t>
      </w:r>
      <w:r>
        <w:rPr>
          <w:rFonts w:ascii="仿宋" w:hAnsi="仿宋" w:eastAsia="仿宋" w:cs="仿宋"/>
          <w:color w:val="auto"/>
          <w:spacing w:val="-64"/>
          <w:sz w:val="31"/>
          <w:szCs w:val="31"/>
        </w:rPr>
        <w:t xml:space="preserve"> </w:t>
      </w:r>
      <w:r>
        <w:rPr>
          <w:rFonts w:ascii="仿宋" w:hAnsi="仿宋" w:eastAsia="仿宋" w:cs="仿宋"/>
          <w:color w:val="auto"/>
          <w:spacing w:val="9"/>
          <w:sz w:val="31"/>
          <w:szCs w:val="31"/>
        </w:rPr>
        <w:t>六）一般公共服务支出(类)财政事务(款)财政委托业务</w:t>
      </w:r>
    </w:p>
    <w:p w14:paraId="35548620">
      <w:pPr>
        <w:spacing w:before="207" w:line="284" w:lineRule="auto"/>
        <w:ind w:right="71"/>
        <w:rPr>
          <w:rFonts w:ascii="仿宋" w:hAnsi="仿宋" w:eastAsia="仿宋" w:cs="仿宋"/>
          <w:color w:val="auto"/>
          <w:spacing w:val="18"/>
          <w:sz w:val="28"/>
          <w:szCs w:val="28"/>
        </w:rPr>
      </w:pPr>
      <w:r>
        <w:rPr>
          <w:rFonts w:ascii="仿宋" w:hAnsi="仿宋" w:eastAsia="仿宋" w:cs="仿宋"/>
          <w:color w:val="auto"/>
          <w:spacing w:val="18"/>
          <w:sz w:val="28"/>
          <w:szCs w:val="28"/>
        </w:rPr>
        <w:t>支出(项):反映财政委托评审机构进行财政投资评审和委托建设银行等机构代理业务发生的支出。</w:t>
      </w:r>
    </w:p>
    <w:p w14:paraId="3EF6B584">
      <w:pPr>
        <w:spacing w:before="231" w:line="233" w:lineRule="auto"/>
        <w:ind w:left="741"/>
        <w:outlineLvl w:val="0"/>
        <w:rPr>
          <w:rFonts w:ascii="仿宋" w:hAnsi="仿宋" w:eastAsia="仿宋" w:cs="楷体"/>
          <w:b/>
          <w:bCs/>
          <w:color w:val="auto"/>
          <w:spacing w:val="5"/>
          <w:sz w:val="28"/>
          <w:szCs w:val="28"/>
        </w:rPr>
      </w:pPr>
      <w:r>
        <w:rPr>
          <w:rFonts w:ascii="仿宋" w:hAnsi="仿宋" w:eastAsia="仿宋" w:cs="楷体"/>
          <w:b/>
          <w:bCs/>
          <w:color w:val="auto"/>
          <w:spacing w:val="5"/>
          <w:sz w:val="28"/>
          <w:szCs w:val="28"/>
        </w:rPr>
        <w:t>三、相关专业名词</w:t>
      </w:r>
    </w:p>
    <w:p w14:paraId="794E09AD">
      <w:pPr>
        <w:spacing w:before="209" w:line="304" w:lineRule="auto"/>
        <w:ind w:firstLine="576"/>
        <w:rPr>
          <w:rFonts w:ascii="仿宋" w:hAnsi="仿宋" w:eastAsia="仿宋" w:cs="仿宋"/>
          <w:color w:val="auto"/>
          <w:spacing w:val="-1"/>
          <w:sz w:val="28"/>
          <w:szCs w:val="28"/>
        </w:rPr>
      </w:pPr>
      <w:r>
        <w:rPr>
          <w:rFonts w:ascii="仿宋" w:hAnsi="仿宋" w:eastAsia="仿宋" w:cs="仿宋"/>
          <w:color w:val="auto"/>
          <w:spacing w:val="-1"/>
          <w:sz w:val="28"/>
          <w:szCs w:val="28"/>
        </w:rPr>
        <w:t>（ 一）机关运行费：指用一般公共预算财政拨款安排的为保障行政单位（含实行公务员法管理的事业单位）运行用于购买货物和服务的各项资金，包括办公费、 印刷费、邮电费、差旅费、会议费、福利费、 日常维修费、专用材料及一般设备购置费、办公用房水电费、办公用房取暖费、办公用房物业管理费、公务用车运行维护费以及其他费用。</w:t>
      </w:r>
    </w:p>
    <w:p w14:paraId="47871FE0">
      <w:pPr>
        <w:spacing w:before="209" w:line="304" w:lineRule="auto"/>
        <w:ind w:firstLine="576"/>
        <w:rPr>
          <w:rFonts w:ascii="仿宋" w:hAnsi="仿宋" w:eastAsia="仿宋"/>
          <w:sz w:val="28"/>
          <w:szCs w:val="28"/>
        </w:rPr>
      </w:pPr>
      <w:r>
        <w:rPr>
          <w:rFonts w:ascii="仿宋" w:hAnsi="仿宋" w:eastAsia="仿宋" w:cs="仿宋"/>
          <w:color w:val="auto"/>
          <w:spacing w:val="-1"/>
          <w:sz w:val="28"/>
          <w:szCs w:val="28"/>
        </w:rPr>
        <w:t>（ 二）“ 三公”经费：指用财政拨款安排的因公出国（境）费、公务用车购置及运行维护费和公务接待费。其中， 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bookmarkStart w:id="0" w:name="_GoBack"/>
      <w:bookmarkEnd w:id="0"/>
    </w:p>
    <w:sectPr>
      <w:pgSz w:w="11906" w:h="16839"/>
      <w:pgMar w:top="1431" w:right="1504" w:bottom="0" w:left="159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BF09B1B">
    <w:panose1 w:val="020B0503020204020204"/>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1EF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270C2FC8"/>
    <w:multiLevelType w:val="singleLevel"/>
    <w:tmpl w:val="270C2FC8"/>
    <w:lvl w:ilvl="0" w:tentative="0">
      <w:start w:val="9"/>
      <w:numFmt w:val="chineseCounting"/>
      <w:lvlText w:val="(%1)"/>
      <w:lvlJc w:val="left"/>
      <w:pPr>
        <w:tabs>
          <w:tab w:val="left" w:pos="312"/>
        </w:tabs>
      </w:pPr>
      <w:rPr>
        <w:rFonts w:hint="eastAsia"/>
      </w:rPr>
    </w:lvl>
  </w:abstractNum>
  <w:abstractNum w:abstractNumId="2">
    <w:nsid w:val="55F430BD"/>
    <w:multiLevelType w:val="multilevel"/>
    <w:tmpl w:val="55F430BD"/>
    <w:lvl w:ilvl="0" w:tentative="0">
      <w:start w:val="1"/>
      <w:numFmt w:val="japaneseCounting"/>
      <w:lvlText w:val="%1、"/>
      <w:lvlJc w:val="left"/>
      <w:pPr>
        <w:ind w:left="1301" w:hanging="600"/>
      </w:pPr>
      <w:rPr>
        <w:rFonts w:hint="default"/>
      </w:rPr>
    </w:lvl>
    <w:lvl w:ilvl="1" w:tentative="0">
      <w:start w:val="1"/>
      <w:numFmt w:val="lowerLetter"/>
      <w:lvlText w:val="%2)"/>
      <w:lvlJc w:val="left"/>
      <w:pPr>
        <w:ind w:left="1541" w:hanging="420"/>
      </w:pPr>
    </w:lvl>
    <w:lvl w:ilvl="2" w:tentative="0">
      <w:start w:val="1"/>
      <w:numFmt w:val="lowerRoman"/>
      <w:lvlText w:val="%3."/>
      <w:lvlJc w:val="right"/>
      <w:pPr>
        <w:ind w:left="1961" w:hanging="420"/>
      </w:pPr>
    </w:lvl>
    <w:lvl w:ilvl="3" w:tentative="0">
      <w:start w:val="1"/>
      <w:numFmt w:val="decimal"/>
      <w:lvlText w:val="%4."/>
      <w:lvlJc w:val="left"/>
      <w:pPr>
        <w:ind w:left="2381" w:hanging="420"/>
      </w:pPr>
    </w:lvl>
    <w:lvl w:ilvl="4" w:tentative="0">
      <w:start w:val="1"/>
      <w:numFmt w:val="lowerLetter"/>
      <w:lvlText w:val="%5)"/>
      <w:lvlJc w:val="left"/>
      <w:pPr>
        <w:ind w:left="2801" w:hanging="420"/>
      </w:pPr>
    </w:lvl>
    <w:lvl w:ilvl="5" w:tentative="0">
      <w:start w:val="1"/>
      <w:numFmt w:val="lowerRoman"/>
      <w:lvlText w:val="%6."/>
      <w:lvlJc w:val="right"/>
      <w:pPr>
        <w:ind w:left="3221" w:hanging="420"/>
      </w:pPr>
    </w:lvl>
    <w:lvl w:ilvl="6" w:tentative="0">
      <w:start w:val="1"/>
      <w:numFmt w:val="decimal"/>
      <w:lvlText w:val="%7."/>
      <w:lvlJc w:val="left"/>
      <w:pPr>
        <w:ind w:left="3641" w:hanging="420"/>
      </w:pPr>
    </w:lvl>
    <w:lvl w:ilvl="7" w:tentative="0">
      <w:start w:val="1"/>
      <w:numFmt w:val="lowerLetter"/>
      <w:lvlText w:val="%8)"/>
      <w:lvlJc w:val="left"/>
      <w:pPr>
        <w:ind w:left="4061" w:hanging="420"/>
      </w:pPr>
    </w:lvl>
    <w:lvl w:ilvl="8" w:tentative="0">
      <w:start w:val="1"/>
      <w:numFmt w:val="lowerRoman"/>
      <w:lvlText w:val="%9."/>
      <w:lvlJc w:val="right"/>
      <w:pPr>
        <w:ind w:left="4481" w:hanging="420"/>
      </w:pPr>
    </w:lvl>
  </w:abstractNum>
  <w:abstractNum w:abstractNumId="3">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zY5ZmMwZWEzMzQxOWIwM2QyODc3MDk3NDFhOWMifQ=="/>
  </w:docVars>
  <w:rsids>
    <w:rsidRoot w:val="00172A27"/>
    <w:rsid w:val="000001B2"/>
    <w:rsid w:val="00014049"/>
    <w:rsid w:val="00016396"/>
    <w:rsid w:val="0001648A"/>
    <w:rsid w:val="00022CB3"/>
    <w:rsid w:val="00031749"/>
    <w:rsid w:val="00040CB3"/>
    <w:rsid w:val="00041EAA"/>
    <w:rsid w:val="000501C3"/>
    <w:rsid w:val="00055F20"/>
    <w:rsid w:val="000630BE"/>
    <w:rsid w:val="0006515E"/>
    <w:rsid w:val="00083979"/>
    <w:rsid w:val="00085227"/>
    <w:rsid w:val="000927A9"/>
    <w:rsid w:val="000963CD"/>
    <w:rsid w:val="000A12C2"/>
    <w:rsid w:val="000A2066"/>
    <w:rsid w:val="000B313A"/>
    <w:rsid w:val="000B4F9E"/>
    <w:rsid w:val="000C6AF7"/>
    <w:rsid w:val="000E1BC2"/>
    <w:rsid w:val="000E564F"/>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3B2"/>
    <w:rsid w:val="00213D4E"/>
    <w:rsid w:val="0022612A"/>
    <w:rsid w:val="00232A32"/>
    <w:rsid w:val="00240E2C"/>
    <w:rsid w:val="002436CD"/>
    <w:rsid w:val="00251AD0"/>
    <w:rsid w:val="00281E28"/>
    <w:rsid w:val="00283C63"/>
    <w:rsid w:val="00284437"/>
    <w:rsid w:val="002A02B4"/>
    <w:rsid w:val="002A1ED6"/>
    <w:rsid w:val="002A45BD"/>
    <w:rsid w:val="002B0263"/>
    <w:rsid w:val="002B128B"/>
    <w:rsid w:val="002B2D42"/>
    <w:rsid w:val="002C0EDF"/>
    <w:rsid w:val="002C2478"/>
    <w:rsid w:val="002D0029"/>
    <w:rsid w:val="002D2681"/>
    <w:rsid w:val="002D418E"/>
    <w:rsid w:val="002D497C"/>
    <w:rsid w:val="002D7200"/>
    <w:rsid w:val="002E2578"/>
    <w:rsid w:val="003016DF"/>
    <w:rsid w:val="0030186C"/>
    <w:rsid w:val="003057A1"/>
    <w:rsid w:val="00316B29"/>
    <w:rsid w:val="0032092A"/>
    <w:rsid w:val="00323750"/>
    <w:rsid w:val="00334A98"/>
    <w:rsid w:val="00344E49"/>
    <w:rsid w:val="00380DD1"/>
    <w:rsid w:val="003912CB"/>
    <w:rsid w:val="00394DC6"/>
    <w:rsid w:val="003959F5"/>
    <w:rsid w:val="003A2923"/>
    <w:rsid w:val="003A6199"/>
    <w:rsid w:val="003B68F4"/>
    <w:rsid w:val="003B76FD"/>
    <w:rsid w:val="003C0BFF"/>
    <w:rsid w:val="003C0D66"/>
    <w:rsid w:val="003C19AF"/>
    <w:rsid w:val="003C7840"/>
    <w:rsid w:val="003D0809"/>
    <w:rsid w:val="00406851"/>
    <w:rsid w:val="004345D9"/>
    <w:rsid w:val="00436836"/>
    <w:rsid w:val="0044016E"/>
    <w:rsid w:val="00446148"/>
    <w:rsid w:val="00450280"/>
    <w:rsid w:val="004535A0"/>
    <w:rsid w:val="00456869"/>
    <w:rsid w:val="004617CC"/>
    <w:rsid w:val="004664AF"/>
    <w:rsid w:val="00472987"/>
    <w:rsid w:val="00475299"/>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3CDC"/>
    <w:rsid w:val="00544895"/>
    <w:rsid w:val="00553AA6"/>
    <w:rsid w:val="00555080"/>
    <w:rsid w:val="0055670D"/>
    <w:rsid w:val="0056409B"/>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47826"/>
    <w:rsid w:val="0075709B"/>
    <w:rsid w:val="007574FE"/>
    <w:rsid w:val="00777795"/>
    <w:rsid w:val="00777962"/>
    <w:rsid w:val="00785DB3"/>
    <w:rsid w:val="007913DC"/>
    <w:rsid w:val="00792A6C"/>
    <w:rsid w:val="0079393D"/>
    <w:rsid w:val="00796F4F"/>
    <w:rsid w:val="007A4D44"/>
    <w:rsid w:val="007B4314"/>
    <w:rsid w:val="007C27E0"/>
    <w:rsid w:val="007C2E37"/>
    <w:rsid w:val="007D4ACC"/>
    <w:rsid w:val="007F1616"/>
    <w:rsid w:val="007F4968"/>
    <w:rsid w:val="007F5C86"/>
    <w:rsid w:val="007F79A6"/>
    <w:rsid w:val="008032D2"/>
    <w:rsid w:val="00804C42"/>
    <w:rsid w:val="0080787C"/>
    <w:rsid w:val="00823697"/>
    <w:rsid w:val="00832879"/>
    <w:rsid w:val="00846526"/>
    <w:rsid w:val="008506D9"/>
    <w:rsid w:val="00863898"/>
    <w:rsid w:val="00865CCE"/>
    <w:rsid w:val="00872CE4"/>
    <w:rsid w:val="00875B04"/>
    <w:rsid w:val="00876D17"/>
    <w:rsid w:val="008776C0"/>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902D2"/>
    <w:rsid w:val="00AA62DE"/>
    <w:rsid w:val="00AB656D"/>
    <w:rsid w:val="00AB7307"/>
    <w:rsid w:val="00AC370A"/>
    <w:rsid w:val="00AC6E0C"/>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1EE4"/>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27911"/>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37F6E"/>
    <w:rsid w:val="00E503CC"/>
    <w:rsid w:val="00E56288"/>
    <w:rsid w:val="00E5794A"/>
    <w:rsid w:val="00E60E90"/>
    <w:rsid w:val="00E6748D"/>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3814"/>
    <w:rsid w:val="00F2583E"/>
    <w:rsid w:val="00F32E83"/>
    <w:rsid w:val="00F823EA"/>
    <w:rsid w:val="00F95E5A"/>
    <w:rsid w:val="00F975EB"/>
    <w:rsid w:val="00F97EF1"/>
    <w:rsid w:val="00FA278B"/>
    <w:rsid w:val="00FA354D"/>
    <w:rsid w:val="00FA3B89"/>
    <w:rsid w:val="00FB3E56"/>
    <w:rsid w:val="00FD29E0"/>
    <w:rsid w:val="00FD4EE9"/>
    <w:rsid w:val="00FE0E90"/>
    <w:rsid w:val="00FE32CC"/>
    <w:rsid w:val="00FE7CCF"/>
    <w:rsid w:val="00FF60EC"/>
    <w:rsid w:val="00FF6368"/>
    <w:rsid w:val="00FF6535"/>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28756B"/>
    <w:rsid w:val="0D7F0935"/>
    <w:rsid w:val="0D906017"/>
    <w:rsid w:val="0DB3098E"/>
    <w:rsid w:val="0DC46BAD"/>
    <w:rsid w:val="0E034B13"/>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2DD287D"/>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1DB7F9A"/>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243E7"/>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091E6C"/>
    <w:rsid w:val="48967C7F"/>
    <w:rsid w:val="48A2701D"/>
    <w:rsid w:val="48BC3499"/>
    <w:rsid w:val="493F20C4"/>
    <w:rsid w:val="49A3337A"/>
    <w:rsid w:val="49BE0F52"/>
    <w:rsid w:val="4A0A0193"/>
    <w:rsid w:val="4A3D4856"/>
    <w:rsid w:val="4A875AD1"/>
    <w:rsid w:val="4A9D48C2"/>
    <w:rsid w:val="4ABB15CA"/>
    <w:rsid w:val="4B0E1D4E"/>
    <w:rsid w:val="4BCC5D64"/>
    <w:rsid w:val="4BD37A0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02D45"/>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20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3000</Words>
  <Characters>4133</Characters>
  <Lines>62</Lines>
  <Paragraphs>17</Paragraphs>
  <TotalTime>6</TotalTime>
  <ScaleCrop>false</ScaleCrop>
  <LinksUpToDate>false</LinksUpToDate>
  <CharactersWithSpaces>4206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2026-03-04T04:50:18Z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5E75AE8F6B7D4EA3B544249CE6446935_13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