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26958">
      <w:pPr>
        <w:pStyle w:val="16"/>
        <w:bidi w:val="0"/>
        <w:rPr>
          <w:rFonts w:hint="eastAsia"/>
        </w:rPr>
      </w:pPr>
      <w:r>
        <w:rPr>
          <w:rFonts w:hint="eastAsia"/>
          <w:lang w:eastAsia="zh-CN"/>
        </w:rPr>
        <w:t>景德镇市珠山区妇女联合会2026</w:t>
      </w:r>
      <w:r>
        <w:rPr>
          <w:rFonts w:hint="eastAsia"/>
        </w:rPr>
        <w:t>年部门预算</w:t>
      </w:r>
    </w:p>
    <w:p w14:paraId="113E8F93">
      <w:pPr>
        <w:pStyle w:val="13"/>
        <w:spacing w:line="600" w:lineRule="atLeast"/>
        <w:jc w:val="center"/>
        <w:rPr>
          <w:rFonts w:ascii="黑体" w:hAnsi="黑体" w:eastAsia="黑体"/>
          <w:color w:val="000000"/>
          <w:sz w:val="32"/>
          <w:szCs w:val="32"/>
        </w:rPr>
      </w:pPr>
    </w:p>
    <w:p w14:paraId="62D5D9BE">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D0A2880">
      <w:pPr>
        <w:pStyle w:val="13"/>
        <w:rPr>
          <w:rFonts w:ascii="宋体" w:hAnsi="宋体"/>
          <w:color w:val="000000"/>
        </w:rPr>
      </w:pPr>
    </w:p>
    <w:p w14:paraId="54F730B1">
      <w:pPr>
        <w:pStyle w:val="17"/>
        <w:numPr>
          <w:ilvl w:val="0"/>
          <w:numId w:val="0"/>
        </w:numPr>
        <w:bidi w:val="0"/>
        <w:ind w:left="420" w:leftChars="200"/>
        <w:jc w:val="left"/>
        <w:rPr>
          <w:rFonts w:hint="eastAsia"/>
          <w:lang w:eastAsia="zh-CN"/>
        </w:rPr>
      </w:pPr>
      <w:r>
        <w:rPr>
          <w:rFonts w:hint="eastAsia"/>
          <w:lang w:val="en-US" w:eastAsia="zh-CN"/>
        </w:rPr>
        <w:t>第一部分  景德镇市珠山区妇女联合会概况</w:t>
      </w:r>
    </w:p>
    <w:p w14:paraId="41CA7590">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7105EAFD">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176F74E8">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景德镇市珠山区妇女联合会2026</w:t>
      </w:r>
      <w:r>
        <w:rPr>
          <w:rFonts w:hint="eastAsia"/>
        </w:rPr>
        <w:t>年部门预算表</w:t>
      </w:r>
    </w:p>
    <w:p w14:paraId="0BF9B380">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49A6F93">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39C03EE1">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2BEAE6A3">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9967FBC">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F7B4AB5">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21AA6A6">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16A233AB">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C8EBF53">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75DD4F06">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33A98604">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36F54595">
      <w:pPr>
        <w:pStyle w:val="17"/>
        <w:numPr>
          <w:ilvl w:val="0"/>
          <w:numId w:val="0"/>
        </w:numPr>
        <w:bidi w:val="0"/>
        <w:ind w:left="420" w:leftChars="200"/>
        <w:jc w:val="left"/>
        <w:rPr>
          <w:rFonts w:hint="eastAsia"/>
          <w:lang w:eastAsia="zh-CN"/>
        </w:rPr>
      </w:pPr>
      <w:r>
        <w:rPr>
          <w:rFonts w:hint="eastAsia"/>
          <w:lang w:eastAsia="zh-CN"/>
        </w:rPr>
        <w:t>第三部分 景德镇市珠山区妇女联合会 2026年部门预算情况说明</w:t>
      </w:r>
    </w:p>
    <w:p w14:paraId="0AB3A0A1">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095704EA">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BDDBAA6">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A2A88C2">
      <w:pPr>
        <w:pStyle w:val="17"/>
        <w:numPr>
          <w:ilvl w:val="0"/>
          <w:numId w:val="0"/>
        </w:numPr>
        <w:bidi w:val="0"/>
        <w:ind w:left="420" w:leftChars="200"/>
        <w:jc w:val="left"/>
        <w:rPr>
          <w:rFonts w:hint="eastAsia"/>
          <w:lang w:eastAsia="zh-CN"/>
        </w:rPr>
      </w:pPr>
      <w:r>
        <w:rPr>
          <w:rFonts w:hint="eastAsia"/>
          <w:lang w:eastAsia="zh-CN"/>
        </w:rPr>
        <w:t>第四部分  名词解释</w:t>
      </w:r>
    </w:p>
    <w:p w14:paraId="0F5C2904">
      <w:pPr>
        <w:widowControl/>
        <w:spacing w:line="580" w:lineRule="exact"/>
        <w:jc w:val="center"/>
        <w:rPr>
          <w:rFonts w:ascii="仿宋_GB2312" w:eastAsia="仿宋_GB2312"/>
          <w:b/>
          <w:sz w:val="32"/>
          <w:szCs w:val="30"/>
        </w:rPr>
      </w:pPr>
    </w:p>
    <w:p w14:paraId="3F43C266">
      <w:pPr>
        <w:widowControl/>
        <w:spacing w:line="580" w:lineRule="exact"/>
        <w:jc w:val="center"/>
        <w:rPr>
          <w:rFonts w:ascii="仿宋_GB2312" w:eastAsia="仿宋_GB2312"/>
          <w:b/>
          <w:sz w:val="32"/>
          <w:szCs w:val="30"/>
        </w:rPr>
      </w:pPr>
    </w:p>
    <w:p w14:paraId="359450A2">
      <w:pPr>
        <w:pStyle w:val="17"/>
        <w:numPr>
          <w:ilvl w:val="0"/>
          <w:numId w:val="0"/>
        </w:numPr>
        <w:bidi w:val="0"/>
        <w:ind w:left="420" w:leftChars="200"/>
        <w:jc w:val="center"/>
        <w:rPr>
          <w:rFonts w:hint="eastAsia"/>
          <w:lang w:eastAsia="zh-CN"/>
        </w:rPr>
      </w:pPr>
      <w:r>
        <w:rPr>
          <w:rFonts w:hint="eastAsia"/>
          <w:lang w:eastAsia="zh-CN"/>
        </w:rPr>
        <w:t>第一部分  景德镇市珠山区妇女联合会概况</w:t>
      </w:r>
    </w:p>
    <w:p w14:paraId="15000418">
      <w:pPr>
        <w:widowControl/>
        <w:spacing w:line="580" w:lineRule="exact"/>
        <w:jc w:val="left"/>
        <w:rPr>
          <w:rFonts w:asciiTheme="minorEastAsia" w:hAnsiTheme="minorEastAsia"/>
          <w:b/>
          <w:sz w:val="36"/>
          <w:szCs w:val="36"/>
        </w:rPr>
      </w:pPr>
    </w:p>
    <w:p w14:paraId="0EC6D966">
      <w:pPr>
        <w:pStyle w:val="17"/>
        <w:numPr>
          <w:ilvl w:val="0"/>
          <w:numId w:val="0"/>
        </w:numPr>
        <w:bidi w:val="0"/>
        <w:ind w:left="420" w:leftChars="200" w:firstLine="320" w:firstLineChars="100"/>
        <w:rPr>
          <w:rFonts w:hint="eastAsia"/>
        </w:rPr>
      </w:pPr>
      <w:r>
        <w:rPr>
          <w:rFonts w:hint="eastAsia"/>
        </w:rPr>
        <w:t>一、部门主要职责</w:t>
      </w:r>
    </w:p>
    <w:p w14:paraId="33268487">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(1)负责妇联干部队伍的培训和妇联组织建设工作，全面推进妇女整体素质和综合能力的提高；开展好妇女理论研讨宣传活动。</w:t>
      </w:r>
    </w:p>
    <w:p w14:paraId="71182146">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(2)指导街道基层妇联组织建设，组织动员妇女开展“巾帼文明示范岗”活动，使广大妇女群众提高素质，自强创业、岗位建功、岗位成才，在经济建设中大显身手，树立宣传活动中的妇女典型。</w:t>
      </w:r>
    </w:p>
    <w:p w14:paraId="71308E95">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(3)代表广大妇女参与国家和社会事务的明主管理、明主监督，调查了解妇女劳动保护情况，督促有关部门实施《妇女权益保障法》，《劳动法》，参与重大侵害妇女权益的查处，依法维护妇女合法权益，进一步实现男女平等；接待处理群众来信来访；宣传法律知识。</w:t>
      </w:r>
    </w:p>
    <w:p w14:paraId="6ED6A2E0">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(4)协调社会力量，抓好儿童活动阵地建设，以“儿童优先”为原则，坚持教育优先发展，优化育人环境，开展“最美家庭”创建活动，加强家庭美德建设；配合有关部门办好家长学校。</w:t>
      </w:r>
    </w:p>
    <w:p w14:paraId="28D4FF91">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(5)加强与社会各界的联系，推动社会各界为妇女儿童办实事，办好事。</w:t>
      </w:r>
    </w:p>
    <w:p w14:paraId="1717D5BE">
      <w:pPr>
        <w:pStyle w:val="18"/>
        <w:bidi w:val="0"/>
        <w:rPr>
          <w:rFonts w:hint="eastAsia" w:ascii="仿宋_GB2312" w:hAnsi="仿宋_GB2312" w:eastAsia="仿宋_GB2312" w:cs="仿宋_GB2312"/>
        </w:rPr>
      </w:pPr>
    </w:p>
    <w:p w14:paraId="3E1BF9D8">
      <w:pPr>
        <w:pStyle w:val="17"/>
        <w:numPr>
          <w:ilvl w:val="0"/>
          <w:numId w:val="0"/>
        </w:numPr>
        <w:bidi w:val="0"/>
        <w:ind w:left="420" w:leftChars="200" w:firstLine="320" w:firstLineChars="100"/>
        <w:rPr>
          <w:rFonts w:hint="eastAsia"/>
        </w:rPr>
      </w:pPr>
      <w:r>
        <w:rPr>
          <w:rFonts w:hint="eastAsia"/>
        </w:rPr>
        <w:t>二、机构设置及人员情况</w:t>
      </w:r>
    </w:p>
    <w:p w14:paraId="6BDF109C">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景德镇市珠山区妇女联合会共有预算单位1个，包括景德镇市珠山区妇女联合会</w:t>
      </w:r>
      <w:r>
        <w:rPr>
          <w:rFonts w:hint="eastAsia" w:ascii="仿宋_GB2312" w:hAnsi="仿宋_GB2312" w:eastAsia="仿宋_GB2312" w:cs="仿宋_GB2312"/>
        </w:rPr>
        <w:t>。</w:t>
      </w:r>
    </w:p>
    <w:p w14:paraId="7D256F4A">
      <w:pPr>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u w:val="none"/>
          <w:lang w:val="en-US" w:eastAsia="zh-CN"/>
        </w:rPr>
        <w:t>本部门年末编制内实有人员</w:t>
      </w:r>
      <w:r>
        <w:rPr>
          <w:rFonts w:hint="eastAsia" w:ascii="仿宋_GB2312" w:hAnsi="仿宋" w:eastAsia="仿宋_GB2312" w:cs="Times New Roman"/>
          <w:sz w:val="32"/>
          <w:szCs w:val="32"/>
          <w:highlight w:val="none"/>
          <w:u w:val="none"/>
          <w:lang w:val="en-US" w:eastAsia="zh-CN"/>
        </w:rPr>
        <w:t>5</w:t>
      </w:r>
      <w:r>
        <w:rPr>
          <w:rFonts w:hint="eastAsia" w:ascii="仿宋_GB2312" w:hAnsi="仿宋" w:eastAsia="仿宋_GB2312"/>
          <w:sz w:val="32"/>
          <w:szCs w:val="32"/>
          <w:highlight w:val="none"/>
          <w:u w:val="none"/>
          <w:lang w:val="en-US" w:eastAsia="zh-CN"/>
        </w:rPr>
        <w:t>人，比上年增加2人。按经费供给方式分：财政拨款开支人员</w:t>
      </w:r>
      <w:r>
        <w:rPr>
          <w:rFonts w:hint="eastAsia" w:ascii="仿宋_GB2312" w:hAnsi="仿宋" w:eastAsia="仿宋_GB2312" w:cs="Times New Roman"/>
          <w:sz w:val="32"/>
          <w:szCs w:val="32"/>
          <w:highlight w:val="none"/>
          <w:u w:val="none"/>
          <w:lang w:val="en-US" w:eastAsia="zh-CN"/>
        </w:rPr>
        <w:t>5</w:t>
      </w:r>
      <w:r>
        <w:rPr>
          <w:rFonts w:hint="eastAsia" w:ascii="仿宋_GB2312" w:hAnsi="仿宋" w:eastAsia="仿宋_GB2312"/>
          <w:sz w:val="32"/>
          <w:szCs w:val="32"/>
          <w:highlight w:val="none"/>
          <w:u w:val="none"/>
          <w:lang w:val="en-US" w:eastAsia="zh-CN"/>
        </w:rPr>
        <w:t>人，</w:t>
      </w:r>
      <w:r>
        <w:rPr>
          <w:rFonts w:hint="eastAsia" w:ascii="仿宋_GB2312" w:hAnsi="仿宋" w:eastAsia="仿宋_GB2312" w:cs="Times New Roman"/>
          <w:sz w:val="32"/>
          <w:szCs w:val="32"/>
          <w:highlight w:val="none"/>
          <w:u w:val="none"/>
          <w:lang w:val="en-US" w:eastAsia="zh-CN"/>
        </w:rPr>
        <w:t>比上年增加2人</w:t>
      </w:r>
      <w:r>
        <w:rPr>
          <w:rFonts w:hint="eastAsia" w:ascii="仿宋_GB2312" w:hAnsi="仿宋" w:eastAsia="仿宋_GB2312"/>
          <w:sz w:val="32"/>
          <w:szCs w:val="32"/>
          <w:highlight w:val="none"/>
          <w:u w:val="none"/>
          <w:lang w:val="en-US" w:eastAsia="zh-CN"/>
        </w:rPr>
        <w:t>。其中：公务员</w:t>
      </w:r>
      <w:r>
        <w:rPr>
          <w:rFonts w:hint="eastAsia" w:ascii="仿宋_GB2312" w:hAnsi="仿宋" w:eastAsia="仿宋_GB2312" w:cs="Times New Roman"/>
          <w:sz w:val="32"/>
          <w:szCs w:val="32"/>
          <w:highlight w:val="none"/>
          <w:u w:val="none"/>
          <w:lang w:val="en-US" w:eastAsia="zh-CN"/>
        </w:rPr>
        <w:t>2</w:t>
      </w:r>
      <w:r>
        <w:rPr>
          <w:rFonts w:hint="eastAsia" w:ascii="仿宋_GB2312" w:hAnsi="仿宋" w:eastAsia="仿宋_GB2312"/>
          <w:sz w:val="32"/>
          <w:szCs w:val="32"/>
          <w:highlight w:val="none"/>
          <w:u w:val="none"/>
          <w:lang w:val="en-US" w:eastAsia="zh-CN"/>
        </w:rPr>
        <w:t>人，比上年增加1人；参照公务员法管理人员</w:t>
      </w:r>
      <w:r>
        <w:rPr>
          <w:rFonts w:hint="eastAsia" w:ascii="仿宋_GB2312" w:hAnsi="仿宋" w:eastAsia="仿宋_GB2312" w:cs="Times New Roman"/>
          <w:sz w:val="32"/>
          <w:szCs w:val="32"/>
          <w:highlight w:val="none"/>
          <w:u w:val="none"/>
          <w:lang w:val="en-US" w:eastAsia="zh-CN"/>
        </w:rPr>
        <w:t>0</w:t>
      </w:r>
      <w:r>
        <w:rPr>
          <w:rFonts w:hint="eastAsia" w:ascii="仿宋_GB2312" w:hAnsi="仿宋" w:eastAsia="仿宋_GB2312"/>
          <w:sz w:val="32"/>
          <w:szCs w:val="32"/>
          <w:highlight w:val="none"/>
          <w:u w:val="none"/>
          <w:lang w:val="en-US" w:eastAsia="zh-CN"/>
        </w:rPr>
        <w:t>人，</w:t>
      </w:r>
      <w:r>
        <w:rPr>
          <w:rFonts w:hint="eastAsia" w:ascii="仿宋_GB2312" w:hAnsi="仿宋" w:eastAsia="仿宋_GB2312" w:cs="Times New Roman"/>
          <w:sz w:val="32"/>
          <w:szCs w:val="32"/>
          <w:highlight w:val="none"/>
          <w:u w:val="none"/>
          <w:lang w:val="en-US" w:eastAsia="zh-CN"/>
        </w:rPr>
        <w:t>与上年持平</w:t>
      </w:r>
      <w:r>
        <w:rPr>
          <w:rFonts w:hint="eastAsia" w:ascii="仿宋_GB2312" w:hAnsi="仿宋" w:eastAsia="仿宋_GB2312"/>
          <w:sz w:val="32"/>
          <w:szCs w:val="32"/>
          <w:highlight w:val="none"/>
          <w:u w:val="none"/>
          <w:lang w:val="en-US" w:eastAsia="zh-CN"/>
        </w:rPr>
        <w:t>；事业管理人员和专业技术人员</w:t>
      </w:r>
      <w:r>
        <w:rPr>
          <w:rFonts w:hint="eastAsia" w:ascii="仿宋_GB2312" w:hAnsi="仿宋" w:eastAsia="仿宋_GB2312" w:cs="Times New Roman"/>
          <w:sz w:val="32"/>
          <w:szCs w:val="32"/>
          <w:highlight w:val="none"/>
          <w:u w:val="none"/>
          <w:lang w:val="en-US" w:eastAsia="zh-CN"/>
        </w:rPr>
        <w:t>3</w:t>
      </w:r>
      <w:r>
        <w:rPr>
          <w:rFonts w:hint="eastAsia" w:ascii="仿宋_GB2312" w:hAnsi="仿宋" w:eastAsia="仿宋_GB2312"/>
          <w:sz w:val="32"/>
          <w:szCs w:val="32"/>
          <w:highlight w:val="none"/>
          <w:u w:val="none"/>
          <w:lang w:val="en-US" w:eastAsia="zh-CN"/>
        </w:rPr>
        <w:t>人，比上年增加1人</w:t>
      </w:r>
      <w:r>
        <w:rPr>
          <w:rFonts w:hint="eastAsia" w:ascii="仿宋_GB2312" w:hAnsi="仿宋" w:eastAsia="仿宋_GB2312" w:cs="Times New Roman"/>
          <w:color w:val="auto"/>
          <w:sz w:val="32"/>
          <w:szCs w:val="32"/>
          <w:highlight w:val="none"/>
          <w:lang w:val="en-US" w:eastAsia="zh-CN"/>
        </w:rPr>
        <w:t>；机关和事业工人</w:t>
      </w:r>
      <w:r>
        <w:rPr>
          <w:rFonts w:hint="eastAsia" w:ascii="仿宋_GB2312" w:hAnsi="仿宋" w:eastAsia="仿宋_GB2312" w:cs="Times New Roman"/>
          <w:sz w:val="32"/>
          <w:szCs w:val="32"/>
          <w:highlight w:val="none"/>
          <w:u w:val="none"/>
          <w:lang w:val="en-US" w:eastAsia="zh-CN"/>
        </w:rPr>
        <w:t>0</w:t>
      </w:r>
      <w:r>
        <w:rPr>
          <w:rFonts w:hint="eastAsia" w:ascii="仿宋_GB2312" w:hAnsi="仿宋" w:eastAsia="仿宋_GB2312"/>
          <w:sz w:val="32"/>
          <w:szCs w:val="32"/>
          <w:highlight w:val="none"/>
          <w:u w:val="none"/>
          <w:lang w:val="en-US" w:eastAsia="zh-CN"/>
        </w:rPr>
        <w:t>人，与上年持平。经费自理人员</w:t>
      </w:r>
      <w:r>
        <w:rPr>
          <w:rFonts w:hint="eastAsia" w:ascii="仿宋_GB2312" w:hAnsi="仿宋" w:eastAsia="仿宋_GB2312" w:cs="Times New Roman"/>
          <w:sz w:val="32"/>
          <w:szCs w:val="32"/>
          <w:highlight w:val="none"/>
          <w:u w:val="none"/>
          <w:lang w:val="en-US" w:eastAsia="zh-CN"/>
        </w:rPr>
        <w:t>0</w:t>
      </w:r>
      <w:r>
        <w:rPr>
          <w:rFonts w:hint="eastAsia" w:ascii="仿宋_GB2312" w:hAnsi="仿宋" w:eastAsia="仿宋_GB2312"/>
          <w:sz w:val="32"/>
          <w:szCs w:val="32"/>
          <w:highlight w:val="none"/>
          <w:u w:val="none"/>
          <w:lang w:val="en-US" w:eastAsia="zh-CN"/>
        </w:rPr>
        <w:t>人，与上年持平。</w:t>
      </w:r>
    </w:p>
    <w:p w14:paraId="24321FFB">
      <w:pPr>
        <w:pStyle w:val="18"/>
        <w:bidi w:val="0"/>
        <w:rPr>
          <w:rFonts w:hint="eastAsia" w:ascii="仿宋_GB2312" w:hAnsi="仿宋_GB2312" w:eastAsia="仿宋_GB2312" w:cs="仿宋_GB2312"/>
        </w:rPr>
      </w:pPr>
    </w:p>
    <w:p w14:paraId="5BF22268">
      <w:pPr>
        <w:widowControl/>
        <w:spacing w:line="580" w:lineRule="exact"/>
        <w:jc w:val="center"/>
        <w:rPr>
          <w:rFonts w:ascii="仿宋_GB2312" w:eastAsia="仿宋_GB2312"/>
          <w:b/>
          <w:szCs w:val="30"/>
        </w:rPr>
      </w:pPr>
    </w:p>
    <w:p w14:paraId="15E86C02">
      <w:pPr>
        <w:pStyle w:val="17"/>
        <w:numPr>
          <w:ilvl w:val="0"/>
          <w:numId w:val="0"/>
        </w:numPr>
        <w:bidi w:val="0"/>
        <w:ind w:left="420" w:leftChars="200"/>
        <w:jc w:val="center"/>
        <w:rPr>
          <w:rFonts w:hint="eastAsia"/>
          <w:lang w:eastAsia="zh-CN"/>
        </w:rPr>
      </w:pPr>
      <w:r>
        <w:rPr>
          <w:rFonts w:hint="eastAsia"/>
          <w:lang w:eastAsia="zh-CN"/>
        </w:rPr>
        <w:t>第二部分  景德镇市珠山区妇女联合会2026年部门预算表</w:t>
      </w:r>
    </w:p>
    <w:p w14:paraId="1C10E8B6">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622EE00A">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45540FCC">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A68CC15">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444A5DD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112景德镇市珠山区妇女联合会</w:t>
            </w:r>
          </w:p>
        </w:tc>
        <w:tc>
          <w:tcPr>
            <w:tcW w:w="1655" w:type="pct"/>
            <w:noWrap/>
            <w:vAlign w:val="bottom"/>
          </w:tcPr>
          <w:p w14:paraId="2E1B0BC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26838DFC">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6E30EA1D">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578D1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734424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790792F">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43FB4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93DB8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84E2E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C3370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4E947C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5F262B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B5749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76.80</w:t>
            </w:r>
          </w:p>
        </w:tc>
        <w:tc>
          <w:tcPr>
            <w:tcW w:w="1655" w:type="pct"/>
            <w:tcBorders>
              <w:top w:val="nil"/>
              <w:left w:val="nil"/>
              <w:bottom w:val="single" w:color="000000" w:sz="4" w:space="0"/>
              <w:right w:val="single" w:color="000000" w:sz="4" w:space="0"/>
            </w:tcBorders>
            <w:noWrap/>
            <w:vAlign w:val="center"/>
          </w:tcPr>
          <w:p w14:paraId="5C79A2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1950EC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63.15</w:t>
            </w:r>
          </w:p>
        </w:tc>
      </w:tr>
      <w:tr w14:paraId="2E0DC3B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532AC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778599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76.80</w:t>
            </w:r>
          </w:p>
        </w:tc>
        <w:tc>
          <w:tcPr>
            <w:tcW w:w="1655" w:type="pct"/>
            <w:tcBorders>
              <w:top w:val="nil"/>
              <w:left w:val="nil"/>
              <w:bottom w:val="single" w:color="000000" w:sz="4" w:space="0"/>
              <w:right w:val="single" w:color="000000" w:sz="4" w:space="0"/>
            </w:tcBorders>
            <w:noWrap/>
            <w:vAlign w:val="center"/>
          </w:tcPr>
          <w:p w14:paraId="1A230B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08D7DA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6.27</w:t>
            </w:r>
          </w:p>
        </w:tc>
      </w:tr>
      <w:tr w14:paraId="3AD3BE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E2626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D6808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AB8B6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6D114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2.67</w:t>
            </w:r>
          </w:p>
        </w:tc>
      </w:tr>
      <w:tr w14:paraId="405FDF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91453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2AF8D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926E6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E1014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4.71</w:t>
            </w:r>
          </w:p>
        </w:tc>
      </w:tr>
      <w:tr w14:paraId="68845D8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2DB6B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414D79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CDEDD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E169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7FAE5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7EA5D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2C4411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0A2AB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AC13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EE5F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79B65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201076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22531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2D66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0AFF4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92161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0FCA6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4D2EE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EEE1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AA24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DAC39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DACC1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55566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1444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1501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639AE1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7CC3E6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0D3C5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5A0C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C1F67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B0CF9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FD228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E711A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4105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88C00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C751C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AAA2D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8515D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077C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55ECD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148C2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5DB6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5F421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3AE6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73FE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AC70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767D1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3B857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AF82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E0654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14652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C774B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D1E3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97C0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FA78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72C5F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39B9B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CDA7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8613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4C89C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CCD7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E188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BE911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5E4C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1A18A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6693E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70132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CA13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538F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C6C13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C4EDE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5B85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6F461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97C6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3484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0BEB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42C29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6477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405D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B98E6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48907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2988C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4B31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1040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5AE97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6C55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2710F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4CD32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A9C0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28A4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BA27B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05216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01B0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F7C9A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F596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5988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DE3F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4948E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8354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3EE6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B173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67029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05F9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8277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AEE4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7E85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34A51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66B8D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AF6AC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FB5BD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421765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BD27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0D34E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5713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3FCD1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1D989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C79C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59BB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B8090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A247A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B8CBF4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F3241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F45F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973A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2F1F1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696978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E8CA4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76.80</w:t>
            </w:r>
          </w:p>
        </w:tc>
        <w:tc>
          <w:tcPr>
            <w:tcW w:w="1655" w:type="pct"/>
            <w:tcBorders>
              <w:top w:val="nil"/>
              <w:left w:val="nil"/>
              <w:bottom w:val="single" w:color="auto" w:sz="4" w:space="0"/>
              <w:right w:val="single" w:color="000000" w:sz="4" w:space="0"/>
            </w:tcBorders>
            <w:noWrap/>
            <w:vAlign w:val="center"/>
          </w:tcPr>
          <w:p w14:paraId="4929D7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11BC0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76.80</w:t>
            </w:r>
          </w:p>
        </w:tc>
      </w:tr>
      <w:tr w14:paraId="0525740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05E3E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504128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152E624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12DC40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4FFC78B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3BE11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7D478D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6897ADD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E19CA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D8F3A6">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70368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039E35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76.80</w:t>
            </w:r>
          </w:p>
        </w:tc>
        <w:tc>
          <w:tcPr>
            <w:tcW w:w="1655" w:type="pct"/>
            <w:tcBorders>
              <w:top w:val="single" w:color="auto" w:sz="4" w:space="0"/>
              <w:left w:val="single" w:color="auto" w:sz="4" w:space="0"/>
              <w:bottom w:val="single" w:color="auto" w:sz="4" w:space="0"/>
              <w:right w:val="single" w:color="auto" w:sz="4" w:space="0"/>
            </w:tcBorders>
            <w:noWrap/>
            <w:vAlign w:val="center"/>
          </w:tcPr>
          <w:p w14:paraId="7983B5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6730C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76.80</w:t>
            </w:r>
          </w:p>
        </w:tc>
      </w:tr>
    </w:tbl>
    <w:p w14:paraId="4D9C6A7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28A45103">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22E0983B">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4A9F3122">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2A9CC121">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填报单位:112景德镇市珠山区妇女联合会</w:t>
            </w:r>
          </w:p>
        </w:tc>
        <w:tc>
          <w:tcPr>
            <w:tcW w:w="422" w:type="pct"/>
            <w:tcBorders>
              <w:top w:val="nil"/>
              <w:left w:val="nil"/>
              <w:bottom w:val="single" w:color="auto" w:sz="4" w:space="0"/>
              <w:right w:val="nil"/>
            </w:tcBorders>
            <w:shd w:val="clear" w:color="auto" w:fill="auto"/>
            <w:noWrap/>
            <w:vAlign w:val="bottom"/>
          </w:tcPr>
          <w:p w14:paraId="5894DB12">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49765588">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0DFFC793">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38E54C62">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2F489A1F">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05C9701E">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029DC90E">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AD28859">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11593FFC">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182CB831">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169D9132">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54EED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78FF8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D2C6EE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21262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85737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00A94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1CF1B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B97F4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62634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AC6C4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ECB2B03">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73A80E27">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21CA27A1">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13552502">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8B21F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1867ABD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5639BD0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1E1EE26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5EA0612">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40B870E9">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5ABDFF4A">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33031051">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2866CA1">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2D4DC607">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637AD773">
            <w:pPr>
              <w:widowControl/>
              <w:jc w:val="left"/>
              <w:rPr>
                <w:rFonts w:ascii="宋体" w:hAnsi="宋体" w:eastAsia="宋体" w:cs="Arial"/>
                <w:color w:val="000000"/>
                <w:kern w:val="0"/>
                <w:sz w:val="13"/>
                <w:szCs w:val="13"/>
              </w:rPr>
            </w:pPr>
          </w:p>
        </w:tc>
      </w:tr>
      <w:tr w14:paraId="2002774B">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15AE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87845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2DA8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5B8C3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4B4A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2EA4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67A3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179D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A62A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B262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24871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561DD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DE38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7DE0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6E97C360">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8CFB26">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C736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76.80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35A7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F3544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76.80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FC97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76.80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1472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6CA91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59510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2AEF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A91B6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50A1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EE131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5A83A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863716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39DCDA26">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D845EC">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景德镇市珠山区妇女联合会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D096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76.80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A2859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DC53C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76.80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68F18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76.80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F69A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BD6EB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85E1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053AA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EBD9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480EE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09972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2FE87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40FEE8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4633D8E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7E2C293">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2C6FED3">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1C9301C5">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2206A9E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112景德镇市珠山区妇女联合会</w:t>
            </w:r>
          </w:p>
        </w:tc>
        <w:tc>
          <w:tcPr>
            <w:tcW w:w="914" w:type="pct"/>
            <w:tcBorders>
              <w:top w:val="nil"/>
              <w:left w:val="nil"/>
              <w:bottom w:val="nil"/>
              <w:right w:val="nil"/>
            </w:tcBorders>
            <w:shd w:val="clear" w:color="auto" w:fill="auto"/>
            <w:noWrap/>
            <w:vAlign w:val="bottom"/>
          </w:tcPr>
          <w:p w14:paraId="41EE208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07964E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BC6EDE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1E3F6A1">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96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E0286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D91FE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A2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B6C089B">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3737CE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29AC2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5ACEB04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E02AE9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6114D13C">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1114570">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0A2AE7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56E71F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F37FB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6D7CD70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4B7C9D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F0BC7C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ACF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D4403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F055E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7F69C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0A3C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17.50</w:t>
            </w:r>
          </w:p>
        </w:tc>
      </w:tr>
      <w:tr w14:paraId="0CFAF88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EC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AB992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5DAB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63.15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0EAD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78A17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17.50</w:t>
            </w:r>
          </w:p>
        </w:tc>
      </w:tr>
      <w:tr w14:paraId="29A4E1E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6D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D67D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群众团体事务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05DA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63.15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A673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4DBD6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17.50</w:t>
            </w:r>
          </w:p>
        </w:tc>
      </w:tr>
      <w:tr w14:paraId="7FA5B1B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96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2012901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1876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9E9C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45.65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4FEC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45.65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7324B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31C4A0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8E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4FDB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其他群众团体事务支出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8951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29A5F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5FADD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17.50</w:t>
            </w:r>
          </w:p>
        </w:tc>
      </w:tr>
      <w:tr w14:paraId="238AA14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9D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8EF96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7646C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F909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4632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5A7912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63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F1B2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D5D3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F88AA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02229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AE871F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AF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B1F5F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66E39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D230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DC61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77FD02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05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84DC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76A5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006C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F51F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94755F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BC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F89D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1254D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6BAA0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C7DC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287EA8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0B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B98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CF4C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A5EF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506CA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5FDF03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1C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7B52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2272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6229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E8773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1EA2DC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D0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D78A6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EA5D0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95B55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2A2C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340FF0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72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67E67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174E8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BB79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9914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3948DE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26F95AAF">
        <w:tblPrEx>
          <w:tblCellMar>
            <w:top w:w="0" w:type="dxa"/>
            <w:left w:w="108" w:type="dxa"/>
            <w:bottom w:w="0" w:type="dxa"/>
            <w:right w:w="108" w:type="dxa"/>
          </w:tblCellMar>
        </w:tblPrEx>
        <w:trPr>
          <w:trHeight w:val="585" w:hRule="atLeast"/>
          <w:tblHeader/>
        </w:trPr>
        <w:tc>
          <w:tcPr>
            <w:tcW w:w="5000" w:type="pct"/>
            <w:gridSpan w:val="7"/>
            <w:noWrap/>
            <w:vAlign w:val="center"/>
          </w:tcPr>
          <w:p w14:paraId="4775CB98">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2E6EF6BE">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50D7C6F0">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填报单位:112景德镇市珠山区妇女联合会</w:t>
            </w:r>
          </w:p>
        </w:tc>
        <w:tc>
          <w:tcPr>
            <w:tcW w:w="577" w:type="pct"/>
            <w:noWrap/>
            <w:vAlign w:val="bottom"/>
          </w:tcPr>
          <w:p w14:paraId="51F5481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2D0231D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64DA4D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661CBE1">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11A72F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35F101A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5AF9F801">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4C7A9A0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16DC0D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A6A97D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7581EA2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795D7C3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3FDA281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7390BD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0D89F4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169A8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2B3404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76.80</w:t>
            </w:r>
          </w:p>
        </w:tc>
        <w:tc>
          <w:tcPr>
            <w:tcW w:w="948" w:type="pct"/>
            <w:tcBorders>
              <w:top w:val="nil"/>
              <w:left w:val="nil"/>
              <w:bottom w:val="single" w:color="000000" w:sz="4" w:space="0"/>
              <w:right w:val="single" w:color="000000" w:sz="4" w:space="0"/>
            </w:tcBorders>
            <w:noWrap/>
            <w:vAlign w:val="center"/>
          </w:tcPr>
          <w:p w14:paraId="2076551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000423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63.15</w:t>
            </w:r>
          </w:p>
        </w:tc>
        <w:tc>
          <w:tcPr>
            <w:tcW w:w="612" w:type="pct"/>
            <w:tcBorders>
              <w:top w:val="nil"/>
              <w:left w:val="nil"/>
              <w:bottom w:val="single" w:color="000000" w:sz="4" w:space="0"/>
              <w:right w:val="single" w:color="000000" w:sz="4" w:space="0"/>
            </w:tcBorders>
            <w:noWrap/>
            <w:vAlign w:val="center"/>
          </w:tcPr>
          <w:p w14:paraId="1D16DB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63.15</w:t>
            </w:r>
          </w:p>
        </w:tc>
        <w:tc>
          <w:tcPr>
            <w:tcW w:w="602" w:type="pct"/>
            <w:tcBorders>
              <w:top w:val="nil"/>
              <w:left w:val="nil"/>
              <w:bottom w:val="single" w:color="000000" w:sz="4" w:space="0"/>
              <w:right w:val="single" w:color="000000" w:sz="4" w:space="0"/>
            </w:tcBorders>
            <w:noWrap/>
            <w:vAlign w:val="center"/>
          </w:tcPr>
          <w:p w14:paraId="247BC3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A7C826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69C0F6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F33DC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51ACF5E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76.80</w:t>
            </w:r>
          </w:p>
        </w:tc>
        <w:tc>
          <w:tcPr>
            <w:tcW w:w="948" w:type="pct"/>
            <w:tcBorders>
              <w:top w:val="nil"/>
              <w:left w:val="single" w:color="000000" w:sz="4" w:space="0"/>
              <w:bottom w:val="single" w:color="000000" w:sz="4" w:space="0"/>
              <w:right w:val="single" w:color="000000" w:sz="4" w:space="0"/>
            </w:tcBorders>
            <w:noWrap/>
            <w:vAlign w:val="center"/>
          </w:tcPr>
          <w:p w14:paraId="27DAE1FC">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72A828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6.27</w:t>
            </w:r>
          </w:p>
        </w:tc>
        <w:tc>
          <w:tcPr>
            <w:tcW w:w="612" w:type="pct"/>
            <w:tcBorders>
              <w:top w:val="nil"/>
              <w:left w:val="nil"/>
              <w:bottom w:val="single" w:color="000000" w:sz="4" w:space="0"/>
              <w:right w:val="single" w:color="000000" w:sz="4" w:space="0"/>
            </w:tcBorders>
            <w:noWrap/>
            <w:vAlign w:val="center"/>
          </w:tcPr>
          <w:p w14:paraId="4BFC3A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6.27</w:t>
            </w:r>
          </w:p>
        </w:tc>
        <w:tc>
          <w:tcPr>
            <w:tcW w:w="602" w:type="pct"/>
            <w:tcBorders>
              <w:top w:val="nil"/>
              <w:left w:val="nil"/>
              <w:bottom w:val="single" w:color="000000" w:sz="4" w:space="0"/>
              <w:right w:val="single" w:color="000000" w:sz="4" w:space="0"/>
            </w:tcBorders>
            <w:noWrap/>
            <w:vAlign w:val="center"/>
          </w:tcPr>
          <w:p w14:paraId="01050A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9D47A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3417C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934D7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3DE53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2E850A8">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511442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2.67</w:t>
            </w:r>
          </w:p>
        </w:tc>
        <w:tc>
          <w:tcPr>
            <w:tcW w:w="612" w:type="pct"/>
            <w:tcBorders>
              <w:top w:val="nil"/>
              <w:left w:val="nil"/>
              <w:bottom w:val="single" w:color="000000" w:sz="4" w:space="0"/>
              <w:right w:val="single" w:color="000000" w:sz="4" w:space="0"/>
            </w:tcBorders>
            <w:noWrap/>
            <w:vAlign w:val="center"/>
          </w:tcPr>
          <w:p w14:paraId="40D1D6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2.67</w:t>
            </w:r>
          </w:p>
        </w:tc>
        <w:tc>
          <w:tcPr>
            <w:tcW w:w="602" w:type="pct"/>
            <w:tcBorders>
              <w:top w:val="nil"/>
              <w:left w:val="nil"/>
              <w:bottom w:val="single" w:color="000000" w:sz="4" w:space="0"/>
              <w:right w:val="single" w:color="000000" w:sz="4" w:space="0"/>
            </w:tcBorders>
            <w:noWrap/>
            <w:vAlign w:val="center"/>
          </w:tcPr>
          <w:p w14:paraId="5F0961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F60F4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AE49A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3EEAD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4219255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12989850">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7F206B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4.71</w:t>
            </w:r>
          </w:p>
        </w:tc>
        <w:tc>
          <w:tcPr>
            <w:tcW w:w="612" w:type="pct"/>
            <w:tcBorders>
              <w:top w:val="nil"/>
              <w:left w:val="nil"/>
              <w:bottom w:val="single" w:color="000000" w:sz="4" w:space="0"/>
              <w:right w:val="single" w:color="000000" w:sz="4" w:space="0"/>
            </w:tcBorders>
            <w:noWrap/>
            <w:vAlign w:val="center"/>
          </w:tcPr>
          <w:p w14:paraId="26E243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4.71</w:t>
            </w:r>
          </w:p>
        </w:tc>
        <w:tc>
          <w:tcPr>
            <w:tcW w:w="602" w:type="pct"/>
            <w:tcBorders>
              <w:top w:val="nil"/>
              <w:left w:val="nil"/>
              <w:bottom w:val="single" w:color="000000" w:sz="4" w:space="0"/>
              <w:right w:val="single" w:color="000000" w:sz="4" w:space="0"/>
            </w:tcBorders>
            <w:noWrap/>
            <w:vAlign w:val="center"/>
          </w:tcPr>
          <w:p w14:paraId="475900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98789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742181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3873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BE79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D5CE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62B7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EC7C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1D52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2BD1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985A7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E7B4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0C985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B3FD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55B6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C068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DAD5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C81D6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3784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614A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6941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845D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31BF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1453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DE71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7A70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55519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5893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2747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69E8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32B2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0BB9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6F0A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0B2B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AAAE5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B703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9C67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2A59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74A5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A2D5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24DE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DC15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4CE4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E269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8AA8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68D1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84CF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CC6C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E95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FBA2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5B114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26E0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AEC6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3DF2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170B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FF90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0A37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259D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3D07E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DE24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93E1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DF7A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9EDD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CA16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6DB4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B388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E570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1C7C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E9C0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7D21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144CE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51E3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80E2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60F4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6E41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7474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20BF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B209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F2DC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89DB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BF13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7665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9BEBC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437B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C7DB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50A9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7E83A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C109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FE14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0231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19F1C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9EA23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1DF8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0419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97DC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FDD4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F433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5D32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2CAAB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54CF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1DD9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D58AB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977F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4184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268E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98D4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4BE37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AC5C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C7A3E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7508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AF877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6383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4C5B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1A55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CBCC4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24E6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7D6F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2BCB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222A6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BDD2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FC01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8325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9E607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A15F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643A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CCDB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7D8AA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9311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B6F9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CCF4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7B17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F986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1B48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BDE6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BC37E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46F3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F613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9681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9F2A7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90CF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7DA6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86F4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03EF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3909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FD24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C682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68343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5E1F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8A67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9098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731F9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A816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158E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3E2F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5693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F3D8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8181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9D20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A7CB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8278A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0077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600D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CC2C65">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5A18413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35F74F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02C5A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BB5A8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EE41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7709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7933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D519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307F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0511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833F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87E35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9EB7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53ED0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460E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D296D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F1E8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3FAF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C2377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CCEC9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E3CE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CBCC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F389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38E69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0C03D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8D3D5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48273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93CF4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79CC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5642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3A49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AA92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9B6A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FCC0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F56E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940BF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13F4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518B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A323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B2D33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7CDF6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58306E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16E72DEB">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6802E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63FD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66F0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64441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080A6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B4FC9A7">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670061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41922A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5932FD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3A8824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3E6401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1D38873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D2F89C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327B6D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0FF166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4EFC6B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E6175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7CCB8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108B6E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EC9CF7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57A7A9C">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2AB44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2F19718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76.80</w:t>
            </w:r>
          </w:p>
        </w:tc>
        <w:tc>
          <w:tcPr>
            <w:tcW w:w="948" w:type="pct"/>
            <w:tcBorders>
              <w:top w:val="single" w:color="auto" w:sz="4" w:space="0"/>
              <w:left w:val="single" w:color="auto" w:sz="4" w:space="0"/>
              <w:bottom w:val="single" w:color="auto" w:sz="4" w:space="0"/>
              <w:right w:val="single" w:color="auto" w:sz="4" w:space="0"/>
            </w:tcBorders>
            <w:noWrap/>
            <w:vAlign w:val="center"/>
          </w:tcPr>
          <w:p w14:paraId="4085632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8B627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76.80</w:t>
            </w:r>
          </w:p>
        </w:tc>
        <w:tc>
          <w:tcPr>
            <w:tcW w:w="612" w:type="pct"/>
            <w:tcBorders>
              <w:top w:val="single" w:color="auto" w:sz="4" w:space="0"/>
              <w:left w:val="single" w:color="auto" w:sz="4" w:space="0"/>
              <w:bottom w:val="single" w:color="auto" w:sz="4" w:space="0"/>
              <w:right w:val="single" w:color="auto" w:sz="4" w:space="0"/>
            </w:tcBorders>
            <w:noWrap/>
            <w:vAlign w:val="center"/>
          </w:tcPr>
          <w:p w14:paraId="0879AC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76.80</w:t>
            </w:r>
          </w:p>
        </w:tc>
        <w:tc>
          <w:tcPr>
            <w:tcW w:w="602" w:type="pct"/>
            <w:tcBorders>
              <w:top w:val="single" w:color="auto" w:sz="4" w:space="0"/>
              <w:left w:val="single" w:color="auto" w:sz="4" w:space="0"/>
              <w:bottom w:val="single" w:color="auto" w:sz="4" w:space="0"/>
              <w:right w:val="single" w:color="auto" w:sz="4" w:space="0"/>
            </w:tcBorders>
            <w:noWrap/>
            <w:vAlign w:val="center"/>
          </w:tcPr>
          <w:p w14:paraId="5DE36C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87583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7EF511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7FF612F3">
        <w:tblPrEx>
          <w:tblCellMar>
            <w:top w:w="0" w:type="dxa"/>
            <w:left w:w="108" w:type="dxa"/>
            <w:bottom w:w="0" w:type="dxa"/>
            <w:right w:w="108" w:type="dxa"/>
          </w:tblCellMar>
        </w:tblPrEx>
        <w:trPr>
          <w:trHeight w:val="585" w:hRule="atLeast"/>
          <w:tblHeader/>
        </w:trPr>
        <w:tc>
          <w:tcPr>
            <w:tcW w:w="5000" w:type="pct"/>
            <w:gridSpan w:val="5"/>
            <w:noWrap/>
            <w:vAlign w:val="center"/>
          </w:tcPr>
          <w:p w14:paraId="4E906E0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727DF2E">
        <w:tblPrEx>
          <w:tblCellMar>
            <w:top w:w="0" w:type="dxa"/>
            <w:left w:w="108" w:type="dxa"/>
            <w:bottom w:w="0" w:type="dxa"/>
            <w:right w:w="108" w:type="dxa"/>
          </w:tblCellMar>
        </w:tblPrEx>
        <w:trPr>
          <w:trHeight w:val="420" w:hRule="atLeast"/>
          <w:tblHeader/>
        </w:trPr>
        <w:tc>
          <w:tcPr>
            <w:tcW w:w="2433" w:type="pct"/>
            <w:gridSpan w:val="2"/>
            <w:noWrap/>
            <w:vAlign w:val="center"/>
          </w:tcPr>
          <w:p w14:paraId="2A4B588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填报单位:112景德镇市珠山区妇女联合会</w:t>
            </w:r>
          </w:p>
        </w:tc>
        <w:tc>
          <w:tcPr>
            <w:tcW w:w="1056" w:type="pct"/>
            <w:noWrap/>
            <w:vAlign w:val="bottom"/>
          </w:tcPr>
          <w:p w14:paraId="1143AE9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238FB27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7546CC4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E85BF48">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44191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9CAAB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42CD9B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7BF8DD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7226AF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9E735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1D1C2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8A050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27CD01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6003EF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7D4E7F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1F4861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4DCCA1F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47EE921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DEAB26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7AC6D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550EC8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254A0C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76.80</w:t>
            </w:r>
          </w:p>
        </w:tc>
        <w:tc>
          <w:tcPr>
            <w:tcW w:w="684" w:type="pct"/>
            <w:tcBorders>
              <w:top w:val="single" w:color="000000" w:sz="4" w:space="0"/>
              <w:left w:val="nil"/>
              <w:bottom w:val="single" w:color="000000" w:sz="4" w:space="0"/>
              <w:right w:val="single" w:color="000000" w:sz="4" w:space="0"/>
            </w:tcBorders>
            <w:noWrap/>
            <w:vAlign w:val="center"/>
          </w:tcPr>
          <w:p w14:paraId="507085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59.30</w:t>
            </w:r>
          </w:p>
        </w:tc>
        <w:tc>
          <w:tcPr>
            <w:tcW w:w="825" w:type="pct"/>
            <w:tcBorders>
              <w:top w:val="single" w:color="000000" w:sz="4" w:space="0"/>
              <w:left w:val="nil"/>
              <w:bottom w:val="single" w:color="000000" w:sz="4" w:space="0"/>
              <w:right w:val="single" w:color="000000" w:sz="4" w:space="0"/>
            </w:tcBorders>
            <w:noWrap/>
            <w:vAlign w:val="center"/>
          </w:tcPr>
          <w:p w14:paraId="5E40DE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17.50</w:t>
            </w:r>
          </w:p>
        </w:tc>
      </w:tr>
      <w:tr w14:paraId="7A90B51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1858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04A958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632F0A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63.15</w:t>
            </w:r>
          </w:p>
        </w:tc>
        <w:tc>
          <w:tcPr>
            <w:tcW w:w="684" w:type="pct"/>
            <w:tcBorders>
              <w:top w:val="single" w:color="000000" w:sz="4" w:space="0"/>
              <w:left w:val="nil"/>
              <w:bottom w:val="single" w:color="000000" w:sz="4" w:space="0"/>
              <w:right w:val="single" w:color="000000" w:sz="4" w:space="0"/>
            </w:tcBorders>
            <w:noWrap/>
            <w:vAlign w:val="center"/>
          </w:tcPr>
          <w:p w14:paraId="660C99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45.65</w:t>
            </w:r>
          </w:p>
        </w:tc>
        <w:tc>
          <w:tcPr>
            <w:tcW w:w="825" w:type="pct"/>
            <w:tcBorders>
              <w:top w:val="single" w:color="000000" w:sz="4" w:space="0"/>
              <w:left w:val="nil"/>
              <w:bottom w:val="single" w:color="000000" w:sz="4" w:space="0"/>
              <w:right w:val="single" w:color="000000" w:sz="4" w:space="0"/>
            </w:tcBorders>
            <w:noWrap/>
            <w:vAlign w:val="center"/>
          </w:tcPr>
          <w:p w14:paraId="3AF6D3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17.50</w:t>
            </w:r>
          </w:p>
        </w:tc>
      </w:tr>
      <w:tr w14:paraId="3C3553A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B6058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20129</w:t>
            </w:r>
          </w:p>
        </w:tc>
        <w:tc>
          <w:tcPr>
            <w:tcW w:w="1579" w:type="pct"/>
            <w:tcBorders>
              <w:top w:val="single" w:color="000000" w:sz="4" w:space="0"/>
              <w:left w:val="nil"/>
              <w:bottom w:val="single" w:color="000000" w:sz="4" w:space="0"/>
              <w:right w:val="single" w:color="000000" w:sz="4" w:space="0"/>
            </w:tcBorders>
            <w:noWrap/>
            <w:vAlign w:val="center"/>
          </w:tcPr>
          <w:p w14:paraId="64EBD2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群众团体事务</w:t>
            </w:r>
          </w:p>
        </w:tc>
        <w:tc>
          <w:tcPr>
            <w:tcW w:w="1056" w:type="pct"/>
            <w:tcBorders>
              <w:top w:val="single" w:color="000000" w:sz="4" w:space="0"/>
              <w:left w:val="nil"/>
              <w:bottom w:val="single" w:color="000000" w:sz="4" w:space="0"/>
              <w:right w:val="single" w:color="000000" w:sz="4" w:space="0"/>
            </w:tcBorders>
            <w:noWrap/>
            <w:vAlign w:val="center"/>
          </w:tcPr>
          <w:p w14:paraId="0550BD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63.15</w:t>
            </w:r>
          </w:p>
        </w:tc>
        <w:tc>
          <w:tcPr>
            <w:tcW w:w="684" w:type="pct"/>
            <w:tcBorders>
              <w:top w:val="single" w:color="000000" w:sz="4" w:space="0"/>
              <w:left w:val="nil"/>
              <w:bottom w:val="single" w:color="000000" w:sz="4" w:space="0"/>
              <w:right w:val="single" w:color="000000" w:sz="4" w:space="0"/>
            </w:tcBorders>
            <w:noWrap/>
            <w:vAlign w:val="center"/>
          </w:tcPr>
          <w:p w14:paraId="62120E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45.65</w:t>
            </w:r>
          </w:p>
        </w:tc>
        <w:tc>
          <w:tcPr>
            <w:tcW w:w="825" w:type="pct"/>
            <w:tcBorders>
              <w:top w:val="single" w:color="000000" w:sz="4" w:space="0"/>
              <w:left w:val="nil"/>
              <w:bottom w:val="single" w:color="000000" w:sz="4" w:space="0"/>
              <w:right w:val="single" w:color="000000" w:sz="4" w:space="0"/>
            </w:tcBorders>
            <w:noWrap/>
            <w:vAlign w:val="center"/>
          </w:tcPr>
          <w:p w14:paraId="0A9FBC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17.50</w:t>
            </w:r>
          </w:p>
        </w:tc>
      </w:tr>
      <w:tr w14:paraId="34E5340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9FBF5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2012901</w:t>
            </w:r>
          </w:p>
        </w:tc>
        <w:tc>
          <w:tcPr>
            <w:tcW w:w="1579" w:type="pct"/>
            <w:tcBorders>
              <w:top w:val="single" w:color="000000" w:sz="4" w:space="0"/>
              <w:left w:val="nil"/>
              <w:bottom w:val="single" w:color="000000" w:sz="4" w:space="0"/>
              <w:right w:val="single" w:color="000000" w:sz="4" w:space="0"/>
            </w:tcBorders>
            <w:noWrap/>
            <w:vAlign w:val="center"/>
          </w:tcPr>
          <w:p w14:paraId="66D2A5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0F625D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45.65</w:t>
            </w:r>
          </w:p>
        </w:tc>
        <w:tc>
          <w:tcPr>
            <w:tcW w:w="684" w:type="pct"/>
            <w:tcBorders>
              <w:top w:val="single" w:color="000000" w:sz="4" w:space="0"/>
              <w:left w:val="nil"/>
              <w:bottom w:val="single" w:color="000000" w:sz="4" w:space="0"/>
              <w:right w:val="single" w:color="000000" w:sz="4" w:space="0"/>
            </w:tcBorders>
            <w:noWrap/>
            <w:vAlign w:val="center"/>
          </w:tcPr>
          <w:p w14:paraId="69333A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45.65</w:t>
            </w:r>
          </w:p>
        </w:tc>
        <w:tc>
          <w:tcPr>
            <w:tcW w:w="825" w:type="pct"/>
            <w:tcBorders>
              <w:top w:val="single" w:color="000000" w:sz="4" w:space="0"/>
              <w:left w:val="nil"/>
              <w:bottom w:val="single" w:color="000000" w:sz="4" w:space="0"/>
              <w:right w:val="single" w:color="000000" w:sz="4" w:space="0"/>
            </w:tcBorders>
            <w:noWrap/>
            <w:vAlign w:val="center"/>
          </w:tcPr>
          <w:p w14:paraId="02A162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949F08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6B7BC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2012999</w:t>
            </w:r>
          </w:p>
        </w:tc>
        <w:tc>
          <w:tcPr>
            <w:tcW w:w="1579" w:type="pct"/>
            <w:tcBorders>
              <w:top w:val="single" w:color="000000" w:sz="4" w:space="0"/>
              <w:left w:val="nil"/>
              <w:bottom w:val="single" w:color="000000" w:sz="4" w:space="0"/>
              <w:right w:val="single" w:color="000000" w:sz="4" w:space="0"/>
            </w:tcBorders>
            <w:noWrap/>
            <w:vAlign w:val="center"/>
          </w:tcPr>
          <w:p w14:paraId="5C098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其他群众团体事务支出</w:t>
            </w:r>
          </w:p>
        </w:tc>
        <w:tc>
          <w:tcPr>
            <w:tcW w:w="1056" w:type="pct"/>
            <w:tcBorders>
              <w:top w:val="single" w:color="000000" w:sz="4" w:space="0"/>
              <w:left w:val="nil"/>
              <w:bottom w:val="single" w:color="000000" w:sz="4" w:space="0"/>
              <w:right w:val="single" w:color="000000" w:sz="4" w:space="0"/>
            </w:tcBorders>
            <w:noWrap/>
            <w:vAlign w:val="center"/>
          </w:tcPr>
          <w:p w14:paraId="189388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17.50</w:t>
            </w:r>
          </w:p>
        </w:tc>
        <w:tc>
          <w:tcPr>
            <w:tcW w:w="684" w:type="pct"/>
            <w:tcBorders>
              <w:top w:val="single" w:color="000000" w:sz="4" w:space="0"/>
              <w:left w:val="nil"/>
              <w:bottom w:val="single" w:color="000000" w:sz="4" w:space="0"/>
              <w:right w:val="single" w:color="000000" w:sz="4" w:space="0"/>
            </w:tcBorders>
            <w:noWrap/>
            <w:vAlign w:val="center"/>
          </w:tcPr>
          <w:p w14:paraId="3A5709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4CD9B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17.50</w:t>
            </w:r>
          </w:p>
        </w:tc>
      </w:tr>
      <w:tr w14:paraId="029BBE2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87D6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3613D1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4562D8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w:t>
            </w:r>
          </w:p>
        </w:tc>
        <w:tc>
          <w:tcPr>
            <w:tcW w:w="684" w:type="pct"/>
            <w:tcBorders>
              <w:top w:val="single" w:color="000000" w:sz="4" w:space="0"/>
              <w:left w:val="nil"/>
              <w:bottom w:val="single" w:color="000000" w:sz="4" w:space="0"/>
              <w:right w:val="single" w:color="000000" w:sz="4" w:space="0"/>
            </w:tcBorders>
            <w:noWrap/>
            <w:vAlign w:val="center"/>
          </w:tcPr>
          <w:p w14:paraId="069441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w:t>
            </w:r>
          </w:p>
        </w:tc>
        <w:tc>
          <w:tcPr>
            <w:tcW w:w="825" w:type="pct"/>
            <w:tcBorders>
              <w:top w:val="single" w:color="000000" w:sz="4" w:space="0"/>
              <w:left w:val="nil"/>
              <w:bottom w:val="single" w:color="000000" w:sz="4" w:space="0"/>
              <w:right w:val="single" w:color="000000" w:sz="4" w:space="0"/>
            </w:tcBorders>
            <w:noWrap/>
            <w:vAlign w:val="center"/>
          </w:tcPr>
          <w:p w14:paraId="07B3B1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6B9FB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FAB5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1C899B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453A3F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w:t>
            </w:r>
          </w:p>
        </w:tc>
        <w:tc>
          <w:tcPr>
            <w:tcW w:w="684" w:type="pct"/>
            <w:tcBorders>
              <w:top w:val="single" w:color="000000" w:sz="4" w:space="0"/>
              <w:left w:val="nil"/>
              <w:bottom w:val="single" w:color="000000" w:sz="4" w:space="0"/>
              <w:right w:val="single" w:color="000000" w:sz="4" w:space="0"/>
            </w:tcBorders>
            <w:noWrap/>
            <w:vAlign w:val="center"/>
          </w:tcPr>
          <w:p w14:paraId="04E8C4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w:t>
            </w:r>
          </w:p>
        </w:tc>
        <w:tc>
          <w:tcPr>
            <w:tcW w:w="825" w:type="pct"/>
            <w:tcBorders>
              <w:top w:val="single" w:color="000000" w:sz="4" w:space="0"/>
              <w:left w:val="nil"/>
              <w:bottom w:val="single" w:color="000000" w:sz="4" w:space="0"/>
              <w:right w:val="single" w:color="000000" w:sz="4" w:space="0"/>
            </w:tcBorders>
            <w:noWrap/>
            <w:vAlign w:val="center"/>
          </w:tcPr>
          <w:p w14:paraId="30DFAF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ED5E5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C3AA2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5717E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0B9556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6.27</w:t>
            </w:r>
          </w:p>
        </w:tc>
        <w:tc>
          <w:tcPr>
            <w:tcW w:w="684" w:type="pct"/>
            <w:tcBorders>
              <w:top w:val="single" w:color="000000" w:sz="4" w:space="0"/>
              <w:left w:val="nil"/>
              <w:bottom w:val="single" w:color="000000" w:sz="4" w:space="0"/>
              <w:right w:val="single" w:color="000000" w:sz="4" w:space="0"/>
            </w:tcBorders>
            <w:noWrap/>
            <w:vAlign w:val="center"/>
          </w:tcPr>
          <w:p w14:paraId="5BA93E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6.27</w:t>
            </w:r>
          </w:p>
        </w:tc>
        <w:tc>
          <w:tcPr>
            <w:tcW w:w="825" w:type="pct"/>
            <w:tcBorders>
              <w:top w:val="single" w:color="000000" w:sz="4" w:space="0"/>
              <w:left w:val="nil"/>
              <w:bottom w:val="single" w:color="000000" w:sz="4" w:space="0"/>
              <w:right w:val="single" w:color="000000" w:sz="4" w:space="0"/>
            </w:tcBorders>
            <w:noWrap/>
            <w:vAlign w:val="center"/>
          </w:tcPr>
          <w:p w14:paraId="0AF54A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30F4C0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840DB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306C42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3D3FE1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2.67</w:t>
            </w:r>
          </w:p>
        </w:tc>
        <w:tc>
          <w:tcPr>
            <w:tcW w:w="684" w:type="pct"/>
            <w:tcBorders>
              <w:top w:val="single" w:color="000000" w:sz="4" w:space="0"/>
              <w:left w:val="nil"/>
              <w:bottom w:val="single" w:color="000000" w:sz="4" w:space="0"/>
              <w:right w:val="single" w:color="000000" w:sz="4" w:space="0"/>
            </w:tcBorders>
            <w:noWrap/>
            <w:vAlign w:val="center"/>
          </w:tcPr>
          <w:p w14:paraId="1C3AF8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2.67</w:t>
            </w:r>
          </w:p>
        </w:tc>
        <w:tc>
          <w:tcPr>
            <w:tcW w:w="825" w:type="pct"/>
            <w:tcBorders>
              <w:top w:val="single" w:color="000000" w:sz="4" w:space="0"/>
              <w:left w:val="nil"/>
              <w:bottom w:val="single" w:color="000000" w:sz="4" w:space="0"/>
              <w:right w:val="single" w:color="000000" w:sz="4" w:space="0"/>
            </w:tcBorders>
            <w:noWrap/>
            <w:vAlign w:val="center"/>
          </w:tcPr>
          <w:p w14:paraId="0F96B1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9E2519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5AEA9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33CE1A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5E4D6A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2.67</w:t>
            </w:r>
          </w:p>
        </w:tc>
        <w:tc>
          <w:tcPr>
            <w:tcW w:w="684" w:type="pct"/>
            <w:tcBorders>
              <w:top w:val="single" w:color="000000" w:sz="4" w:space="0"/>
              <w:left w:val="nil"/>
              <w:bottom w:val="single" w:color="000000" w:sz="4" w:space="0"/>
              <w:right w:val="single" w:color="000000" w:sz="4" w:space="0"/>
            </w:tcBorders>
            <w:noWrap/>
            <w:vAlign w:val="center"/>
          </w:tcPr>
          <w:p w14:paraId="60F2B0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2.67</w:t>
            </w:r>
          </w:p>
        </w:tc>
        <w:tc>
          <w:tcPr>
            <w:tcW w:w="825" w:type="pct"/>
            <w:tcBorders>
              <w:top w:val="single" w:color="000000" w:sz="4" w:space="0"/>
              <w:left w:val="nil"/>
              <w:bottom w:val="single" w:color="000000" w:sz="4" w:space="0"/>
              <w:right w:val="single" w:color="000000" w:sz="4" w:space="0"/>
            </w:tcBorders>
            <w:noWrap/>
            <w:vAlign w:val="center"/>
          </w:tcPr>
          <w:p w14:paraId="20B2B7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CFDFF9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1274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064FED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3565A5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2.67</w:t>
            </w:r>
          </w:p>
        </w:tc>
        <w:tc>
          <w:tcPr>
            <w:tcW w:w="684" w:type="pct"/>
            <w:tcBorders>
              <w:top w:val="single" w:color="000000" w:sz="4" w:space="0"/>
              <w:left w:val="nil"/>
              <w:bottom w:val="single" w:color="000000" w:sz="4" w:space="0"/>
              <w:right w:val="single" w:color="000000" w:sz="4" w:space="0"/>
            </w:tcBorders>
            <w:noWrap/>
            <w:vAlign w:val="center"/>
          </w:tcPr>
          <w:p w14:paraId="770AA4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2.67</w:t>
            </w:r>
          </w:p>
        </w:tc>
        <w:tc>
          <w:tcPr>
            <w:tcW w:w="825" w:type="pct"/>
            <w:tcBorders>
              <w:top w:val="single" w:color="000000" w:sz="4" w:space="0"/>
              <w:left w:val="nil"/>
              <w:bottom w:val="single" w:color="000000" w:sz="4" w:space="0"/>
              <w:right w:val="single" w:color="000000" w:sz="4" w:space="0"/>
            </w:tcBorders>
            <w:noWrap/>
            <w:vAlign w:val="center"/>
          </w:tcPr>
          <w:p w14:paraId="434EDD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4E3E0F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4EAC6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0C05A3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0C7358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4.71</w:t>
            </w:r>
          </w:p>
        </w:tc>
        <w:tc>
          <w:tcPr>
            <w:tcW w:w="684" w:type="pct"/>
            <w:tcBorders>
              <w:top w:val="single" w:color="000000" w:sz="4" w:space="0"/>
              <w:left w:val="nil"/>
              <w:bottom w:val="single" w:color="000000" w:sz="4" w:space="0"/>
              <w:right w:val="single" w:color="000000" w:sz="4" w:space="0"/>
            </w:tcBorders>
            <w:noWrap/>
            <w:vAlign w:val="center"/>
          </w:tcPr>
          <w:p w14:paraId="0BED12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4.71</w:t>
            </w:r>
          </w:p>
        </w:tc>
        <w:tc>
          <w:tcPr>
            <w:tcW w:w="825" w:type="pct"/>
            <w:tcBorders>
              <w:top w:val="single" w:color="000000" w:sz="4" w:space="0"/>
              <w:left w:val="nil"/>
              <w:bottom w:val="single" w:color="000000" w:sz="4" w:space="0"/>
              <w:right w:val="single" w:color="000000" w:sz="4" w:space="0"/>
            </w:tcBorders>
            <w:noWrap/>
            <w:vAlign w:val="center"/>
          </w:tcPr>
          <w:p w14:paraId="69702B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E82DA5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2BA7C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25042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6C2A8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4.71</w:t>
            </w:r>
          </w:p>
        </w:tc>
        <w:tc>
          <w:tcPr>
            <w:tcW w:w="684" w:type="pct"/>
            <w:tcBorders>
              <w:top w:val="single" w:color="000000" w:sz="4" w:space="0"/>
              <w:left w:val="nil"/>
              <w:bottom w:val="single" w:color="000000" w:sz="4" w:space="0"/>
              <w:right w:val="single" w:color="000000" w:sz="4" w:space="0"/>
            </w:tcBorders>
            <w:noWrap/>
            <w:vAlign w:val="center"/>
          </w:tcPr>
          <w:p w14:paraId="6539BE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4.71</w:t>
            </w:r>
          </w:p>
        </w:tc>
        <w:tc>
          <w:tcPr>
            <w:tcW w:w="825" w:type="pct"/>
            <w:tcBorders>
              <w:top w:val="single" w:color="000000" w:sz="4" w:space="0"/>
              <w:left w:val="nil"/>
              <w:bottom w:val="single" w:color="000000" w:sz="4" w:space="0"/>
              <w:right w:val="single" w:color="000000" w:sz="4" w:space="0"/>
            </w:tcBorders>
            <w:noWrap/>
            <w:vAlign w:val="center"/>
          </w:tcPr>
          <w:p w14:paraId="7C86F9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A8BCCB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18F1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46FD31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3E083A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4.71</w:t>
            </w:r>
          </w:p>
        </w:tc>
        <w:tc>
          <w:tcPr>
            <w:tcW w:w="684" w:type="pct"/>
            <w:tcBorders>
              <w:top w:val="single" w:color="000000" w:sz="4" w:space="0"/>
              <w:left w:val="nil"/>
              <w:bottom w:val="single" w:color="000000" w:sz="4" w:space="0"/>
              <w:right w:val="single" w:color="000000" w:sz="4" w:space="0"/>
            </w:tcBorders>
            <w:noWrap/>
            <w:vAlign w:val="center"/>
          </w:tcPr>
          <w:p w14:paraId="45A9D3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4.71</w:t>
            </w:r>
          </w:p>
        </w:tc>
        <w:tc>
          <w:tcPr>
            <w:tcW w:w="825" w:type="pct"/>
            <w:tcBorders>
              <w:top w:val="single" w:color="000000" w:sz="4" w:space="0"/>
              <w:left w:val="nil"/>
              <w:bottom w:val="single" w:color="000000" w:sz="4" w:space="0"/>
              <w:right w:val="single" w:color="000000" w:sz="4" w:space="0"/>
            </w:tcBorders>
            <w:noWrap/>
            <w:vAlign w:val="center"/>
          </w:tcPr>
          <w:p w14:paraId="0EED7C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3176597">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1E6D8F18">
        <w:tblPrEx>
          <w:tblCellMar>
            <w:top w:w="0" w:type="dxa"/>
            <w:left w:w="108" w:type="dxa"/>
            <w:bottom w:w="0" w:type="dxa"/>
            <w:right w:w="108" w:type="dxa"/>
          </w:tblCellMar>
        </w:tblPrEx>
        <w:trPr>
          <w:trHeight w:val="585" w:hRule="atLeast"/>
        </w:trPr>
        <w:tc>
          <w:tcPr>
            <w:tcW w:w="5000" w:type="pct"/>
            <w:gridSpan w:val="5"/>
            <w:noWrap/>
            <w:vAlign w:val="center"/>
          </w:tcPr>
          <w:p w14:paraId="0D7EB71F">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5EA9924">
        <w:tblPrEx>
          <w:tblCellMar>
            <w:top w:w="0" w:type="dxa"/>
            <w:left w:w="108" w:type="dxa"/>
            <w:bottom w:w="0" w:type="dxa"/>
            <w:right w:w="108" w:type="dxa"/>
          </w:tblCellMar>
        </w:tblPrEx>
        <w:trPr>
          <w:trHeight w:val="420" w:hRule="atLeast"/>
        </w:trPr>
        <w:tc>
          <w:tcPr>
            <w:tcW w:w="2398" w:type="pct"/>
            <w:gridSpan w:val="2"/>
            <w:noWrap/>
            <w:vAlign w:val="center"/>
          </w:tcPr>
          <w:p w14:paraId="7BF18EA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填报单位:112景德镇市珠山区妇女联合会</w:t>
            </w:r>
          </w:p>
        </w:tc>
        <w:tc>
          <w:tcPr>
            <w:tcW w:w="891" w:type="pct"/>
            <w:noWrap/>
            <w:vAlign w:val="bottom"/>
          </w:tcPr>
          <w:p w14:paraId="52424D0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7DC53F1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01E11E7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D54B943">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0A5927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ABBA5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07A5886">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2EB2E7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6BCE90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BE2A9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7E8CBF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2EDFD7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4713CCA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0D9F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15D4F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9DA78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B178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EC07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93B5B2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EA4CB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2D0A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96B7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59.30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A379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52.94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07FD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6.36</w:t>
            </w:r>
          </w:p>
        </w:tc>
      </w:tr>
      <w:tr w14:paraId="089AA5E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F8C0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5E99F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C3AA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52.94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45B4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52.94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E5696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3D1506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2D2C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151E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7ED42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360B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18.51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0254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3F45AE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97F8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C8DA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2FC2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F6C7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FF436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8F5798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11C8D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71F6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3549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12779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1B74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48A0DD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00F7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C405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9F9E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14.15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F722A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14.15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72A3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1BF945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9048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A340D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C12F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A269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B427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C2A7D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A14B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BEA1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2A274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51C8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09E3F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F8642A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0FAA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9185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035C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B58F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D5EA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DB026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4837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CFA7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0925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5ECA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6C28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9E67D1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927C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0465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828E7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0F03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A04B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6.36</w:t>
            </w:r>
          </w:p>
        </w:tc>
      </w:tr>
      <w:tr w14:paraId="3FDCB36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23EE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529B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1951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BFE3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7414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r>
      <w:tr w14:paraId="71E0AA3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CCC6C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F00F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35A60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BDE6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61C2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r>
      <w:tr w14:paraId="56E1153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E1EA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F47D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委托业务费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6E46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26B0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4C93C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4.21</w:t>
            </w:r>
          </w:p>
        </w:tc>
      </w:tr>
      <w:tr w14:paraId="0219DE6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4C69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B48F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7E3A8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84DC5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68EC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w:t>
            </w:r>
          </w:p>
        </w:tc>
      </w:tr>
    </w:tbl>
    <w:p w14:paraId="69EBEC3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28D0232">
        <w:tblPrEx>
          <w:tblCellMar>
            <w:top w:w="0" w:type="dxa"/>
            <w:left w:w="108" w:type="dxa"/>
            <w:bottom w:w="0" w:type="dxa"/>
            <w:right w:w="108" w:type="dxa"/>
          </w:tblCellMar>
        </w:tblPrEx>
        <w:trPr>
          <w:trHeight w:val="450" w:hRule="atLeast"/>
          <w:tblHeader/>
        </w:trPr>
        <w:tc>
          <w:tcPr>
            <w:tcW w:w="636" w:type="pct"/>
            <w:noWrap/>
            <w:vAlign w:val="bottom"/>
          </w:tcPr>
          <w:p w14:paraId="0D8EDA7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7BDC962">
            <w:pPr>
              <w:widowControl/>
              <w:jc w:val="left"/>
              <w:rPr>
                <w:rFonts w:ascii="Times New Roman" w:hAnsi="Times New Roman" w:eastAsia="宋体"/>
                <w:kern w:val="0"/>
                <w:sz w:val="20"/>
                <w:szCs w:val="20"/>
              </w:rPr>
            </w:pPr>
          </w:p>
        </w:tc>
        <w:tc>
          <w:tcPr>
            <w:tcW w:w="684" w:type="pct"/>
            <w:noWrap/>
            <w:vAlign w:val="bottom"/>
          </w:tcPr>
          <w:p w14:paraId="7A44D310">
            <w:pPr>
              <w:widowControl/>
              <w:jc w:val="left"/>
              <w:rPr>
                <w:rFonts w:ascii="Times New Roman" w:hAnsi="Times New Roman" w:eastAsia="宋体"/>
                <w:kern w:val="0"/>
                <w:sz w:val="20"/>
                <w:szCs w:val="20"/>
              </w:rPr>
            </w:pPr>
          </w:p>
        </w:tc>
        <w:tc>
          <w:tcPr>
            <w:tcW w:w="538" w:type="pct"/>
            <w:noWrap/>
            <w:vAlign w:val="bottom"/>
          </w:tcPr>
          <w:p w14:paraId="5760C2B0">
            <w:pPr>
              <w:widowControl/>
              <w:jc w:val="left"/>
              <w:rPr>
                <w:rFonts w:ascii="Times New Roman" w:hAnsi="Times New Roman" w:eastAsia="宋体"/>
                <w:kern w:val="0"/>
                <w:sz w:val="20"/>
                <w:szCs w:val="20"/>
              </w:rPr>
            </w:pPr>
          </w:p>
        </w:tc>
        <w:tc>
          <w:tcPr>
            <w:tcW w:w="2836" w:type="pct"/>
            <w:gridSpan w:val="5"/>
            <w:noWrap/>
            <w:vAlign w:val="center"/>
          </w:tcPr>
          <w:p w14:paraId="0826AB52">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248D3EA">
        <w:tblPrEx>
          <w:tblCellMar>
            <w:top w:w="0" w:type="dxa"/>
            <w:left w:w="108" w:type="dxa"/>
            <w:bottom w:w="0" w:type="dxa"/>
            <w:right w:w="108" w:type="dxa"/>
          </w:tblCellMar>
        </w:tblPrEx>
        <w:trPr>
          <w:trHeight w:val="485" w:hRule="atLeast"/>
          <w:tblHeader/>
        </w:trPr>
        <w:tc>
          <w:tcPr>
            <w:tcW w:w="5000" w:type="pct"/>
            <w:gridSpan w:val="9"/>
            <w:noWrap/>
            <w:vAlign w:val="center"/>
          </w:tcPr>
          <w:p w14:paraId="29AD2D5E">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83DAE34">
        <w:tblPrEx>
          <w:tblCellMar>
            <w:top w:w="0" w:type="dxa"/>
            <w:left w:w="108" w:type="dxa"/>
            <w:bottom w:w="0" w:type="dxa"/>
            <w:right w:w="108" w:type="dxa"/>
          </w:tblCellMar>
        </w:tblPrEx>
        <w:trPr>
          <w:trHeight w:val="340" w:hRule="atLeast"/>
          <w:tblHeader/>
        </w:trPr>
        <w:tc>
          <w:tcPr>
            <w:tcW w:w="2163" w:type="pct"/>
            <w:gridSpan w:val="4"/>
            <w:noWrap/>
            <w:vAlign w:val="center"/>
          </w:tcPr>
          <w:p w14:paraId="264DB689">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填报单位:112景德镇市珠山区妇女联合会</w:t>
            </w:r>
          </w:p>
        </w:tc>
        <w:tc>
          <w:tcPr>
            <w:tcW w:w="742" w:type="pct"/>
            <w:noWrap/>
            <w:vAlign w:val="bottom"/>
          </w:tcPr>
          <w:p w14:paraId="189E0DE9">
            <w:pPr>
              <w:widowControl/>
              <w:jc w:val="left"/>
              <w:rPr>
                <w:rFonts w:ascii="Times New Roman" w:hAnsi="Times New Roman" w:eastAsia="宋体"/>
                <w:kern w:val="0"/>
                <w:sz w:val="20"/>
                <w:szCs w:val="20"/>
              </w:rPr>
            </w:pPr>
          </w:p>
        </w:tc>
        <w:tc>
          <w:tcPr>
            <w:tcW w:w="474" w:type="pct"/>
            <w:noWrap/>
            <w:vAlign w:val="bottom"/>
          </w:tcPr>
          <w:p w14:paraId="68709DFE">
            <w:pPr>
              <w:widowControl/>
              <w:jc w:val="left"/>
              <w:rPr>
                <w:rFonts w:ascii="Times New Roman" w:hAnsi="Times New Roman" w:eastAsia="宋体"/>
                <w:kern w:val="0"/>
                <w:sz w:val="20"/>
                <w:szCs w:val="20"/>
              </w:rPr>
            </w:pPr>
          </w:p>
        </w:tc>
        <w:tc>
          <w:tcPr>
            <w:tcW w:w="596" w:type="pct"/>
            <w:noWrap/>
            <w:vAlign w:val="bottom"/>
          </w:tcPr>
          <w:p w14:paraId="0B7B7AFF">
            <w:pPr>
              <w:widowControl/>
              <w:jc w:val="left"/>
              <w:rPr>
                <w:rFonts w:ascii="Times New Roman" w:hAnsi="Times New Roman" w:eastAsia="宋体"/>
                <w:kern w:val="0"/>
                <w:sz w:val="20"/>
                <w:szCs w:val="20"/>
              </w:rPr>
            </w:pPr>
          </w:p>
        </w:tc>
        <w:tc>
          <w:tcPr>
            <w:tcW w:w="1023" w:type="pct"/>
            <w:gridSpan w:val="2"/>
            <w:noWrap/>
            <w:vAlign w:val="bottom"/>
          </w:tcPr>
          <w:p w14:paraId="73324BB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DE27C15">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05704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06F34E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6F4350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0FBF5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4522085">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ACB330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68CB6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F6D28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C690D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3DF9DB7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85CAA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734241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0E8DA3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21B62211">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46F61065">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13D2B9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8FEE0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F4BB3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B2468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14DB3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194E5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CDD1E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FE9FADF">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54770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684" w:type="pct"/>
            <w:tcBorders>
              <w:top w:val="single" w:color="000000" w:sz="4" w:space="0"/>
              <w:left w:val="nil"/>
              <w:bottom w:val="single" w:color="000000" w:sz="4" w:space="0"/>
              <w:right w:val="single" w:color="000000" w:sz="4" w:space="0"/>
            </w:tcBorders>
            <w:vAlign w:val="center"/>
          </w:tcPr>
          <w:p w14:paraId="0DBFED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37C8EB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578B6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469F4F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596" w:type="pct"/>
            <w:tcBorders>
              <w:top w:val="single" w:color="000000" w:sz="4" w:space="0"/>
              <w:left w:val="single" w:color="000000" w:sz="4" w:space="0"/>
              <w:bottom w:val="single" w:color="000000" w:sz="4" w:space="0"/>
              <w:right w:val="nil"/>
            </w:tcBorders>
            <w:vAlign w:val="center"/>
          </w:tcPr>
          <w:p w14:paraId="690CC7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368625A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506C7C9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05666DE">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31F948D8">
        <w:tblPrEx>
          <w:tblCellMar>
            <w:top w:w="0" w:type="dxa"/>
            <w:left w:w="108" w:type="dxa"/>
            <w:bottom w:w="0" w:type="dxa"/>
            <w:right w:w="108" w:type="dxa"/>
          </w:tblCellMar>
        </w:tblPrEx>
        <w:trPr>
          <w:trHeight w:val="507" w:hRule="atLeast"/>
          <w:tblHeader/>
        </w:trPr>
        <w:tc>
          <w:tcPr>
            <w:tcW w:w="976" w:type="pct"/>
            <w:noWrap/>
            <w:vAlign w:val="bottom"/>
          </w:tcPr>
          <w:p w14:paraId="7801902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BD3C749">
            <w:pPr>
              <w:widowControl/>
              <w:jc w:val="left"/>
              <w:rPr>
                <w:rFonts w:ascii="Times New Roman" w:hAnsi="Times New Roman" w:eastAsia="宋体"/>
                <w:kern w:val="0"/>
                <w:sz w:val="20"/>
                <w:szCs w:val="20"/>
              </w:rPr>
            </w:pPr>
          </w:p>
        </w:tc>
        <w:tc>
          <w:tcPr>
            <w:tcW w:w="2801" w:type="pct"/>
            <w:gridSpan w:val="3"/>
            <w:noWrap/>
            <w:vAlign w:val="center"/>
          </w:tcPr>
          <w:p w14:paraId="1D56598B">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35F3FC78">
        <w:tblPrEx>
          <w:tblCellMar>
            <w:top w:w="0" w:type="dxa"/>
            <w:left w:w="108" w:type="dxa"/>
            <w:bottom w:w="0" w:type="dxa"/>
            <w:right w:w="108" w:type="dxa"/>
          </w:tblCellMar>
        </w:tblPrEx>
        <w:trPr>
          <w:trHeight w:val="564" w:hRule="atLeast"/>
          <w:tblHeader/>
        </w:trPr>
        <w:tc>
          <w:tcPr>
            <w:tcW w:w="5000" w:type="pct"/>
            <w:gridSpan w:val="5"/>
            <w:noWrap/>
            <w:vAlign w:val="center"/>
          </w:tcPr>
          <w:p w14:paraId="1C19AB7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D2D2223">
        <w:tblPrEx>
          <w:tblCellMar>
            <w:top w:w="0" w:type="dxa"/>
            <w:left w:w="108" w:type="dxa"/>
            <w:bottom w:w="0" w:type="dxa"/>
            <w:right w:w="108" w:type="dxa"/>
          </w:tblCellMar>
        </w:tblPrEx>
        <w:trPr>
          <w:trHeight w:val="405" w:hRule="atLeast"/>
          <w:tblHeader/>
        </w:trPr>
        <w:tc>
          <w:tcPr>
            <w:tcW w:w="2198" w:type="pct"/>
            <w:gridSpan w:val="2"/>
            <w:noWrap/>
            <w:vAlign w:val="center"/>
          </w:tcPr>
          <w:p w14:paraId="2135FA7E">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填报单位:112景德镇市珠山区妇女联合会</w:t>
            </w:r>
          </w:p>
        </w:tc>
        <w:tc>
          <w:tcPr>
            <w:tcW w:w="1099" w:type="pct"/>
            <w:noWrap/>
            <w:vAlign w:val="bottom"/>
          </w:tcPr>
          <w:p w14:paraId="53AA9F66">
            <w:pPr>
              <w:rPr>
                <w:rFonts w:hint="eastAsia" w:ascii="宋体" w:hAnsi="宋体" w:eastAsia="宋体" w:cs="Arial"/>
                <w:color w:val="000000"/>
                <w:kern w:val="0"/>
                <w:sz w:val="24"/>
                <w:szCs w:val="24"/>
              </w:rPr>
            </w:pPr>
          </w:p>
        </w:tc>
        <w:tc>
          <w:tcPr>
            <w:tcW w:w="766" w:type="pct"/>
            <w:noWrap/>
            <w:vAlign w:val="bottom"/>
          </w:tcPr>
          <w:p w14:paraId="433CF404">
            <w:pPr>
              <w:widowControl/>
              <w:jc w:val="left"/>
              <w:rPr>
                <w:rFonts w:ascii="Times New Roman" w:hAnsi="Times New Roman" w:eastAsia="宋体"/>
                <w:kern w:val="0"/>
                <w:sz w:val="20"/>
                <w:szCs w:val="20"/>
              </w:rPr>
            </w:pPr>
          </w:p>
        </w:tc>
        <w:tc>
          <w:tcPr>
            <w:tcW w:w="935" w:type="pct"/>
            <w:noWrap/>
            <w:vAlign w:val="center"/>
          </w:tcPr>
          <w:p w14:paraId="373B331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433010B">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761821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0896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E9EBC03">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0405A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4FC48F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79F10D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08DB85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EBB3D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F0E6F71">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nil"/>
              <w:right w:val="single" w:color="000000" w:sz="4" w:space="0"/>
            </w:tcBorders>
            <w:noWrap/>
            <w:vAlign w:val="center"/>
          </w:tcPr>
          <w:p w14:paraId="1B0CEC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nil"/>
              <w:right w:val="single" w:color="000000" w:sz="4" w:space="0"/>
            </w:tcBorders>
            <w:noWrap/>
            <w:vAlign w:val="center"/>
          </w:tcPr>
          <w:p w14:paraId="49F1C2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nil"/>
              <w:right w:val="single" w:color="000000" w:sz="4" w:space="0"/>
            </w:tcBorders>
            <w:noWrap/>
            <w:vAlign w:val="center"/>
          </w:tcPr>
          <w:p w14:paraId="0271D8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nil"/>
              <w:right w:val="single" w:color="000000" w:sz="4" w:space="0"/>
            </w:tcBorders>
            <w:noWrap/>
            <w:vAlign w:val="center"/>
          </w:tcPr>
          <w:p w14:paraId="6AF07D3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nil"/>
              <w:right w:val="single" w:color="000000" w:sz="4" w:space="0"/>
            </w:tcBorders>
            <w:noWrap/>
            <w:vAlign w:val="center"/>
          </w:tcPr>
          <w:p w14:paraId="295C460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04302D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9C8747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21" w:type="pct"/>
            <w:tcBorders>
              <w:top w:val="nil"/>
              <w:left w:val="nil"/>
              <w:bottom w:val="single" w:color="000000" w:sz="4" w:space="0"/>
              <w:right w:val="single" w:color="000000" w:sz="4" w:space="0"/>
            </w:tcBorders>
            <w:noWrap/>
            <w:vAlign w:val="center"/>
          </w:tcPr>
          <w:p w14:paraId="2A714AB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99" w:type="pct"/>
            <w:tcBorders>
              <w:top w:val="nil"/>
              <w:left w:val="nil"/>
              <w:bottom w:val="single" w:color="000000" w:sz="4" w:space="0"/>
              <w:right w:val="single" w:color="000000" w:sz="4" w:space="0"/>
            </w:tcBorders>
            <w:noWrap/>
            <w:vAlign w:val="center"/>
          </w:tcPr>
          <w:p w14:paraId="1068A117">
            <w:pPr>
              <w:widowControl/>
              <w:snapToGrid w:val="0"/>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0</w:t>
            </w:r>
          </w:p>
        </w:tc>
        <w:tc>
          <w:tcPr>
            <w:tcW w:w="766" w:type="pct"/>
            <w:tcBorders>
              <w:top w:val="nil"/>
              <w:left w:val="nil"/>
              <w:bottom w:val="single" w:color="000000" w:sz="4" w:space="0"/>
              <w:right w:val="single" w:color="000000" w:sz="4" w:space="0"/>
            </w:tcBorders>
            <w:noWrap/>
            <w:vAlign w:val="center"/>
          </w:tcPr>
          <w:p w14:paraId="5DEDE0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0</w:t>
            </w:r>
          </w:p>
        </w:tc>
        <w:tc>
          <w:tcPr>
            <w:tcW w:w="935" w:type="pct"/>
            <w:tcBorders>
              <w:top w:val="nil"/>
              <w:left w:val="nil"/>
              <w:bottom w:val="single" w:color="000000" w:sz="4" w:space="0"/>
              <w:right w:val="single" w:color="000000" w:sz="4" w:space="0"/>
            </w:tcBorders>
            <w:noWrap/>
            <w:vAlign w:val="center"/>
          </w:tcPr>
          <w:p w14:paraId="491CFB9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bl>
    <w:p w14:paraId="6FB30ABC">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121E5A60">
        <w:tblPrEx>
          <w:tblCellMar>
            <w:top w:w="0" w:type="dxa"/>
            <w:left w:w="108" w:type="dxa"/>
            <w:bottom w:w="0" w:type="dxa"/>
            <w:right w:w="108" w:type="dxa"/>
          </w:tblCellMar>
        </w:tblPrEx>
        <w:trPr>
          <w:trHeight w:val="619" w:hRule="atLeast"/>
          <w:tblHeader/>
        </w:trPr>
        <w:tc>
          <w:tcPr>
            <w:tcW w:w="960" w:type="pct"/>
            <w:noWrap/>
            <w:vAlign w:val="bottom"/>
          </w:tcPr>
          <w:p w14:paraId="63C28301">
            <w:pPr>
              <w:rPr>
                <w:rStyle w:val="12"/>
                <w:rFonts w:hint="eastAsia" w:ascii="仿宋" w:hAnsi="仿宋" w:eastAsia="仿宋"/>
                <w:bCs/>
                <w:sz w:val="32"/>
                <w:szCs w:val="32"/>
              </w:rPr>
            </w:pPr>
          </w:p>
        </w:tc>
        <w:tc>
          <w:tcPr>
            <w:tcW w:w="1233" w:type="pct"/>
            <w:noWrap/>
            <w:vAlign w:val="bottom"/>
          </w:tcPr>
          <w:p w14:paraId="709796FA">
            <w:pPr>
              <w:widowControl/>
              <w:jc w:val="left"/>
              <w:rPr>
                <w:rFonts w:ascii="Times New Roman" w:hAnsi="Times New Roman" w:eastAsia="宋体"/>
                <w:kern w:val="0"/>
                <w:sz w:val="20"/>
                <w:szCs w:val="20"/>
              </w:rPr>
            </w:pPr>
          </w:p>
        </w:tc>
        <w:tc>
          <w:tcPr>
            <w:tcW w:w="2805" w:type="pct"/>
            <w:gridSpan w:val="3"/>
            <w:noWrap/>
            <w:vAlign w:val="center"/>
          </w:tcPr>
          <w:p w14:paraId="512D0250">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33A746E">
        <w:tblPrEx>
          <w:tblCellMar>
            <w:top w:w="0" w:type="dxa"/>
            <w:left w:w="108" w:type="dxa"/>
            <w:bottom w:w="0" w:type="dxa"/>
            <w:right w:w="108" w:type="dxa"/>
          </w:tblCellMar>
        </w:tblPrEx>
        <w:trPr>
          <w:trHeight w:val="613" w:hRule="atLeast"/>
          <w:tblHeader/>
        </w:trPr>
        <w:tc>
          <w:tcPr>
            <w:tcW w:w="5000" w:type="pct"/>
            <w:gridSpan w:val="5"/>
            <w:noWrap/>
            <w:vAlign w:val="center"/>
          </w:tcPr>
          <w:p w14:paraId="266098E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7E971CDB">
        <w:tblPrEx>
          <w:tblCellMar>
            <w:top w:w="0" w:type="dxa"/>
            <w:left w:w="108" w:type="dxa"/>
            <w:bottom w:w="0" w:type="dxa"/>
            <w:right w:w="108" w:type="dxa"/>
          </w:tblCellMar>
        </w:tblPrEx>
        <w:trPr>
          <w:trHeight w:val="413" w:hRule="atLeast"/>
          <w:tblHeader/>
        </w:trPr>
        <w:tc>
          <w:tcPr>
            <w:tcW w:w="3282" w:type="pct"/>
            <w:gridSpan w:val="3"/>
            <w:noWrap/>
            <w:vAlign w:val="center"/>
          </w:tcPr>
          <w:p w14:paraId="1092498F">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填报单位:112景德镇市珠山区妇女联合会</w:t>
            </w:r>
          </w:p>
        </w:tc>
        <w:tc>
          <w:tcPr>
            <w:tcW w:w="762" w:type="pct"/>
            <w:noWrap/>
            <w:vAlign w:val="bottom"/>
          </w:tcPr>
          <w:p w14:paraId="16FE9EDA">
            <w:pPr>
              <w:widowControl/>
              <w:jc w:val="left"/>
              <w:rPr>
                <w:rFonts w:ascii="Times New Roman" w:hAnsi="Times New Roman" w:eastAsia="宋体"/>
                <w:kern w:val="0"/>
                <w:sz w:val="20"/>
                <w:szCs w:val="20"/>
              </w:rPr>
            </w:pPr>
          </w:p>
        </w:tc>
        <w:tc>
          <w:tcPr>
            <w:tcW w:w="954" w:type="pct"/>
            <w:noWrap/>
            <w:vAlign w:val="center"/>
          </w:tcPr>
          <w:p w14:paraId="5D2B644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0464638">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26D59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72AAA8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B4A67F8">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3092C8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194B03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13BB25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7E935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64218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3283B1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33336C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93ADB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136523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54D65A4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790F15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94C9A20">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19E6EF0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A99E57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0A8EC228">
            <w:pPr>
              <w:widowControl/>
              <w:snapToGrid w:val="0"/>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0</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2C7BAE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0</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63C599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bl>
    <w:p w14:paraId="74ABD224">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764A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069D78B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3082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47A206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4743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112</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410FAA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A2CF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景德镇市珠山区妇女联合会</w:t>
            </w:r>
          </w:p>
        </w:tc>
      </w:tr>
      <w:tr w14:paraId="3249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D2D44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0A1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妇女儿童心理及法律维权，为辖区内困难妇女提供人身、财产、婚姻家庭等各项权益的维护、化解、辅导和法律援助以及开展普法宣传、教育活动等服务；为困难困境妇女儿童提供关爱帮扶；继续开展“青花姐姐巾帼”志愿服务；推进妇女儿童事业发展的其他工作。</w:t>
            </w:r>
          </w:p>
        </w:tc>
      </w:tr>
      <w:tr w14:paraId="5776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D9CDE5A">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57B23">
            <w:pPr>
              <w:jc w:val="center"/>
              <w:rPr>
                <w:rFonts w:hint="eastAsia" w:asciiTheme="minorEastAsia" w:hAnsiTheme="minorEastAsia" w:eastAsiaTheme="minorEastAsia" w:cstheme="minorEastAsia"/>
                <w:b w:val="0"/>
                <w:i w:val="0"/>
                <w:iCs w:val="0"/>
                <w:color w:val="000000"/>
                <w:sz w:val="18"/>
                <w:szCs w:val="18"/>
                <w:u w:val="none"/>
              </w:rPr>
            </w:pPr>
          </w:p>
        </w:tc>
      </w:tr>
      <w:tr w14:paraId="2FA8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F792EFF">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7FC3C">
            <w:pPr>
              <w:jc w:val="center"/>
              <w:rPr>
                <w:rFonts w:hint="eastAsia" w:asciiTheme="minorEastAsia" w:hAnsiTheme="minorEastAsia" w:eastAsiaTheme="minorEastAsia" w:cstheme="minorEastAsia"/>
                <w:b w:val="0"/>
                <w:i w:val="0"/>
                <w:iCs w:val="0"/>
                <w:color w:val="000000"/>
                <w:sz w:val="18"/>
                <w:szCs w:val="18"/>
                <w:u w:val="none"/>
              </w:rPr>
            </w:pPr>
          </w:p>
        </w:tc>
      </w:tr>
      <w:tr w14:paraId="554E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89BCB1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6C235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A53739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10EC7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851D8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F7187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7166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3B68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239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912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举办活动场次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9CE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C2D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EF6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场</w:t>
            </w:r>
          </w:p>
        </w:tc>
      </w:tr>
      <w:tr w14:paraId="6819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119E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257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139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职工妇女活动参与率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F78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D8B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AA1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751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659E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2E0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FC8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活动开展主题契合率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D6C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8FE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ACE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7B7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76FA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EC2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AA27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积极开展相关活动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619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DDB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积极开展</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06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64A5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36DE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317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AA11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FC5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BF5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5BB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3AC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D9FF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096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CC8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37A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234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118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481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5711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EB4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F5E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6C3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70C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9A4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D36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01F2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D9D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35F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AD2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1C2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2FF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944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5EC2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85B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经济效益指标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5CF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本年度公用经费及人员经费支出</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BE4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8F1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59.3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360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w:t>
            </w:r>
          </w:p>
        </w:tc>
      </w:tr>
      <w:tr w14:paraId="3132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C85C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D46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A97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职工满意度调研</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9EB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D08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51A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49F72104">
      <w:pPr>
        <w:rPr>
          <w:rFonts w:hint="eastAsia"/>
          <w:lang w:eastAsia="zh-CN"/>
        </w:rPr>
        <w:sectPr>
          <w:pgSz w:w="11906" w:h="16838"/>
          <w:pgMar w:top="720" w:right="720" w:bottom="720" w:left="720" w:header="851" w:footer="992" w:gutter="0"/>
          <w:cols w:space="425" w:num="1"/>
          <w:docGrid w:type="lines" w:linePitch="312" w:charSpace="0"/>
        </w:sectPr>
      </w:pPr>
      <w:r>
        <w:rPr>
          <w:rFonts w:hint="eastAsia"/>
          <w:lang w:eastAsia="zh-CN"/>
        </w:rPr>
        <w:drawing>
          <wp:inline distT="0" distB="0" distL="114300" distR="114300">
            <wp:extent cx="6635115" cy="3651885"/>
            <wp:effectExtent l="0" t="0" r="9525" b="5715"/>
            <wp:docPr id="1" name="图片 1" descr="f28423b9-a9ef-432f-89fd-60a3022789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8423b9-a9ef-432f-89fd-60a3022789b8"/>
                    <pic:cNvPicPr>
                      <a:picLocks noChangeAspect="1"/>
                    </pic:cNvPicPr>
                  </pic:nvPicPr>
                  <pic:blipFill>
                    <a:blip r:embed="rId5"/>
                    <a:stretch>
                      <a:fillRect/>
                    </a:stretch>
                  </pic:blipFill>
                  <pic:spPr>
                    <a:xfrm>
                      <a:off x="0" y="0"/>
                      <a:ext cx="6635115" cy="3651885"/>
                    </a:xfrm>
                    <a:prstGeom prst="rect">
                      <a:avLst/>
                    </a:prstGeom>
                  </pic:spPr>
                </pic:pic>
              </a:graphicData>
            </a:graphic>
          </wp:inline>
        </w:drawing>
      </w:r>
    </w:p>
    <w:p w14:paraId="0E5FAEFE">
      <w:pPr>
        <w:pStyle w:val="17"/>
        <w:numPr>
          <w:ilvl w:val="0"/>
          <w:numId w:val="0"/>
        </w:numPr>
        <w:bidi w:val="0"/>
        <w:ind w:left="420" w:leftChars="200"/>
        <w:jc w:val="center"/>
        <w:rPr>
          <w:rFonts w:hint="eastAsia"/>
          <w:lang w:eastAsia="zh-CN"/>
        </w:rPr>
      </w:pPr>
      <w:r>
        <w:rPr>
          <w:rFonts w:hint="eastAsia"/>
          <w:lang w:val="en-US" w:eastAsia="zh-CN"/>
        </w:rPr>
        <w:t>第三部分  景德镇市珠山区妇女联合会2026年部门预算情况说明</w:t>
      </w:r>
    </w:p>
    <w:p w14:paraId="122881CF">
      <w:pPr>
        <w:widowControl/>
        <w:spacing w:line="580" w:lineRule="exact"/>
        <w:jc w:val="center"/>
        <w:rPr>
          <w:rFonts w:ascii="仿宋_GB2312" w:eastAsia="仿宋_GB2312"/>
          <w:b/>
          <w:sz w:val="32"/>
          <w:szCs w:val="30"/>
        </w:rPr>
      </w:pPr>
    </w:p>
    <w:p w14:paraId="14F1EA41">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624C8690">
      <w:pPr>
        <w:pStyle w:val="19"/>
        <w:numPr>
          <w:ilvl w:val="0"/>
          <w:numId w:val="0"/>
        </w:numPr>
        <w:bidi w:val="0"/>
        <w:ind w:left="420" w:leftChars="200"/>
        <w:rPr>
          <w:rFonts w:hint="eastAsia"/>
        </w:rPr>
      </w:pPr>
      <w:r>
        <w:rPr>
          <w:rFonts w:hint="eastAsia"/>
        </w:rPr>
        <w:t xml:space="preserve"> (一)收入预算情况</w:t>
      </w:r>
    </w:p>
    <w:p w14:paraId="7A5A891F">
      <w:pPr>
        <w:pStyle w:val="18"/>
        <w:bidi w:val="0"/>
        <w:rPr>
          <w:rFonts w:hint="eastAsia"/>
        </w:rPr>
      </w:pPr>
      <w:r>
        <w:rPr>
          <w:rFonts w:hint="eastAsia"/>
          <w:lang w:eastAsia="zh-CN"/>
        </w:rPr>
        <w:t>2026</w:t>
      </w:r>
      <w:r>
        <w:rPr>
          <w:rFonts w:hint="eastAsia"/>
        </w:rPr>
        <w:t>年</w:t>
      </w:r>
      <w:r>
        <w:rPr>
          <w:rFonts w:hint="eastAsia"/>
          <w:lang w:eastAsia="zh-CN"/>
        </w:rPr>
        <w:t>景德镇市珠山区妇女联合会</w:t>
      </w:r>
      <w:r>
        <w:rPr>
          <w:rFonts w:hint="eastAsia"/>
        </w:rPr>
        <w:t>收入预算总额为76.80万元</w:t>
      </w:r>
      <w:r>
        <w:rPr>
          <w:rFonts w:hint="eastAsia"/>
          <w:lang w:eastAsia="zh-CN"/>
        </w:rPr>
        <w:t>，</w:t>
      </w:r>
      <w:r>
        <w:rPr>
          <w:rFonts w:hint="eastAsia"/>
        </w:rPr>
        <w:t>较上年预算安排增加</w:t>
      </w:r>
      <w:r>
        <w:rPr>
          <w:rFonts w:hint="eastAsia"/>
          <w:lang w:val="en-US" w:eastAsia="zh-CN"/>
        </w:rPr>
        <w:t>0</w:t>
      </w:r>
      <w:r>
        <w:rPr>
          <w:rFonts w:hint="eastAsia"/>
        </w:rPr>
        <w:t>万元</w:t>
      </w:r>
      <w:r>
        <w:rPr>
          <w:rFonts w:hint="eastAsia"/>
          <w:lang w:eastAsia="zh-CN"/>
        </w:rPr>
        <w:t>；本年收入合计76.80万元，较上年预算安排</w:t>
      </w:r>
      <w:r>
        <w:rPr>
          <w:rFonts w:hint="eastAsia"/>
        </w:rPr>
        <w:t>增加</w:t>
      </w:r>
      <w:r>
        <w:rPr>
          <w:rFonts w:hint="eastAsia"/>
          <w:lang w:val="en-US" w:eastAsia="zh-CN"/>
        </w:rPr>
        <w:t>0</w:t>
      </w:r>
      <w:r>
        <w:rPr>
          <w:rFonts w:hint="eastAsia"/>
        </w:rPr>
        <w:t>万元</w:t>
      </w:r>
      <w:r>
        <w:rPr>
          <w:rFonts w:hint="eastAsia"/>
          <w:lang w:eastAsia="zh-CN"/>
        </w:rPr>
        <w:t>；包括：财政拨款收入76.80万元，较上年预算安排</w:t>
      </w:r>
      <w:r>
        <w:rPr>
          <w:rFonts w:hint="eastAsia"/>
        </w:rPr>
        <w:t>增加</w:t>
      </w:r>
      <w:r>
        <w:rPr>
          <w:rFonts w:hint="eastAsia"/>
          <w:lang w:val="en-US" w:eastAsia="zh-CN"/>
        </w:rPr>
        <w:t>0</w:t>
      </w:r>
      <w:r>
        <w:rPr>
          <w:rFonts w:hint="eastAsia"/>
        </w:rPr>
        <w:t>万元</w:t>
      </w:r>
      <w:r>
        <w:rPr>
          <w:rFonts w:hint="eastAsia"/>
          <w:lang w:eastAsia="zh-CN"/>
        </w:rPr>
        <w:t>。</w:t>
      </w:r>
    </w:p>
    <w:p w14:paraId="727D7507">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611BFD2">
      <w:pPr>
        <w:pStyle w:val="18"/>
        <w:bidi w:val="0"/>
        <w:rPr>
          <w:rFonts w:hint="eastAsia"/>
        </w:rPr>
      </w:pPr>
      <w:r>
        <w:rPr>
          <w:rFonts w:hint="eastAsia"/>
          <w:lang w:eastAsia="zh-CN"/>
        </w:rPr>
        <w:t>2026</w:t>
      </w:r>
      <w:r>
        <w:rPr>
          <w:rFonts w:hint="eastAsia"/>
        </w:rPr>
        <w:t>年</w:t>
      </w:r>
      <w:r>
        <w:rPr>
          <w:rFonts w:hint="eastAsia"/>
          <w:lang w:eastAsia="zh-CN"/>
        </w:rPr>
        <w:t>景德镇市珠山区妇女联合会</w:t>
      </w:r>
      <w:r>
        <w:rPr>
          <w:rFonts w:hint="eastAsia"/>
        </w:rPr>
        <w:t>支出预算总额为76.80万元</w:t>
      </w:r>
      <w:r>
        <w:rPr>
          <w:rFonts w:hint="eastAsia"/>
          <w:lang w:eastAsia="zh-CN"/>
        </w:rPr>
        <w:t>，</w:t>
      </w:r>
      <w:r>
        <w:rPr>
          <w:rFonts w:hint="eastAsia"/>
        </w:rPr>
        <w:t>较上年预算安排增加</w:t>
      </w:r>
      <w:r>
        <w:rPr>
          <w:rFonts w:hint="eastAsia"/>
          <w:lang w:val="en-US" w:eastAsia="zh-CN"/>
        </w:rPr>
        <w:t>0</w:t>
      </w:r>
      <w:r>
        <w:rPr>
          <w:rFonts w:hint="eastAsia"/>
        </w:rPr>
        <w:t xml:space="preserve">万元。 </w:t>
      </w:r>
    </w:p>
    <w:p w14:paraId="35307DAF">
      <w:pPr>
        <w:pStyle w:val="18"/>
        <w:bidi w:val="0"/>
        <w:rPr>
          <w:rFonts w:hint="eastAsia"/>
        </w:rPr>
      </w:pPr>
      <w:r>
        <w:rPr>
          <w:rFonts w:hint="eastAsia"/>
        </w:rPr>
        <w:t>按支出项目类别划分：基本支出59.30万元</w:t>
      </w:r>
      <w:r>
        <w:rPr>
          <w:rFonts w:hint="eastAsia"/>
          <w:lang w:eastAsia="zh-CN"/>
        </w:rPr>
        <w:t>，</w:t>
      </w:r>
      <w:r>
        <w:rPr>
          <w:rFonts w:hint="eastAsia"/>
        </w:rPr>
        <w:t>较上年预算安排</w:t>
      </w:r>
      <w:r>
        <w:rPr>
          <w:rFonts w:hint="eastAsia"/>
          <w:lang w:eastAsia="zh-CN"/>
        </w:rPr>
        <w:t>减少</w:t>
      </w:r>
      <w:r>
        <w:rPr>
          <w:rFonts w:hint="eastAsia"/>
          <w:lang w:val="en-US" w:eastAsia="zh-CN"/>
        </w:rPr>
        <w:t>5.3</w:t>
      </w:r>
      <w:r>
        <w:rPr>
          <w:rFonts w:hint="eastAsia"/>
        </w:rPr>
        <w:t>万元</w:t>
      </w:r>
      <w:r>
        <w:rPr>
          <w:rFonts w:hint="eastAsia"/>
          <w:lang w:eastAsia="zh-CN"/>
        </w:rPr>
        <w:t>；</w:t>
      </w:r>
      <w:r>
        <w:rPr>
          <w:rFonts w:hint="eastAsia"/>
        </w:rPr>
        <w:t>项目支出17.50万元</w:t>
      </w:r>
      <w:r>
        <w:rPr>
          <w:rFonts w:hint="eastAsia"/>
          <w:lang w:eastAsia="zh-CN"/>
        </w:rPr>
        <w:t>，</w:t>
      </w:r>
      <w:r>
        <w:rPr>
          <w:rFonts w:hint="eastAsia"/>
        </w:rPr>
        <w:t>较上年预算安排增加</w:t>
      </w:r>
      <w:r>
        <w:rPr>
          <w:rFonts w:hint="eastAsia"/>
          <w:lang w:val="en-US" w:eastAsia="zh-CN"/>
        </w:rPr>
        <w:t>3.5</w:t>
      </w:r>
      <w:r>
        <w:rPr>
          <w:rFonts w:hint="eastAsia"/>
        </w:rPr>
        <w:t>万元。</w:t>
      </w:r>
    </w:p>
    <w:p w14:paraId="220206A6">
      <w:pPr>
        <w:pStyle w:val="18"/>
        <w:bidi w:val="0"/>
        <w:rPr>
          <w:rFonts w:hint="eastAsia"/>
        </w:rPr>
      </w:pPr>
      <w:r>
        <w:rPr>
          <w:rFonts w:hint="eastAsia"/>
        </w:rPr>
        <w:t>按支出功能科目划分：一般公共服务支出63.15万元，较上年预算安排</w:t>
      </w:r>
      <w:r>
        <w:rPr>
          <w:rFonts w:hint="eastAsia"/>
          <w:lang w:eastAsia="zh-CN"/>
        </w:rPr>
        <w:t>减少</w:t>
      </w:r>
      <w:r>
        <w:rPr>
          <w:rFonts w:hint="eastAsia"/>
          <w:lang w:val="en-US" w:eastAsia="zh-CN"/>
        </w:rPr>
        <w:t>2.06</w:t>
      </w:r>
      <w:r>
        <w:rPr>
          <w:rFonts w:hint="eastAsia"/>
        </w:rPr>
        <w:t>万元；社会保障和就业支出6.27万元，较上年预算安排增加</w:t>
      </w:r>
      <w:r>
        <w:rPr>
          <w:rFonts w:hint="eastAsia"/>
          <w:lang w:val="en-US" w:eastAsia="zh-CN"/>
        </w:rPr>
        <w:t>0.06</w:t>
      </w:r>
      <w:r>
        <w:rPr>
          <w:rFonts w:hint="eastAsia"/>
        </w:rPr>
        <w:t>万元；卫生健康支出2.67万元，较上年预算安排增加</w:t>
      </w:r>
      <w:r>
        <w:rPr>
          <w:rFonts w:hint="eastAsia"/>
          <w:lang w:val="en-US" w:eastAsia="zh-CN"/>
        </w:rPr>
        <w:t>2.15</w:t>
      </w:r>
      <w:r>
        <w:rPr>
          <w:rFonts w:hint="eastAsia"/>
        </w:rPr>
        <w:t>万元；住房保障支出4.71万元，较上年预算安排增加</w:t>
      </w:r>
      <w:r>
        <w:rPr>
          <w:rFonts w:hint="eastAsia"/>
          <w:lang w:val="en-US" w:eastAsia="zh-CN"/>
        </w:rPr>
        <w:t>0.05</w:t>
      </w:r>
      <w:r>
        <w:rPr>
          <w:rFonts w:hint="eastAsia"/>
        </w:rPr>
        <w:t>万元。</w:t>
      </w:r>
    </w:p>
    <w:p w14:paraId="437FBF3F">
      <w:pPr>
        <w:pStyle w:val="18"/>
        <w:bidi w:val="0"/>
        <w:rPr>
          <w:rFonts w:hint="eastAsia"/>
        </w:rPr>
      </w:pPr>
      <w:r>
        <w:rPr>
          <w:rFonts w:hint="eastAsia"/>
        </w:rPr>
        <w:t>按支出经济分类划分：工资福利支出52.94万元，较上年预算安排</w:t>
      </w:r>
      <w:r>
        <w:rPr>
          <w:rFonts w:hint="eastAsia"/>
          <w:lang w:eastAsia="zh-CN"/>
        </w:rPr>
        <w:t>减少</w:t>
      </w:r>
      <w:r>
        <w:rPr>
          <w:rFonts w:hint="eastAsia"/>
          <w:lang w:val="en-US" w:eastAsia="zh-CN"/>
        </w:rPr>
        <w:t>7.02</w:t>
      </w:r>
      <w:r>
        <w:rPr>
          <w:rFonts w:hint="eastAsia"/>
        </w:rPr>
        <w:t>万元；商品和服务支出23.86万元，较上年预算安排增加</w:t>
      </w:r>
      <w:r>
        <w:rPr>
          <w:rFonts w:hint="eastAsia"/>
          <w:lang w:val="en-US" w:eastAsia="zh-CN"/>
        </w:rPr>
        <w:t>19.22</w:t>
      </w:r>
      <w:r>
        <w:rPr>
          <w:rFonts w:hint="eastAsia"/>
        </w:rPr>
        <w:t>万元。</w:t>
      </w:r>
    </w:p>
    <w:p w14:paraId="77E101C9">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5A0963FD">
      <w:pPr>
        <w:pStyle w:val="18"/>
        <w:bidi w:val="0"/>
        <w:rPr>
          <w:rFonts w:hint="eastAsia"/>
        </w:rPr>
      </w:pPr>
      <w:r>
        <w:rPr>
          <w:rFonts w:hint="eastAsia"/>
          <w:lang w:eastAsia="zh-CN"/>
        </w:rPr>
        <w:t>2026</w:t>
      </w:r>
      <w:r>
        <w:rPr>
          <w:rFonts w:hint="eastAsia"/>
        </w:rPr>
        <w:t>年</w:t>
      </w:r>
      <w:r>
        <w:rPr>
          <w:rFonts w:hint="eastAsia"/>
          <w:lang w:eastAsia="zh-CN"/>
        </w:rPr>
        <w:t>景德镇市珠山区妇女联合会</w:t>
      </w:r>
      <w:r>
        <w:rPr>
          <w:rFonts w:hint="eastAsia"/>
        </w:rPr>
        <w:t>财政拨款支出预算总额76.80万元,较上年预算安排增加</w:t>
      </w:r>
      <w:r>
        <w:rPr>
          <w:rFonts w:hint="eastAsia"/>
          <w:lang w:val="en-US" w:eastAsia="zh-CN"/>
        </w:rPr>
        <w:t>0</w:t>
      </w:r>
      <w:r>
        <w:rPr>
          <w:rFonts w:hint="eastAsia"/>
        </w:rPr>
        <w:t>万元。</w:t>
      </w:r>
    </w:p>
    <w:p w14:paraId="7003E842">
      <w:pPr>
        <w:pStyle w:val="18"/>
        <w:bidi w:val="0"/>
        <w:rPr>
          <w:rFonts w:hint="eastAsia"/>
        </w:rPr>
      </w:pPr>
      <w:r>
        <w:rPr>
          <w:rFonts w:hint="eastAsia"/>
        </w:rPr>
        <w:t>按支出功能科目划分：一般公共服务支出63.15万元，社会保障和就业支出6.27万元，卫生健康支出2.67万元，住房保障支出4.71万元。</w:t>
      </w:r>
    </w:p>
    <w:p w14:paraId="253A6FC5">
      <w:pPr>
        <w:pStyle w:val="18"/>
        <w:bidi w:val="0"/>
        <w:rPr>
          <w:rFonts w:hint="eastAsia"/>
        </w:rPr>
      </w:pPr>
      <w:r>
        <w:rPr>
          <w:rFonts w:hint="eastAsia"/>
        </w:rPr>
        <w:t>按支出项目类别划分：基本支出59.30万元,项目支出17.50万元。</w:t>
      </w:r>
    </w:p>
    <w:p w14:paraId="23F3A07A">
      <w:pPr>
        <w:pStyle w:val="18"/>
        <w:bidi w:val="0"/>
        <w:rPr>
          <w:rFonts w:hint="eastAsia"/>
        </w:rPr>
      </w:pPr>
      <w:r>
        <w:rPr>
          <w:rFonts w:hint="eastAsia"/>
        </w:rPr>
        <w:t>按支</w:t>
      </w:r>
      <w:r>
        <w:rPr>
          <w:rFonts w:hint="eastAsia"/>
          <w:lang w:val="en-US" w:eastAsia="zh-CN"/>
        </w:rPr>
        <w:t>出经济分类</w:t>
      </w:r>
      <w:r>
        <w:rPr>
          <w:rFonts w:hint="eastAsia"/>
        </w:rPr>
        <w:t>划分：工资福利支出52.94万元，商品和服务支出23.86万元（其中委托业务费19.71万元）。</w:t>
      </w:r>
    </w:p>
    <w:p w14:paraId="68AE7B30">
      <w:pPr>
        <w:pStyle w:val="19"/>
        <w:numPr>
          <w:ilvl w:val="0"/>
          <w:numId w:val="0"/>
        </w:numPr>
        <w:bidi w:val="0"/>
        <w:ind w:left="420" w:leftChars="200"/>
        <w:rPr>
          <w:rFonts w:hint="eastAsia"/>
          <w:lang w:val="en-US" w:eastAsia="zh-CN"/>
        </w:rPr>
      </w:pPr>
      <w:r>
        <w:rPr>
          <w:rFonts w:hint="eastAsia"/>
          <w:lang w:val="en-US" w:eastAsia="zh-CN"/>
        </w:rPr>
        <w:t>(四)政府性基金情况</w:t>
      </w:r>
    </w:p>
    <w:p w14:paraId="62DF939B">
      <w:pPr>
        <w:pStyle w:val="18"/>
        <w:bidi w:val="0"/>
        <w:rPr>
          <w:rFonts w:hint="eastAsia"/>
        </w:rPr>
        <w:sectPr>
          <w:pgSz w:w="11906" w:h="16839"/>
          <w:pgMar w:top="1431" w:right="1504" w:bottom="0" w:left="1598" w:header="0" w:footer="0" w:gutter="0"/>
          <w:cols w:space="720" w:num="1"/>
        </w:sectPr>
      </w:pPr>
      <w:r>
        <w:rPr>
          <w:rFonts w:hint="eastAsia"/>
        </w:rPr>
        <w:t>2026 年本部门没有使用政府性基金预算拨款安排的支出。</w:t>
      </w:r>
    </w:p>
    <w:p w14:paraId="7500228E">
      <w:pPr>
        <w:pStyle w:val="18"/>
        <w:bidi w:val="0"/>
        <w:rPr>
          <w:rFonts w:hint="eastAsia"/>
        </w:rPr>
      </w:pPr>
    </w:p>
    <w:p w14:paraId="00A2043D">
      <w:pPr>
        <w:pStyle w:val="19"/>
        <w:numPr>
          <w:ilvl w:val="0"/>
          <w:numId w:val="0"/>
        </w:numPr>
        <w:bidi w:val="0"/>
        <w:ind w:left="420" w:leftChars="200" w:firstLine="321" w:firstLineChars="100"/>
        <w:rPr>
          <w:rFonts w:hint="eastAsia"/>
          <w:lang w:val="en-US" w:eastAsia="zh-CN"/>
        </w:rPr>
      </w:pPr>
      <w:r>
        <w:rPr>
          <w:rFonts w:hint="eastAsia"/>
          <w:lang w:val="en-US" w:eastAsia="zh-CN"/>
        </w:rPr>
        <w:t>(五)国有资本经营情况</w:t>
      </w:r>
    </w:p>
    <w:p w14:paraId="481A8BD3">
      <w:pPr>
        <w:pStyle w:val="18"/>
        <w:bidi w:val="0"/>
        <w:rPr>
          <w:rFonts w:hint="eastAsia"/>
        </w:rPr>
      </w:pPr>
      <w:r>
        <w:rPr>
          <w:rFonts w:hint="eastAsia"/>
        </w:rPr>
        <w:t>2026 年本部门没有使用国有资本经营预算拨款安排的支出。</w:t>
      </w:r>
    </w:p>
    <w:p w14:paraId="4D07A514">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5E3CA174">
      <w:pPr>
        <w:pStyle w:val="18"/>
        <w:bidi w:val="0"/>
        <w:rPr>
          <w:rFonts w:hint="eastAsia"/>
        </w:rPr>
      </w:pPr>
      <w:r>
        <w:rPr>
          <w:rFonts w:hint="eastAsia"/>
          <w:lang w:eastAsia="zh-CN"/>
        </w:rPr>
        <w:t>2026</w:t>
      </w:r>
      <w:r>
        <w:rPr>
          <w:rFonts w:hint="eastAsia"/>
        </w:rPr>
        <w:t>年部门机关运行费预算</w:t>
      </w:r>
      <w:r>
        <w:rPr>
          <w:rFonts w:hint="eastAsia"/>
          <w:lang w:val="en-US" w:eastAsia="zh-CN"/>
        </w:rPr>
        <w:t>78.6</w:t>
      </w:r>
      <w:r>
        <w:rPr>
          <w:rFonts w:hint="eastAsia"/>
        </w:rPr>
        <w:t>万元，比2025年预算增加</w:t>
      </w:r>
      <w:r>
        <w:rPr>
          <w:rFonts w:hint="eastAsia"/>
          <w:lang w:val="en-US" w:eastAsia="zh-CN"/>
        </w:rPr>
        <w:t>0</w:t>
      </w:r>
      <w:r>
        <w:rPr>
          <w:rFonts w:hint="eastAsia"/>
        </w:rPr>
        <w:t>万元，增长（下降）</w:t>
      </w:r>
      <w:r>
        <w:rPr>
          <w:rFonts w:hint="eastAsia"/>
          <w:lang w:val="en-US" w:eastAsia="zh-CN"/>
        </w:rPr>
        <w:t>0</w:t>
      </w:r>
      <w:r>
        <w:rPr>
          <w:rFonts w:hint="eastAsia"/>
        </w:rPr>
        <w:t>%。</w:t>
      </w:r>
    </w:p>
    <w:p w14:paraId="2DE42A11">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27157DC2">
      <w:pPr>
        <w:pStyle w:val="18"/>
        <w:bidi w:val="0"/>
        <w:rPr>
          <w:rFonts w:hint="eastAsia"/>
          <w:lang w:eastAsia="zh-CN"/>
        </w:rPr>
      </w:pPr>
      <w:r>
        <w:rPr>
          <w:rFonts w:hint="eastAsia"/>
          <w:lang w:eastAsia="zh-CN"/>
        </w:rPr>
        <w:t>2026年部门所属各单位政府采购总额 2.00</w:t>
      </w:r>
      <w:r>
        <w:rPr>
          <w:rFonts w:hint="eastAsia"/>
          <w:lang w:val="en-US" w:eastAsia="zh-CN"/>
        </w:rPr>
        <w:t xml:space="preserve"> </w:t>
      </w:r>
      <w:r>
        <w:rPr>
          <w:rFonts w:hint="eastAsia"/>
          <w:lang w:eastAsia="zh-CN"/>
        </w:rPr>
        <w:t>万元,其中: 政府采购货物预算  0.00 万元, 政府采购工程预算 0.00</w:t>
      </w:r>
      <w:r>
        <w:rPr>
          <w:rFonts w:hint="eastAsia"/>
          <w:lang w:val="en-US" w:eastAsia="zh-CN"/>
        </w:rPr>
        <w:t xml:space="preserve"> </w:t>
      </w:r>
      <w:r>
        <w:rPr>
          <w:rFonts w:hint="eastAsia"/>
          <w:lang w:eastAsia="zh-CN"/>
        </w:rPr>
        <w:t>万元, 政府采购服务预算 2.00 万元。</w:t>
      </w:r>
    </w:p>
    <w:p w14:paraId="2FDE4CFB">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0E1F454A">
      <w:pPr>
        <w:pStyle w:val="18"/>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2DAE18A0">
      <w:pPr>
        <w:spacing w:before="2" w:line="357" w:lineRule="auto"/>
        <w:ind w:left="14" w:right="12" w:firstLine="640"/>
        <w:rPr>
          <w:rFonts w:ascii="仿宋" w:hAnsi="仿宋" w:eastAsia="仿宋" w:cs="仿宋"/>
          <w:sz w:val="31"/>
          <w:szCs w:val="31"/>
        </w:rPr>
      </w:pPr>
      <w:r>
        <w:rPr>
          <w:rFonts w:ascii="仿宋" w:hAnsi="仿宋" w:eastAsia="仿宋" w:cs="仿宋"/>
          <w:spacing w:val="5"/>
          <w:sz w:val="31"/>
          <w:szCs w:val="31"/>
        </w:rPr>
        <w:t>2026</w:t>
      </w:r>
      <w:r>
        <w:rPr>
          <w:rFonts w:ascii="仿宋" w:hAnsi="仿宋" w:eastAsia="仿宋" w:cs="仿宋"/>
          <w:spacing w:val="-43"/>
          <w:sz w:val="31"/>
          <w:szCs w:val="31"/>
        </w:rPr>
        <w:t xml:space="preserve"> </w:t>
      </w:r>
      <w:r>
        <w:rPr>
          <w:rFonts w:ascii="仿宋" w:hAnsi="仿宋" w:eastAsia="仿宋" w:cs="仿宋"/>
          <w:spacing w:val="5"/>
          <w:sz w:val="31"/>
          <w:szCs w:val="31"/>
        </w:rPr>
        <w:t>年部门预算安排购置车辆</w:t>
      </w:r>
      <w:r>
        <w:rPr>
          <w:rFonts w:ascii="仿宋" w:hAnsi="仿宋" w:eastAsia="仿宋" w:cs="仿宋"/>
          <w:spacing w:val="-38"/>
          <w:sz w:val="31"/>
          <w:szCs w:val="31"/>
        </w:rPr>
        <w:t xml:space="preserve"> </w:t>
      </w:r>
      <w:r>
        <w:rPr>
          <w:rFonts w:ascii="仿宋" w:hAnsi="仿宋" w:eastAsia="仿宋" w:cs="仿宋"/>
          <w:spacing w:val="5"/>
          <w:sz w:val="31"/>
          <w:szCs w:val="31"/>
        </w:rPr>
        <w:t>0</w:t>
      </w:r>
      <w:r>
        <w:rPr>
          <w:rFonts w:ascii="仿宋" w:hAnsi="仿宋" w:eastAsia="仿宋" w:cs="仿宋"/>
          <w:spacing w:val="-62"/>
          <w:sz w:val="31"/>
          <w:szCs w:val="31"/>
        </w:rPr>
        <w:t xml:space="preserve"> </w:t>
      </w:r>
      <w:r>
        <w:rPr>
          <w:rFonts w:ascii="仿宋" w:hAnsi="仿宋" w:eastAsia="仿宋" w:cs="仿宋"/>
          <w:spacing w:val="5"/>
          <w:sz w:val="31"/>
          <w:szCs w:val="31"/>
        </w:rPr>
        <w:t>辆，未安排购置单位价值</w:t>
      </w:r>
      <w:r>
        <w:rPr>
          <w:rFonts w:ascii="仿宋" w:hAnsi="仿宋" w:eastAsia="仿宋" w:cs="仿宋"/>
          <w:spacing w:val="3"/>
          <w:sz w:val="31"/>
          <w:szCs w:val="31"/>
        </w:rPr>
        <w:t>200</w:t>
      </w:r>
      <w:r>
        <w:rPr>
          <w:rFonts w:ascii="仿宋" w:hAnsi="仿宋" w:eastAsia="仿宋" w:cs="仿宋"/>
          <w:spacing w:val="-43"/>
          <w:sz w:val="31"/>
          <w:szCs w:val="31"/>
        </w:rPr>
        <w:t xml:space="preserve"> </w:t>
      </w:r>
      <w:r>
        <w:rPr>
          <w:rFonts w:ascii="仿宋" w:hAnsi="仿宋" w:eastAsia="仿宋" w:cs="仿宋"/>
          <w:spacing w:val="3"/>
          <w:sz w:val="31"/>
          <w:szCs w:val="31"/>
        </w:rPr>
        <w:t>万元以上大型设备。</w:t>
      </w:r>
    </w:p>
    <w:p w14:paraId="0A60E640">
      <w:pPr>
        <w:pStyle w:val="19"/>
        <w:numPr>
          <w:ilvl w:val="0"/>
          <w:numId w:val="0"/>
        </w:numPr>
        <w:bidi w:val="0"/>
        <w:ind w:firstLine="643" w:firstLineChars="200"/>
        <w:rPr>
          <w:rFonts w:hint="eastAsia"/>
          <w:lang w:val="en-US" w:eastAsia="zh-CN"/>
        </w:rPr>
      </w:pPr>
      <w:r>
        <w:rPr>
          <w:rFonts w:hint="eastAsia"/>
          <w:lang w:val="en-US" w:eastAsia="zh-CN"/>
        </w:rPr>
        <w:t>(九)开展家庭讲座进校园活动项目情况说明</w:t>
      </w:r>
    </w:p>
    <w:p w14:paraId="3F99ACA9">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29E0DD1B">
      <w:pPr>
        <w:pStyle w:val="18"/>
        <w:bidi w:val="0"/>
        <w:rPr>
          <w:rFonts w:hint="eastAsia"/>
          <w:lang w:eastAsia="zh-CN"/>
        </w:rPr>
      </w:pPr>
      <w:r>
        <w:rPr>
          <w:rFonts w:hint="eastAsia"/>
          <w:lang w:eastAsia="zh-CN"/>
        </w:rPr>
        <w:t>本项目围绕妇联组织规范化建设、妇女儿童权益保障、家庭文明建设、儿童关爱保护四大核心任务，通过开展家庭家教家风讲座、普法宣传、心理健康教育、安全防护教育、社区服务、进校园主题活动等形式，提升基层妇联组织履职能力，强化妇女儿童关爱服务，普及科学家庭教育知识，营造全社会关心关爱妇女儿童、重视家庭建设的良好氛围，切实维护妇女儿童合法权益，促进家庭和谐、社区稳定、儿童健康成长。</w:t>
      </w:r>
    </w:p>
    <w:p w14:paraId="7BD5BA8C">
      <w:pPr>
        <w:pStyle w:val="18"/>
        <w:numPr>
          <w:ilvl w:val="0"/>
          <w:numId w:val="3"/>
        </w:numPr>
        <w:bidi w:val="0"/>
        <w:ind w:left="1120" w:leftChars="0" w:firstLine="0" w:firstLineChars="0"/>
        <w:rPr>
          <w:rFonts w:hint="eastAsia"/>
          <w:lang w:eastAsia="zh-CN"/>
        </w:rPr>
      </w:pPr>
      <w:r>
        <w:rPr>
          <w:rFonts w:hint="eastAsia"/>
          <w:lang w:eastAsia="zh-CN"/>
        </w:rPr>
        <w:t>立项依据</w:t>
      </w:r>
    </w:p>
    <w:p w14:paraId="22DE3911">
      <w:pPr>
        <w:pStyle w:val="18"/>
        <w:numPr>
          <w:ilvl w:val="0"/>
          <w:numId w:val="0"/>
        </w:numPr>
        <w:bidi w:val="0"/>
        <w:ind w:left="1120" w:leftChars="0"/>
        <w:rPr>
          <w:rFonts w:hint="eastAsia"/>
          <w:lang w:eastAsia="zh-CN"/>
        </w:rPr>
      </w:pPr>
      <w:r>
        <w:rPr>
          <w:rFonts w:hint="eastAsia"/>
          <w:lang w:eastAsia="zh-CN"/>
        </w:rPr>
        <w:t>《中华人民共和国妇女权益保障法》</w:t>
      </w:r>
    </w:p>
    <w:p w14:paraId="3FBBD4E6">
      <w:pPr>
        <w:pStyle w:val="18"/>
        <w:numPr>
          <w:ilvl w:val="0"/>
          <w:numId w:val="3"/>
        </w:numPr>
        <w:bidi w:val="0"/>
        <w:ind w:left="1120" w:leftChars="0" w:firstLine="0" w:firstLineChars="0"/>
        <w:rPr>
          <w:rFonts w:hint="eastAsia"/>
          <w:lang w:eastAsia="zh-CN"/>
        </w:rPr>
      </w:pPr>
      <w:r>
        <w:rPr>
          <w:rFonts w:hint="eastAsia"/>
          <w:lang w:eastAsia="zh-CN"/>
        </w:rPr>
        <w:t>实施主体</w:t>
      </w:r>
    </w:p>
    <w:p w14:paraId="363BD807">
      <w:pPr>
        <w:pStyle w:val="18"/>
        <w:numPr>
          <w:ilvl w:val="0"/>
          <w:numId w:val="0"/>
        </w:numPr>
        <w:bidi w:val="0"/>
        <w:ind w:left="1120" w:leftChars="0"/>
        <w:rPr>
          <w:rFonts w:hint="default"/>
          <w:lang w:val="en-US" w:eastAsia="zh-CN"/>
        </w:rPr>
      </w:pPr>
      <w:r>
        <w:rPr>
          <w:rFonts w:hint="eastAsia"/>
          <w:lang w:val="en-US" w:eastAsia="zh-CN"/>
        </w:rPr>
        <w:t>景德镇市珠山区妇联联合会</w:t>
      </w:r>
    </w:p>
    <w:p w14:paraId="27813D1B">
      <w:pPr>
        <w:pStyle w:val="18"/>
        <w:numPr>
          <w:ilvl w:val="0"/>
          <w:numId w:val="3"/>
        </w:numPr>
        <w:bidi w:val="0"/>
        <w:ind w:left="1120" w:leftChars="0" w:firstLine="0" w:firstLineChars="0"/>
        <w:rPr>
          <w:rFonts w:hint="eastAsia"/>
          <w:lang w:eastAsia="zh-CN"/>
        </w:rPr>
      </w:pPr>
      <w:r>
        <w:rPr>
          <w:rFonts w:hint="eastAsia"/>
          <w:lang w:eastAsia="zh-CN"/>
        </w:rPr>
        <w:t>实施方案</w:t>
      </w:r>
    </w:p>
    <w:p w14:paraId="64466F7D">
      <w:pPr>
        <w:pStyle w:val="18"/>
        <w:numPr>
          <w:ilvl w:val="0"/>
          <w:numId w:val="0"/>
        </w:numPr>
        <w:bidi w:val="0"/>
        <w:ind w:left="1120" w:leftChars="0"/>
        <w:rPr>
          <w:rFonts w:hint="eastAsia"/>
          <w:lang w:eastAsia="zh-CN"/>
        </w:rPr>
      </w:pPr>
      <w:r>
        <w:rPr>
          <w:rFonts w:hint="eastAsia"/>
          <w:lang w:eastAsia="zh-CN"/>
        </w:rPr>
        <w:t>1. 妇联组织建设</w:t>
      </w:r>
    </w:p>
    <w:p w14:paraId="79A2E108">
      <w:pPr>
        <w:pStyle w:val="18"/>
        <w:numPr>
          <w:ilvl w:val="0"/>
          <w:numId w:val="0"/>
        </w:numPr>
        <w:bidi w:val="0"/>
        <w:ind w:left="1120" w:leftChars="0" w:firstLine="640" w:firstLineChars="200"/>
        <w:rPr>
          <w:rFonts w:hint="eastAsia"/>
          <w:lang w:eastAsia="zh-CN"/>
        </w:rPr>
      </w:pPr>
      <w:r>
        <w:rPr>
          <w:rFonts w:hint="eastAsia"/>
          <w:lang w:eastAsia="zh-CN"/>
        </w:rPr>
        <w:t>加强基层妇联组织规范化建设、阵地提升、队伍培训、执委履职、巾帼志愿服务队伍建设，提升基层妇联服务能力。</w:t>
      </w:r>
    </w:p>
    <w:p w14:paraId="521F06BE">
      <w:pPr>
        <w:pStyle w:val="18"/>
        <w:numPr>
          <w:ilvl w:val="0"/>
          <w:numId w:val="0"/>
        </w:numPr>
        <w:bidi w:val="0"/>
        <w:ind w:left="1120" w:leftChars="0" w:firstLine="0" w:firstLineChars="0"/>
        <w:rPr>
          <w:rFonts w:hint="eastAsia"/>
          <w:lang w:eastAsia="zh-CN"/>
        </w:rPr>
      </w:pPr>
      <w:r>
        <w:rPr>
          <w:rFonts w:hint="eastAsia"/>
          <w:lang w:eastAsia="zh-CN"/>
        </w:rPr>
        <w:t>2. 妇女发展与权益维护</w:t>
      </w:r>
    </w:p>
    <w:p w14:paraId="4557CF28">
      <w:pPr>
        <w:pStyle w:val="18"/>
        <w:numPr>
          <w:ilvl w:val="0"/>
          <w:numId w:val="0"/>
        </w:numPr>
        <w:bidi w:val="0"/>
        <w:ind w:left="1120" w:leftChars="0" w:firstLine="640" w:firstLineChars="200"/>
        <w:rPr>
          <w:rFonts w:hint="eastAsia"/>
          <w:lang w:eastAsia="zh-CN"/>
        </w:rPr>
      </w:pPr>
      <w:r>
        <w:rPr>
          <w:rFonts w:hint="eastAsia"/>
          <w:lang w:eastAsia="zh-CN"/>
        </w:rPr>
        <w:t>开展妇女技能提升、普法宣传、反家暴宣传、婚恋家庭指导、困难妇女关爱帮扶等活动。</w:t>
      </w:r>
    </w:p>
    <w:p w14:paraId="619242AB">
      <w:pPr>
        <w:pStyle w:val="18"/>
        <w:numPr>
          <w:ilvl w:val="0"/>
          <w:numId w:val="0"/>
        </w:numPr>
        <w:bidi w:val="0"/>
        <w:ind w:left="1120" w:leftChars="0" w:firstLine="0" w:firstLineChars="0"/>
        <w:rPr>
          <w:rFonts w:hint="eastAsia"/>
          <w:lang w:eastAsia="zh-CN"/>
        </w:rPr>
      </w:pPr>
      <w:r>
        <w:rPr>
          <w:rFonts w:hint="eastAsia" w:cstheme="minorBidi"/>
          <w:kern w:val="2"/>
          <w:sz w:val="32"/>
          <w:szCs w:val="32"/>
          <w:lang w:val="en-US" w:eastAsia="zh-CN" w:bidi="ar-SA"/>
        </w:rPr>
        <w:t>3</w:t>
      </w:r>
      <w:r>
        <w:rPr>
          <w:rFonts w:hint="eastAsia"/>
          <w:lang w:eastAsia="zh-CN"/>
        </w:rPr>
        <w:t>. 进校园主题活动</w:t>
      </w:r>
    </w:p>
    <w:p w14:paraId="3809AAF4">
      <w:pPr>
        <w:pStyle w:val="18"/>
        <w:numPr>
          <w:ilvl w:val="0"/>
          <w:numId w:val="0"/>
        </w:numPr>
        <w:bidi w:val="0"/>
        <w:ind w:left="1120" w:leftChars="0" w:firstLine="640" w:firstLineChars="200"/>
        <w:rPr>
          <w:rFonts w:hint="eastAsia"/>
          <w:lang w:eastAsia="zh-CN"/>
        </w:rPr>
      </w:pPr>
      <w:r>
        <w:rPr>
          <w:rFonts w:hint="eastAsia"/>
          <w:lang w:eastAsia="zh-CN"/>
        </w:rPr>
        <w:t>联合学校开展法治进校园、安全进校园、家庭教育指导、女童保护、心理健康、家风家训等专题活动。</w:t>
      </w:r>
    </w:p>
    <w:p w14:paraId="3F70554E">
      <w:pPr>
        <w:pStyle w:val="18"/>
        <w:bidi w:val="0"/>
        <w:rPr>
          <w:rFonts w:hint="default"/>
          <w:lang w:val="en-US" w:eastAsia="zh-CN"/>
        </w:rPr>
      </w:pPr>
      <w:r>
        <w:rPr>
          <w:rFonts w:hint="eastAsia"/>
          <w:lang w:eastAsia="zh-CN"/>
        </w:rPr>
        <w:t xml:space="preserve">   5）实施周期</w:t>
      </w:r>
      <w:r>
        <w:rPr>
          <w:rFonts w:hint="eastAsia"/>
          <w:lang w:val="en-US" w:eastAsia="zh-CN"/>
        </w:rPr>
        <w:t xml:space="preserve"> 2026年度</w:t>
      </w:r>
    </w:p>
    <w:p w14:paraId="5191CAC2">
      <w:pPr>
        <w:pStyle w:val="18"/>
        <w:bidi w:val="0"/>
        <w:rPr>
          <w:rFonts w:hint="default"/>
          <w:lang w:val="en-US" w:eastAsia="zh-CN"/>
        </w:rPr>
      </w:pPr>
      <w:r>
        <w:rPr>
          <w:rFonts w:hint="eastAsia"/>
          <w:lang w:eastAsia="zh-CN"/>
        </w:rPr>
        <w:t xml:space="preserve">   6）年度预算安排</w:t>
      </w:r>
      <w:r>
        <w:rPr>
          <w:rFonts w:hint="eastAsia"/>
          <w:lang w:val="en-US" w:eastAsia="zh-CN"/>
        </w:rPr>
        <w:t xml:space="preserve"> 3万元</w:t>
      </w:r>
    </w:p>
    <w:p w14:paraId="7363F42D">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5C89515F">
      <w:pPr>
        <w:pStyle w:val="18"/>
        <w:bidi w:val="0"/>
        <w:rPr>
          <w:rFonts w:hint="eastAsia"/>
          <w:lang w:eastAsia="zh-CN"/>
        </w:rPr>
      </w:pPr>
      <w:r>
        <w:rPr>
          <w:rFonts w:hint="eastAsia"/>
          <w:lang w:eastAsia="zh-CN"/>
        </w:rPr>
        <w:t>2026年景德镇市珠山区妇女联合会财政拨款"三公"经费安排0.39万元，其中：</w:t>
      </w:r>
    </w:p>
    <w:p w14:paraId="68DEFD97">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4C39B945">
      <w:pPr>
        <w:pStyle w:val="18"/>
        <w:bidi w:val="0"/>
        <w:rPr>
          <w:rFonts w:hint="eastAsia"/>
          <w:lang w:eastAsia="zh-CN"/>
        </w:rPr>
      </w:pPr>
      <w:r>
        <w:rPr>
          <w:rFonts w:hint="eastAsia"/>
          <w:lang w:eastAsia="zh-CN"/>
        </w:rPr>
        <w:t>公务接待0.39万元,比上年增（减）</w:t>
      </w:r>
      <w:r>
        <w:rPr>
          <w:rFonts w:hint="eastAsia"/>
          <w:lang w:val="en-US" w:eastAsia="zh-CN"/>
        </w:rPr>
        <w:t>0</w:t>
      </w:r>
      <w:r>
        <w:rPr>
          <w:rFonts w:hint="eastAsia"/>
          <w:lang w:eastAsia="zh-CN"/>
        </w:rPr>
        <w:t>万元，主要原因是：与上年安排保持一致。</w:t>
      </w:r>
    </w:p>
    <w:p w14:paraId="6954CAE9">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7A07784C">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258A93E5">
      <w:pPr>
        <w:rPr>
          <w:rStyle w:val="12"/>
          <w:rFonts w:hint="eastAsia" w:ascii="仿宋" w:hAnsi="仿宋" w:eastAsia="仿宋"/>
          <w:sz w:val="32"/>
          <w:szCs w:val="32"/>
        </w:rPr>
      </w:pPr>
      <w:r>
        <w:rPr>
          <w:rStyle w:val="12"/>
          <w:rFonts w:hint="eastAsia" w:ascii="仿宋" w:hAnsi="仿宋" w:eastAsia="仿宋"/>
          <w:sz w:val="32"/>
          <w:szCs w:val="32"/>
        </w:rPr>
        <w:br w:type="page"/>
      </w:r>
    </w:p>
    <w:p w14:paraId="23F2DD8C">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263D16FD">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0C77DA03">
      <w:pPr>
        <w:pStyle w:val="18"/>
        <w:bidi w:val="0"/>
        <w:rPr>
          <w:rFonts w:hint="eastAsia"/>
          <w:lang w:eastAsia="zh-CN"/>
        </w:rPr>
      </w:pPr>
      <w:bookmarkStart w:id="0" w:name="_GoBack"/>
      <w:bookmarkEnd w:id="0"/>
      <w:r>
        <w:rPr>
          <w:rFonts w:hint="eastAsia"/>
          <w:lang w:eastAsia="zh-CN"/>
        </w:rPr>
        <w:t>（</w:t>
      </w:r>
      <w:r>
        <w:rPr>
          <w:rFonts w:hint="eastAsia"/>
          <w:lang w:val="en-US" w:eastAsia="zh-CN"/>
        </w:rPr>
        <w:t>一</w:t>
      </w:r>
      <w:r>
        <w:rPr>
          <w:rFonts w:hint="eastAsia"/>
          <w:lang w:eastAsia="zh-CN"/>
        </w:rPr>
        <w:t>）财政拨款：指省级财政当年拨付的资金。</w:t>
      </w:r>
    </w:p>
    <w:p w14:paraId="3F7007D5">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3F955C3F">
      <w:pPr>
        <w:pStyle w:val="18"/>
        <w:bidi w:val="0"/>
        <w:rPr>
          <w:rFonts w:hint="eastAsia"/>
          <w:lang w:eastAsia="zh-CN"/>
        </w:rPr>
      </w:pPr>
      <w:r>
        <w:rPr>
          <w:rFonts w:hint="eastAsia"/>
          <w:lang w:eastAsia="zh-CN"/>
        </w:rPr>
        <w:t>（三）事业收入：指事业单位开展专业业务活动及辅助活动取得的收入。</w:t>
      </w:r>
    </w:p>
    <w:p w14:paraId="13DFA2D4">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70C9D1F">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1704D98">
      <w:pPr>
        <w:pStyle w:val="18"/>
        <w:bidi w:val="0"/>
        <w:rPr>
          <w:rFonts w:hint="eastAsia"/>
          <w:lang w:eastAsia="zh-CN"/>
        </w:rPr>
      </w:pPr>
      <w:r>
        <w:rPr>
          <w:rFonts w:hint="eastAsia"/>
          <w:lang w:eastAsia="zh-CN"/>
        </w:rPr>
        <w:t>（六）上级补助收入：指事业单位从主管部门和上级单位取得的非财政补助收入。</w:t>
      </w:r>
    </w:p>
    <w:p w14:paraId="5C218CDC">
      <w:pPr>
        <w:pStyle w:val="18"/>
        <w:bidi w:val="0"/>
        <w:rPr>
          <w:rFonts w:hint="eastAsia"/>
          <w:lang w:eastAsia="zh-CN"/>
        </w:rPr>
      </w:pPr>
      <w:r>
        <w:rPr>
          <w:rFonts w:hint="eastAsia"/>
          <w:lang w:eastAsia="zh-CN"/>
        </w:rPr>
        <w:t>（七）其他收入：指除财政拨款、事业收入、事业单位经营收入等以外的各项收入。</w:t>
      </w:r>
    </w:p>
    <w:p w14:paraId="67148F26">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69E207C1">
      <w:pPr>
        <w:pStyle w:val="18"/>
        <w:bidi w:val="0"/>
        <w:rPr>
          <w:rFonts w:ascii="Adobe 仿宋 Std R" w:hAnsi="Adobe 仿宋 Std R" w:eastAsia="Adobe 仿宋 Std R"/>
          <w:sz w:val="32"/>
          <w:szCs w:val="32"/>
        </w:rPr>
      </w:pPr>
      <w:r>
        <w:rPr>
          <w:rFonts w:hint="eastAsia"/>
          <w:lang w:eastAsia="zh-CN"/>
        </w:rPr>
        <w:t>（九）上年结转和结余：指以前年度全部结转和结余的资金数，包括当年结转结余资金和历年滚存结转结余资金。</w:t>
      </w:r>
    </w:p>
    <w:p w14:paraId="0FB4CA8B">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25BF3FF9">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2C087ED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45CEC5D9">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4DDE38F">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550A3E05">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59B50A6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31FDA2B9">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6768A54C">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44E0A04E">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3E803E1F">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FA44D54">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020EF46F">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3704B479">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3CFC1A01">
      <w:pPr>
        <w:spacing w:line="357" w:lineRule="auto"/>
        <w:ind w:left="3" w:right="250" w:firstLine="634"/>
        <w:jc w:val="both"/>
        <w:rPr>
          <w:rFonts w:ascii="仿宋_GB2312" w:eastAsia="仿宋_GB2312"/>
          <w:color w:val="000000"/>
          <w:sz w:val="32"/>
          <w:szCs w:val="30"/>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7561F304">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0689A2C">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6CBA118">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92A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561CA"/>
    <w:multiLevelType w:val="singleLevel"/>
    <w:tmpl w:val="C02561CA"/>
    <w:lvl w:ilvl="0" w:tentative="0">
      <w:start w:val="2"/>
      <w:numFmt w:val="decimal"/>
      <w:suff w:val="nothing"/>
      <w:lvlText w:val="%1）"/>
      <w:lvlJc w:val="left"/>
      <w:pPr>
        <w:ind w:left="1120" w:leftChars="0" w:firstLine="0" w:firstLineChars="0"/>
      </w:pPr>
    </w:lvl>
  </w:abstractNum>
  <w:abstractNum w:abstractNumId="1">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C77EC2"/>
    <w:rsid w:val="02F05C02"/>
    <w:rsid w:val="0313418A"/>
    <w:rsid w:val="03183089"/>
    <w:rsid w:val="033409AD"/>
    <w:rsid w:val="036543A8"/>
    <w:rsid w:val="03713379"/>
    <w:rsid w:val="03A26EFC"/>
    <w:rsid w:val="03C54F15"/>
    <w:rsid w:val="04274B96"/>
    <w:rsid w:val="044C3E08"/>
    <w:rsid w:val="048760F2"/>
    <w:rsid w:val="04AB0032"/>
    <w:rsid w:val="04BC7F5E"/>
    <w:rsid w:val="04D1736D"/>
    <w:rsid w:val="0548762F"/>
    <w:rsid w:val="056335EC"/>
    <w:rsid w:val="058E403A"/>
    <w:rsid w:val="05A96FBC"/>
    <w:rsid w:val="067A6028"/>
    <w:rsid w:val="069027A8"/>
    <w:rsid w:val="06BE4E5C"/>
    <w:rsid w:val="06D10F0F"/>
    <w:rsid w:val="06EB090E"/>
    <w:rsid w:val="070F6488"/>
    <w:rsid w:val="072E0AA7"/>
    <w:rsid w:val="073B4FCD"/>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77519E"/>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6D114E"/>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A44AB1"/>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D9473C6"/>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820546"/>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2702</Words>
  <Characters>3637</Characters>
  <Lines>47</Lines>
  <Paragraphs>13</Paragraphs>
  <TotalTime>3</TotalTime>
  <ScaleCrop>false</ScaleCrop>
  <LinksUpToDate>false</LinksUpToDate>
  <CharactersWithSpaces>3708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2026-03-05T01:15:13Z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