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2BA8FC">
      <w:pPr>
        <w:spacing w:before="101" w:line="225" w:lineRule="auto"/>
        <w:ind w:left="910"/>
        <w:outlineLvl w:val="0"/>
        <w:rPr>
          <w:rFonts w:hint="eastAsia" w:ascii="黑体" w:hAnsi="黑体" w:eastAsia="黑体" w:cs="黑体"/>
          <w:sz w:val="43"/>
          <w:szCs w:val="43"/>
          <w:lang w:eastAsia="zh-CN"/>
        </w:rPr>
      </w:pPr>
      <w:r>
        <w:rPr>
          <w:rFonts w:hint="eastAsia" w:ascii="黑体" w:hAnsi="黑体" w:eastAsia="黑体" w:cs="黑体"/>
          <w:b/>
          <w:bCs/>
          <w:spacing w:val="10"/>
          <w:sz w:val="43"/>
          <w:szCs w:val="43"/>
          <w:lang w:eastAsia="zh-CN"/>
        </w:rPr>
        <w:t>珠山区财政局</w:t>
      </w:r>
      <w:r>
        <w:rPr>
          <w:rFonts w:ascii="黑体" w:hAnsi="黑体" w:eastAsia="黑体" w:cs="黑体"/>
          <w:b/>
          <w:bCs/>
          <w:spacing w:val="10"/>
          <w:sz w:val="43"/>
          <w:szCs w:val="43"/>
        </w:rPr>
        <w:t>2025</w:t>
      </w:r>
      <w:r>
        <w:rPr>
          <w:rFonts w:ascii="黑体" w:hAnsi="黑体" w:eastAsia="黑体" w:cs="黑体"/>
          <w:spacing w:val="-78"/>
          <w:sz w:val="43"/>
          <w:szCs w:val="43"/>
        </w:rPr>
        <w:t xml:space="preserve"> </w:t>
      </w:r>
      <w:r>
        <w:rPr>
          <w:rFonts w:ascii="黑体" w:hAnsi="黑体" w:eastAsia="黑体" w:cs="黑体"/>
          <w:b/>
          <w:bCs/>
          <w:spacing w:val="10"/>
          <w:sz w:val="43"/>
          <w:szCs w:val="43"/>
        </w:rPr>
        <w:t>年</w:t>
      </w:r>
      <w:r>
        <w:rPr>
          <w:rFonts w:hint="eastAsia" w:ascii="黑体" w:hAnsi="黑体" w:eastAsia="黑体" w:cs="黑体"/>
          <w:b/>
          <w:bCs/>
          <w:spacing w:val="10"/>
          <w:sz w:val="43"/>
          <w:szCs w:val="43"/>
          <w:lang w:eastAsia="zh-CN"/>
        </w:rPr>
        <w:t>部门预算汇总</w:t>
      </w:r>
    </w:p>
    <w:p w14:paraId="423BF42C">
      <w:pPr>
        <w:spacing w:line="340" w:lineRule="auto"/>
        <w:rPr>
          <w:rFonts w:ascii="Arial"/>
          <w:sz w:val="21"/>
        </w:rPr>
      </w:pPr>
    </w:p>
    <w:p w14:paraId="0A113C48">
      <w:pPr>
        <w:spacing w:line="340" w:lineRule="auto"/>
        <w:rPr>
          <w:rFonts w:ascii="Arial"/>
          <w:sz w:val="21"/>
        </w:rPr>
      </w:pPr>
    </w:p>
    <w:p w14:paraId="6B17BD0B">
      <w:pPr>
        <w:spacing w:before="100" w:line="227" w:lineRule="auto"/>
        <w:ind w:left="358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22"/>
          <w:sz w:val="31"/>
          <w:szCs w:val="31"/>
        </w:rPr>
        <w:t>目</w:t>
      </w:r>
      <w:r>
        <w:rPr>
          <w:rFonts w:ascii="黑体" w:hAnsi="黑体" w:eastAsia="黑体" w:cs="黑体"/>
          <w:spacing w:val="8"/>
          <w:sz w:val="31"/>
          <w:szCs w:val="31"/>
        </w:rPr>
        <w:t xml:space="preserve">    </w:t>
      </w:r>
      <w:r>
        <w:rPr>
          <w:rFonts w:ascii="黑体" w:hAnsi="黑体" w:eastAsia="黑体" w:cs="黑体"/>
          <w:spacing w:val="-22"/>
          <w:sz w:val="31"/>
          <w:szCs w:val="31"/>
        </w:rPr>
        <w:t>录</w:t>
      </w:r>
    </w:p>
    <w:p w14:paraId="0F1BE29B">
      <w:pPr>
        <w:spacing w:line="453" w:lineRule="auto"/>
        <w:rPr>
          <w:rFonts w:ascii="Arial"/>
          <w:sz w:val="21"/>
        </w:rPr>
      </w:pPr>
    </w:p>
    <w:p w14:paraId="064EA957">
      <w:pPr>
        <w:pStyle w:val="2"/>
        <w:spacing w:before="101" w:line="222" w:lineRule="auto"/>
        <w:ind w:left="683"/>
        <w:outlineLvl w:val="1"/>
      </w:pPr>
      <w:r>
        <w:rPr>
          <w:b/>
          <w:bCs/>
          <w:spacing w:val="5"/>
        </w:rPr>
        <w:t>第一部分</w:t>
      </w:r>
      <w:r>
        <w:rPr>
          <w:spacing w:val="5"/>
        </w:rPr>
        <w:t xml:space="preserve">  </w:t>
      </w:r>
      <w:r>
        <w:rPr>
          <w:rFonts w:hint="eastAsia"/>
          <w:b/>
          <w:bCs/>
          <w:spacing w:val="5"/>
          <w:lang w:eastAsia="zh-CN"/>
        </w:rPr>
        <w:t>珠山区财政局</w:t>
      </w:r>
      <w:r>
        <w:rPr>
          <w:b/>
          <w:bCs/>
          <w:spacing w:val="5"/>
        </w:rPr>
        <w:t>概况</w:t>
      </w:r>
    </w:p>
    <w:p w14:paraId="34B7B0C5">
      <w:pPr>
        <w:pStyle w:val="2"/>
        <w:spacing w:before="250" w:line="222" w:lineRule="auto"/>
        <w:ind w:left="1325"/>
      </w:pPr>
      <w:r>
        <w:rPr>
          <w:spacing w:val="5"/>
        </w:rPr>
        <w:t>一、部门主要职责</w:t>
      </w:r>
    </w:p>
    <w:p w14:paraId="7A04AE84">
      <w:pPr>
        <w:pStyle w:val="2"/>
        <w:spacing w:before="252" w:line="222" w:lineRule="auto"/>
        <w:ind w:left="1323"/>
      </w:pPr>
      <w:r>
        <w:rPr>
          <w:spacing w:val="7"/>
        </w:rPr>
        <w:t>二、机构设置及人员情况</w:t>
      </w:r>
    </w:p>
    <w:p w14:paraId="2F8B05C6">
      <w:pPr>
        <w:pStyle w:val="2"/>
        <w:spacing w:before="250" w:line="222" w:lineRule="auto"/>
        <w:ind w:left="683"/>
        <w:outlineLvl w:val="1"/>
      </w:pPr>
      <w:r>
        <w:rPr>
          <w:b/>
          <w:bCs/>
          <w:spacing w:val="3"/>
        </w:rPr>
        <w:t>第二部分</w:t>
      </w:r>
      <w:r>
        <w:rPr>
          <w:spacing w:val="3"/>
        </w:rPr>
        <w:t xml:space="preserve">  </w:t>
      </w:r>
      <w:r>
        <w:rPr>
          <w:rFonts w:hint="eastAsia"/>
          <w:b/>
          <w:bCs/>
          <w:spacing w:val="3"/>
          <w:lang w:eastAsia="zh-CN"/>
        </w:rPr>
        <w:t>珠山区财政局</w:t>
      </w:r>
      <w:r>
        <w:rPr>
          <w:spacing w:val="-42"/>
        </w:rPr>
        <w:t xml:space="preserve"> </w:t>
      </w:r>
      <w:r>
        <w:rPr>
          <w:b/>
          <w:bCs/>
          <w:spacing w:val="3"/>
        </w:rPr>
        <w:t>2025</w:t>
      </w:r>
      <w:r>
        <w:rPr>
          <w:spacing w:val="-58"/>
        </w:rPr>
        <w:t xml:space="preserve"> </w:t>
      </w:r>
      <w:r>
        <w:rPr>
          <w:b/>
          <w:bCs/>
          <w:spacing w:val="3"/>
        </w:rPr>
        <w:t>年</w:t>
      </w:r>
      <w:r>
        <w:rPr>
          <w:rFonts w:hint="eastAsia"/>
          <w:b/>
          <w:bCs/>
          <w:spacing w:val="3"/>
          <w:lang w:eastAsia="zh-CN"/>
        </w:rPr>
        <w:t>部门预算汇总</w:t>
      </w:r>
      <w:r>
        <w:rPr>
          <w:b/>
          <w:bCs/>
          <w:spacing w:val="3"/>
        </w:rPr>
        <w:t>表</w:t>
      </w:r>
    </w:p>
    <w:p w14:paraId="4AB386D0">
      <w:pPr>
        <w:pStyle w:val="2"/>
        <w:spacing w:before="251" w:line="222" w:lineRule="auto"/>
        <w:ind w:left="1325"/>
      </w:pPr>
      <w:r>
        <w:rPr>
          <w:spacing w:val="6"/>
        </w:rPr>
        <w:t>一、《收支预算总表》</w:t>
      </w:r>
    </w:p>
    <w:p w14:paraId="1007275C">
      <w:pPr>
        <w:pStyle w:val="2"/>
        <w:spacing w:before="251" w:line="222" w:lineRule="auto"/>
        <w:ind w:left="1323"/>
      </w:pPr>
      <w:r>
        <w:rPr>
          <w:spacing w:val="6"/>
        </w:rPr>
        <w:t>二、《部门收入总表》</w:t>
      </w:r>
    </w:p>
    <w:p w14:paraId="41C6E075">
      <w:pPr>
        <w:pStyle w:val="2"/>
        <w:spacing w:before="251" w:line="222" w:lineRule="auto"/>
        <w:ind w:left="1329"/>
      </w:pPr>
      <w:r>
        <w:rPr>
          <w:spacing w:val="5"/>
        </w:rPr>
        <w:t>三、《部门支出总表》</w:t>
      </w:r>
    </w:p>
    <w:p w14:paraId="373C9824">
      <w:pPr>
        <w:pStyle w:val="2"/>
        <w:spacing w:before="252" w:line="223" w:lineRule="auto"/>
        <w:ind w:left="1343"/>
      </w:pPr>
      <w:r>
        <w:rPr>
          <w:spacing w:val="5"/>
        </w:rPr>
        <w:t>四、《财政拨款收支总表》</w:t>
      </w:r>
    </w:p>
    <w:p w14:paraId="353F40EA">
      <w:pPr>
        <w:pStyle w:val="2"/>
        <w:spacing w:before="249" w:line="222" w:lineRule="auto"/>
        <w:ind w:left="1316"/>
      </w:pPr>
      <w:r>
        <w:rPr>
          <w:spacing w:val="7"/>
        </w:rPr>
        <w:t>五、《一般公共预算支出表》</w:t>
      </w:r>
    </w:p>
    <w:p w14:paraId="1E654673">
      <w:pPr>
        <w:pStyle w:val="2"/>
        <w:spacing w:before="251" w:line="222" w:lineRule="auto"/>
        <w:ind w:left="1319"/>
      </w:pPr>
      <w:r>
        <w:rPr>
          <w:spacing w:val="7"/>
        </w:rPr>
        <w:t>六、《一般公共预算基本支出表》</w:t>
      </w:r>
    </w:p>
    <w:p w14:paraId="1915493B">
      <w:pPr>
        <w:pStyle w:val="2"/>
        <w:spacing w:before="252" w:line="223" w:lineRule="auto"/>
        <w:ind w:left="1313"/>
      </w:pPr>
      <w:r>
        <w:rPr>
          <w:spacing w:val="3"/>
        </w:rPr>
        <w:t>七、《财政拨款</w:t>
      </w:r>
      <w:r>
        <w:rPr>
          <w:spacing w:val="-98"/>
        </w:rPr>
        <w:t xml:space="preserve"> </w:t>
      </w:r>
      <w:r>
        <w:rPr>
          <w:spacing w:val="3"/>
        </w:rPr>
        <w:t>“</w:t>
      </w:r>
      <w:r>
        <w:rPr>
          <w:spacing w:val="-119"/>
        </w:rPr>
        <w:t xml:space="preserve"> </w:t>
      </w:r>
      <w:r>
        <w:rPr>
          <w:spacing w:val="3"/>
        </w:rPr>
        <w:t>三公”经费支出表》</w:t>
      </w:r>
    </w:p>
    <w:p w14:paraId="2D947F4C">
      <w:pPr>
        <w:pStyle w:val="2"/>
        <w:spacing w:before="250" w:line="220" w:lineRule="auto"/>
        <w:ind w:left="1312"/>
      </w:pPr>
      <w:r>
        <w:rPr>
          <w:spacing w:val="8"/>
        </w:rPr>
        <w:t>八、《政府性基金预算支出表》</w:t>
      </w:r>
    </w:p>
    <w:p w14:paraId="35CCA622">
      <w:pPr>
        <w:pStyle w:val="2"/>
        <w:spacing w:before="254" w:line="222" w:lineRule="auto"/>
        <w:ind w:left="1309"/>
      </w:pPr>
      <w:r>
        <w:rPr>
          <w:spacing w:val="8"/>
        </w:rPr>
        <w:t>九、《国有资本经营预算支出表》</w:t>
      </w:r>
    </w:p>
    <w:p w14:paraId="6F51430D">
      <w:pPr>
        <w:pStyle w:val="2"/>
        <w:spacing w:before="251" w:line="222" w:lineRule="auto"/>
        <w:ind w:left="1319"/>
      </w:pPr>
      <w:r>
        <w:rPr>
          <w:spacing w:val="7"/>
        </w:rPr>
        <w:t>十、《部门整体支出绩效目标表》</w:t>
      </w:r>
    </w:p>
    <w:p w14:paraId="2BE2D114">
      <w:pPr>
        <w:pStyle w:val="2"/>
        <w:spacing w:before="252" w:line="222" w:lineRule="auto"/>
        <w:ind w:left="1319"/>
      </w:pPr>
      <w:r>
        <w:rPr>
          <w:spacing w:val="7"/>
        </w:rPr>
        <w:t>十一、《项目支出绩效目标表》</w:t>
      </w:r>
    </w:p>
    <w:p w14:paraId="2DC11618">
      <w:pPr>
        <w:pStyle w:val="2"/>
        <w:spacing w:before="250" w:line="222" w:lineRule="auto"/>
        <w:ind w:left="683"/>
        <w:outlineLvl w:val="1"/>
      </w:pPr>
      <w:r>
        <w:rPr>
          <w:b/>
          <w:bCs/>
          <w:spacing w:val="4"/>
        </w:rPr>
        <w:t>第三部分</w:t>
      </w:r>
      <w:r>
        <w:rPr>
          <w:spacing w:val="4"/>
        </w:rPr>
        <w:t xml:space="preserve"> </w:t>
      </w:r>
      <w:r>
        <w:rPr>
          <w:rFonts w:hint="eastAsia"/>
          <w:b/>
          <w:bCs/>
          <w:spacing w:val="4"/>
          <w:lang w:eastAsia="zh-CN"/>
        </w:rPr>
        <w:t>珠山区财政局</w:t>
      </w:r>
      <w:r>
        <w:rPr>
          <w:spacing w:val="-48"/>
        </w:rPr>
        <w:t xml:space="preserve"> </w:t>
      </w:r>
      <w:r>
        <w:rPr>
          <w:b/>
          <w:bCs/>
          <w:spacing w:val="4"/>
        </w:rPr>
        <w:t>2025</w:t>
      </w:r>
      <w:r>
        <w:rPr>
          <w:spacing w:val="-59"/>
        </w:rPr>
        <w:t xml:space="preserve"> </w:t>
      </w:r>
      <w:r>
        <w:rPr>
          <w:b/>
          <w:bCs/>
          <w:spacing w:val="4"/>
        </w:rPr>
        <w:t>年</w:t>
      </w:r>
      <w:r>
        <w:rPr>
          <w:rFonts w:hint="eastAsia"/>
          <w:b/>
          <w:bCs/>
          <w:spacing w:val="4"/>
          <w:lang w:eastAsia="zh-CN"/>
        </w:rPr>
        <w:t>部门预算汇总</w:t>
      </w:r>
      <w:r>
        <w:rPr>
          <w:b/>
          <w:bCs/>
          <w:spacing w:val="3"/>
        </w:rPr>
        <w:t>情况说明</w:t>
      </w:r>
    </w:p>
    <w:p w14:paraId="3C63F790">
      <w:pPr>
        <w:pStyle w:val="2"/>
        <w:spacing w:before="252" w:line="222" w:lineRule="auto"/>
        <w:ind w:left="1325"/>
      </w:pPr>
      <w:r>
        <w:rPr>
          <w:spacing w:val="5"/>
        </w:rPr>
        <w:t>一、2025</w:t>
      </w:r>
      <w:r>
        <w:rPr>
          <w:spacing w:val="-45"/>
        </w:rPr>
        <w:t xml:space="preserve"> </w:t>
      </w:r>
      <w:r>
        <w:rPr>
          <w:spacing w:val="5"/>
        </w:rPr>
        <w:t>年</w:t>
      </w:r>
      <w:r>
        <w:rPr>
          <w:rFonts w:hint="eastAsia"/>
          <w:spacing w:val="5"/>
          <w:lang w:eastAsia="zh-CN"/>
        </w:rPr>
        <w:t>部门预算汇总</w:t>
      </w:r>
      <w:r>
        <w:rPr>
          <w:spacing w:val="5"/>
        </w:rPr>
        <w:t>收支情况说明</w:t>
      </w:r>
    </w:p>
    <w:p w14:paraId="3FC097FA">
      <w:pPr>
        <w:pStyle w:val="2"/>
        <w:spacing w:before="251" w:line="222" w:lineRule="auto"/>
        <w:ind w:left="1323"/>
      </w:pPr>
      <w:r>
        <w:rPr>
          <w:spacing w:val="1"/>
        </w:rPr>
        <w:t>二、2025</w:t>
      </w:r>
      <w:r>
        <w:rPr>
          <w:spacing w:val="-45"/>
        </w:rPr>
        <w:t xml:space="preserve"> </w:t>
      </w:r>
      <w:r>
        <w:rPr>
          <w:spacing w:val="1"/>
        </w:rPr>
        <w:t>年</w:t>
      </w:r>
      <w:r>
        <w:rPr>
          <w:spacing w:val="-104"/>
        </w:rPr>
        <w:t xml:space="preserve"> </w:t>
      </w:r>
      <w:r>
        <w:rPr>
          <w:spacing w:val="1"/>
        </w:rPr>
        <w:t>“</w:t>
      </w:r>
      <w:r>
        <w:rPr>
          <w:spacing w:val="-117"/>
        </w:rPr>
        <w:t xml:space="preserve"> </w:t>
      </w:r>
      <w:r>
        <w:rPr>
          <w:spacing w:val="1"/>
        </w:rPr>
        <w:t>三公”经费预算情况说明</w:t>
      </w:r>
    </w:p>
    <w:p w14:paraId="2B179DAB">
      <w:pPr>
        <w:pStyle w:val="2"/>
        <w:spacing w:before="252" w:line="222" w:lineRule="auto"/>
        <w:ind w:left="683"/>
        <w:outlineLvl w:val="1"/>
      </w:pPr>
      <w:r>
        <w:rPr>
          <w:b/>
          <w:bCs/>
          <w:spacing w:val="4"/>
        </w:rPr>
        <w:t>第四部分</w:t>
      </w:r>
      <w:r>
        <w:rPr>
          <w:spacing w:val="4"/>
        </w:rPr>
        <w:t xml:space="preserve">  </w:t>
      </w:r>
      <w:r>
        <w:rPr>
          <w:b/>
          <w:bCs/>
          <w:spacing w:val="4"/>
        </w:rPr>
        <w:t>名词解释</w:t>
      </w:r>
    </w:p>
    <w:p w14:paraId="78C32AA4">
      <w:pPr>
        <w:spacing w:line="222" w:lineRule="auto"/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6CC991FB">
      <w:pPr>
        <w:pStyle w:val="2"/>
        <w:spacing w:before="201" w:line="222" w:lineRule="auto"/>
        <w:ind w:left="2109"/>
        <w:outlineLvl w:val="1"/>
      </w:pPr>
      <w:r>
        <w:rPr>
          <w:b/>
          <w:bCs/>
          <w:spacing w:val="5"/>
        </w:rPr>
        <w:t>第一部分</w:t>
      </w:r>
      <w:r>
        <w:rPr>
          <w:spacing w:val="5"/>
        </w:rPr>
        <w:t xml:space="preserve">  </w:t>
      </w:r>
      <w:r>
        <w:rPr>
          <w:rFonts w:hint="eastAsia"/>
          <w:b/>
          <w:bCs/>
          <w:spacing w:val="5"/>
          <w:lang w:eastAsia="zh-CN"/>
        </w:rPr>
        <w:t>珠山区财政局</w:t>
      </w:r>
      <w:r>
        <w:rPr>
          <w:b/>
          <w:bCs/>
          <w:spacing w:val="5"/>
        </w:rPr>
        <w:t>概况</w:t>
      </w:r>
    </w:p>
    <w:p w14:paraId="100D74E8">
      <w:pPr>
        <w:spacing w:line="340" w:lineRule="auto"/>
        <w:rPr>
          <w:rFonts w:ascii="Arial"/>
          <w:sz w:val="21"/>
        </w:rPr>
      </w:pPr>
    </w:p>
    <w:p w14:paraId="02AC3314">
      <w:pPr>
        <w:spacing w:line="341" w:lineRule="auto"/>
        <w:rPr>
          <w:rFonts w:ascii="Arial"/>
          <w:sz w:val="21"/>
        </w:rPr>
      </w:pPr>
    </w:p>
    <w:p w14:paraId="3B1AD8DD">
      <w:pPr>
        <w:spacing w:before="101" w:line="230" w:lineRule="auto"/>
        <w:ind w:left="672"/>
        <w:outlineLvl w:val="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b/>
          <w:bCs/>
          <w:spacing w:val="5"/>
          <w:sz w:val="31"/>
          <w:szCs w:val="31"/>
        </w:rPr>
        <w:t>一、部门主要职责</w:t>
      </w:r>
    </w:p>
    <w:p w14:paraId="4523F916">
      <w:pPr>
        <w:pStyle w:val="2"/>
        <w:spacing w:before="156" w:line="372" w:lineRule="auto"/>
        <w:ind w:left="26" w:right="89" w:firstLine="657"/>
        <w:rPr>
          <w:spacing w:val="7"/>
        </w:rPr>
      </w:pPr>
      <w:r>
        <w:rPr>
          <w:rFonts w:hint="eastAsia"/>
          <w:spacing w:val="22"/>
        </w:rPr>
        <w:t>珠山区</w:t>
      </w:r>
      <w:r>
        <w:rPr>
          <w:rFonts w:hint="eastAsia"/>
          <w:spacing w:val="22"/>
          <w:lang w:eastAsia="zh-CN"/>
        </w:rPr>
        <w:t>财政局</w:t>
      </w:r>
      <w:r>
        <w:rPr>
          <w:spacing w:val="22"/>
        </w:rPr>
        <w:t>是</w:t>
      </w:r>
      <w:r>
        <w:rPr>
          <w:rFonts w:hint="eastAsia"/>
          <w:spacing w:val="22"/>
          <w:lang w:val="en-US" w:eastAsia="zh-CN"/>
        </w:rPr>
        <w:t>区</w:t>
      </w:r>
      <w:r>
        <w:rPr>
          <w:spacing w:val="22"/>
        </w:rPr>
        <w:t>人民政府组成</w:t>
      </w:r>
      <w:r>
        <w:rPr>
          <w:spacing w:val="7"/>
        </w:rPr>
        <w:t>部门，主要职责是：</w:t>
      </w:r>
    </w:p>
    <w:p w14:paraId="4E2913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6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（一）、贯彻执行党和国家关于财政、税收、国有资产、财务、会计等法律、法规，结合本区和上级财政部门的有关规定，制订全区财政、国有资产、财务、会计等方面的管理制度，并组织实施和监督检查。</w:t>
      </w:r>
    </w:p>
    <w:p w14:paraId="76199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6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(二）、编制年度区级财政预算草案，经批准后组织执行；</w:t>
      </w:r>
    </w:p>
    <w:p w14:paraId="454910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6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（三）、负责与工商、国税、地税等部门联系与沟通，及时处理有关经济、招商、税收、财政等方面的问题。</w:t>
      </w:r>
    </w:p>
    <w:p w14:paraId="4D7C7B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6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（四）、管理和指导全区会计工作；做好会计专业技术职务资格考评，办理会计从业资格证书考试、发放、年检等工作；加强全区财会人员的队伍建设，负责会计人员的继续教育，推进会计工作电算化。</w:t>
      </w:r>
    </w:p>
    <w:p w14:paraId="0AAD20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6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（五）、负责财政监督工作，组织财政综合执法检查，严肃财政纪律；加强财政内部监督，检查财政政策、法律、法规的执行情况和财政内控制度的执行情况，确保财政内部监督制约机制有效执行。</w:t>
      </w:r>
    </w:p>
    <w:p w14:paraId="300B7A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6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（六）、加强财政干部队伍建设，制订财政干部培训计划，提高财政干部的综合素质，提高财政工作的管理水平；负责财政宣传工作和财政信息管理系统建设。</w:t>
      </w:r>
    </w:p>
    <w:p w14:paraId="492C1B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6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（七）、承办区委、区政府及上级财政部门交办的其他工作。</w:t>
      </w:r>
    </w:p>
    <w:p w14:paraId="12F6BF96">
      <w:pPr>
        <w:spacing w:before="207" w:line="232" w:lineRule="auto"/>
        <w:ind w:left="668"/>
        <w:outlineLvl w:val="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b/>
          <w:bCs/>
          <w:spacing w:val="6"/>
          <w:sz w:val="31"/>
          <w:szCs w:val="31"/>
        </w:rPr>
        <w:t>二、机构设置及人员情况</w:t>
      </w:r>
    </w:p>
    <w:p w14:paraId="3C3695AD">
      <w:pPr>
        <w:ind w:firstLine="640" w:firstLineChars="200"/>
        <w:rPr>
          <w:rFonts w:ascii="仿宋_GB2312" w:hAnsi="宋体" w:eastAsia="仿宋_GB2312" w:cs="仿宋_GB2312"/>
          <w:sz w:val="32"/>
          <w:szCs w:val="32"/>
        </w:rPr>
      </w:pPr>
      <w:r>
        <w:rPr>
          <w:rFonts w:hint="eastAsia" w:ascii="仿宋_GB2312" w:hAnsi="宋体" w:eastAsia="仿宋_GB2312" w:cs="仿宋_GB2312"/>
          <w:sz w:val="32"/>
          <w:szCs w:val="32"/>
          <w:lang w:val="en-US" w:eastAsia="zh-CN"/>
        </w:rPr>
        <w:t>2025年珠山区财政局共有预算单位5个，包括部门本级及4个所属二级预算单位，分别是珠山区协税护税办公室、</w:t>
      </w:r>
      <w:bookmarkStart w:id="0" w:name="_GoBack"/>
      <w:bookmarkEnd w:id="0"/>
      <w:r>
        <w:rPr>
          <w:rFonts w:hint="eastAsia" w:ascii="仿宋_GB2312" w:hAnsi="宋体" w:eastAsia="仿宋_GB2312" w:cs="仿宋_GB2312"/>
          <w:sz w:val="32"/>
          <w:szCs w:val="32"/>
          <w:lang w:val="en-US" w:eastAsia="zh-CN"/>
        </w:rPr>
        <w:t>珠山区财政公共服务中心、珠山区国有资产管理中心、珠山区政府和社会资本合作服务中心。编制数为56人，其中：行政编制6人、机关工勤4个。实有人数56人，其中：在职56人，包括行政4人、机关工勤3人、全额事业49人；领取养老保险待遇退休22人。</w:t>
      </w:r>
    </w:p>
    <w:p w14:paraId="4C69DBA9">
      <w:pPr>
        <w:spacing w:line="242" w:lineRule="auto"/>
        <w:rPr>
          <w:rFonts w:ascii="Arial"/>
          <w:sz w:val="21"/>
        </w:rPr>
      </w:pPr>
    </w:p>
    <w:p w14:paraId="6016E691">
      <w:pPr>
        <w:pStyle w:val="2"/>
        <w:spacing w:before="101" w:line="222" w:lineRule="auto"/>
        <w:ind w:left="1002"/>
        <w:outlineLvl w:val="1"/>
        <w:rPr>
          <w:b/>
          <w:bCs/>
          <w:spacing w:val="3"/>
        </w:rPr>
      </w:pPr>
    </w:p>
    <w:p w14:paraId="77421F2E">
      <w:pPr>
        <w:pStyle w:val="2"/>
        <w:spacing w:before="101" w:line="222" w:lineRule="auto"/>
        <w:ind w:left="1002"/>
        <w:outlineLvl w:val="1"/>
        <w:rPr>
          <w:b/>
          <w:bCs/>
          <w:spacing w:val="3"/>
        </w:rPr>
      </w:pPr>
    </w:p>
    <w:p w14:paraId="080B4D73">
      <w:pPr>
        <w:pStyle w:val="2"/>
        <w:spacing w:before="101" w:line="222" w:lineRule="auto"/>
        <w:ind w:left="1002"/>
        <w:outlineLvl w:val="1"/>
        <w:rPr>
          <w:b/>
          <w:bCs/>
          <w:spacing w:val="3"/>
        </w:rPr>
      </w:pPr>
    </w:p>
    <w:p w14:paraId="5653A18D">
      <w:pPr>
        <w:pStyle w:val="2"/>
        <w:spacing w:before="101" w:line="222" w:lineRule="auto"/>
        <w:ind w:left="1002"/>
        <w:outlineLvl w:val="1"/>
        <w:rPr>
          <w:b/>
          <w:bCs/>
          <w:spacing w:val="3"/>
        </w:rPr>
      </w:pPr>
    </w:p>
    <w:p w14:paraId="3AAA2B85">
      <w:pPr>
        <w:pStyle w:val="2"/>
        <w:spacing w:before="101" w:line="222" w:lineRule="auto"/>
        <w:ind w:left="1002"/>
        <w:outlineLvl w:val="1"/>
        <w:rPr>
          <w:b/>
          <w:bCs/>
          <w:spacing w:val="3"/>
        </w:rPr>
      </w:pPr>
    </w:p>
    <w:p w14:paraId="59713893">
      <w:pPr>
        <w:pStyle w:val="2"/>
        <w:spacing w:before="101" w:line="222" w:lineRule="auto"/>
        <w:ind w:left="1002"/>
        <w:outlineLvl w:val="1"/>
        <w:rPr>
          <w:b/>
          <w:bCs/>
          <w:spacing w:val="3"/>
        </w:rPr>
      </w:pPr>
    </w:p>
    <w:p w14:paraId="2585ADA8">
      <w:pPr>
        <w:pStyle w:val="2"/>
        <w:spacing w:before="101" w:line="222" w:lineRule="auto"/>
        <w:ind w:left="1002"/>
        <w:outlineLvl w:val="1"/>
        <w:rPr>
          <w:b/>
          <w:bCs/>
          <w:spacing w:val="3"/>
        </w:rPr>
      </w:pPr>
    </w:p>
    <w:p w14:paraId="46AD1A2A">
      <w:pPr>
        <w:pStyle w:val="2"/>
        <w:spacing w:before="101" w:line="222" w:lineRule="auto"/>
        <w:ind w:left="1002"/>
        <w:outlineLvl w:val="1"/>
        <w:rPr>
          <w:b/>
          <w:bCs/>
          <w:spacing w:val="3"/>
        </w:rPr>
      </w:pPr>
    </w:p>
    <w:p w14:paraId="0700EB57">
      <w:pPr>
        <w:pStyle w:val="2"/>
        <w:spacing w:before="101" w:line="222" w:lineRule="auto"/>
        <w:ind w:left="1002"/>
        <w:outlineLvl w:val="1"/>
        <w:rPr>
          <w:b/>
          <w:bCs/>
          <w:spacing w:val="3"/>
        </w:rPr>
      </w:pPr>
    </w:p>
    <w:p w14:paraId="1D4E70BE">
      <w:pPr>
        <w:pStyle w:val="2"/>
        <w:spacing w:before="101" w:line="222" w:lineRule="auto"/>
        <w:ind w:left="1002"/>
        <w:outlineLvl w:val="1"/>
        <w:rPr>
          <w:b/>
          <w:bCs/>
          <w:spacing w:val="3"/>
        </w:rPr>
      </w:pPr>
    </w:p>
    <w:p w14:paraId="2D21582B">
      <w:pPr>
        <w:pStyle w:val="2"/>
        <w:spacing w:before="101" w:line="222" w:lineRule="auto"/>
        <w:ind w:left="1002"/>
        <w:outlineLvl w:val="1"/>
        <w:rPr>
          <w:b/>
          <w:bCs/>
          <w:spacing w:val="3"/>
        </w:rPr>
      </w:pPr>
    </w:p>
    <w:p w14:paraId="7432DBB6">
      <w:pPr>
        <w:pStyle w:val="2"/>
        <w:spacing w:before="101" w:line="222" w:lineRule="auto"/>
        <w:ind w:left="1002"/>
        <w:outlineLvl w:val="1"/>
        <w:rPr>
          <w:b/>
          <w:bCs/>
          <w:spacing w:val="3"/>
        </w:rPr>
      </w:pPr>
    </w:p>
    <w:p w14:paraId="5B27D508">
      <w:pPr>
        <w:pStyle w:val="2"/>
        <w:spacing w:before="101" w:line="222" w:lineRule="auto"/>
        <w:ind w:left="1002"/>
        <w:outlineLvl w:val="1"/>
        <w:rPr>
          <w:b/>
          <w:bCs/>
          <w:spacing w:val="3"/>
        </w:rPr>
      </w:pPr>
    </w:p>
    <w:p w14:paraId="33F09064">
      <w:pPr>
        <w:pStyle w:val="2"/>
        <w:spacing w:before="101" w:line="222" w:lineRule="auto"/>
        <w:ind w:left="1002"/>
        <w:outlineLvl w:val="1"/>
        <w:rPr>
          <w:b/>
          <w:bCs/>
          <w:spacing w:val="3"/>
        </w:rPr>
      </w:pPr>
    </w:p>
    <w:p w14:paraId="002417F9">
      <w:pPr>
        <w:pStyle w:val="2"/>
        <w:spacing w:before="101" w:line="222" w:lineRule="auto"/>
        <w:ind w:left="1002"/>
        <w:outlineLvl w:val="1"/>
        <w:rPr>
          <w:b/>
          <w:bCs/>
          <w:spacing w:val="3"/>
        </w:rPr>
      </w:pPr>
    </w:p>
    <w:p w14:paraId="13C6A69F">
      <w:pPr>
        <w:pStyle w:val="2"/>
        <w:spacing w:before="101" w:line="222" w:lineRule="auto"/>
        <w:ind w:left="1002"/>
        <w:outlineLvl w:val="1"/>
        <w:rPr>
          <w:b/>
          <w:bCs/>
          <w:spacing w:val="3"/>
        </w:rPr>
      </w:pPr>
    </w:p>
    <w:p w14:paraId="13CC4FA8">
      <w:pPr>
        <w:pStyle w:val="2"/>
        <w:spacing w:before="101" w:line="222" w:lineRule="auto"/>
        <w:ind w:left="1002"/>
        <w:outlineLvl w:val="1"/>
        <w:rPr>
          <w:b/>
          <w:bCs/>
          <w:spacing w:val="3"/>
        </w:rPr>
      </w:pPr>
    </w:p>
    <w:p w14:paraId="4DD2F785">
      <w:pPr>
        <w:pStyle w:val="2"/>
        <w:spacing w:before="101" w:line="222" w:lineRule="auto"/>
        <w:ind w:left="1002"/>
        <w:outlineLvl w:val="1"/>
        <w:rPr>
          <w:b/>
          <w:bCs/>
          <w:spacing w:val="3"/>
        </w:rPr>
      </w:pPr>
    </w:p>
    <w:p w14:paraId="5CF3A3BC">
      <w:pPr>
        <w:pStyle w:val="2"/>
        <w:spacing w:before="101" w:line="222" w:lineRule="auto"/>
        <w:ind w:left="1002"/>
        <w:outlineLvl w:val="1"/>
        <w:rPr>
          <w:b/>
          <w:bCs/>
          <w:spacing w:val="3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6C494AA7">
      <w:pPr>
        <w:pStyle w:val="2"/>
        <w:spacing w:before="101" w:line="222" w:lineRule="auto"/>
        <w:ind w:left="1002"/>
        <w:jc w:val="center"/>
        <w:outlineLvl w:val="1"/>
        <w:rPr>
          <w:b/>
          <w:bCs/>
          <w:spacing w:val="3"/>
        </w:rPr>
      </w:pPr>
      <w:r>
        <w:rPr>
          <w:b/>
          <w:bCs/>
          <w:spacing w:val="3"/>
        </w:rPr>
        <w:t>第二部分</w:t>
      </w:r>
      <w:r>
        <w:rPr>
          <w:spacing w:val="3"/>
        </w:rPr>
        <w:t xml:space="preserve">  </w:t>
      </w:r>
      <w:r>
        <w:rPr>
          <w:rFonts w:hint="eastAsia"/>
          <w:b/>
          <w:bCs/>
          <w:spacing w:val="3"/>
          <w:lang w:eastAsia="zh-CN"/>
        </w:rPr>
        <w:t>珠山区财政局</w:t>
      </w:r>
      <w:r>
        <w:rPr>
          <w:spacing w:val="-39"/>
        </w:rPr>
        <w:t xml:space="preserve"> </w:t>
      </w:r>
      <w:r>
        <w:rPr>
          <w:b/>
          <w:bCs/>
          <w:spacing w:val="3"/>
        </w:rPr>
        <w:t>2025</w:t>
      </w:r>
      <w:r>
        <w:rPr>
          <w:spacing w:val="-59"/>
        </w:rPr>
        <w:t xml:space="preserve"> </w:t>
      </w:r>
      <w:r>
        <w:rPr>
          <w:b/>
          <w:bCs/>
          <w:spacing w:val="3"/>
        </w:rPr>
        <w:t>年</w:t>
      </w:r>
      <w:r>
        <w:rPr>
          <w:rFonts w:hint="eastAsia"/>
          <w:b/>
          <w:bCs/>
          <w:spacing w:val="3"/>
          <w:lang w:eastAsia="zh-CN"/>
        </w:rPr>
        <w:t>部门预算汇总</w:t>
      </w:r>
      <w:r>
        <w:rPr>
          <w:b/>
          <w:bCs/>
          <w:spacing w:val="3"/>
        </w:rPr>
        <w:t>表</w:t>
      </w:r>
    </w:p>
    <w:p w14:paraId="20D017A2">
      <w:pPr>
        <w:pStyle w:val="2"/>
        <w:spacing w:before="101" w:line="222" w:lineRule="auto"/>
        <w:ind w:left="0" w:leftChars="0" w:firstLine="0" w:firstLineChars="0"/>
        <w:jc w:val="center"/>
        <w:outlineLvl w:val="1"/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9100820" cy="5426075"/>
            <wp:effectExtent l="0" t="0" r="5080" b="3175"/>
            <wp:docPr id="6" name="图片 6" descr="财政局部门汇总_收支预算总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财政局部门汇总_收支预算总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0082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411E0">
      <w:pPr>
        <w:spacing w:line="430" w:lineRule="auto"/>
        <w:jc w:val="center"/>
        <w:rPr>
          <w:rFonts w:hint="eastAsia" w:ascii="Arial" w:eastAsia="宋体"/>
          <w:sz w:val="21"/>
          <w:lang w:eastAsia="zh-CN"/>
        </w:rPr>
        <w:sectPr>
          <w:pgSz w:w="16839" w:h="11906" w:orient="landscape"/>
          <w:pgMar w:top="1586" w:right="1431" w:bottom="1786" w:left="1060" w:header="0" w:footer="0" w:gutter="0"/>
          <w:cols w:space="0" w:num="1"/>
          <w:rtlGutter w:val="0"/>
          <w:docGrid w:linePitch="0" w:charSpace="0"/>
        </w:sectPr>
      </w:pP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9092565" cy="4929505"/>
            <wp:effectExtent l="0" t="0" r="13335" b="4445"/>
            <wp:docPr id="10" name="图片 10" descr="财政局部门汇总_单位收入总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财政局部门汇总_单位收入总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92565" cy="492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6261735" cy="5281295"/>
            <wp:effectExtent l="0" t="0" r="5715" b="14605"/>
            <wp:docPr id="9" name="图片 9" descr="财政局部门汇总_单位支出总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财政局部门汇总_单位支出总表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528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9099550" cy="5047615"/>
            <wp:effectExtent l="0" t="0" r="6350" b="635"/>
            <wp:docPr id="11" name="图片 11" descr="财政局部门汇总_财拨收支总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财政局部门汇总_财拨收支总表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99550" cy="50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6768465" cy="5277485"/>
            <wp:effectExtent l="0" t="0" r="13335" b="18415"/>
            <wp:docPr id="4" name="图片 4" descr="财政局部门汇总_一般公共预算支出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财政局部门汇总_一般公共预算支出表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68465" cy="527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7555230" cy="5280025"/>
            <wp:effectExtent l="0" t="0" r="7620" b="15875"/>
            <wp:docPr id="5" name="图片 5" descr="财政局部门汇总_一般公共预算基本支出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财政局部门汇总_一般公共预算基本支出表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528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9090660" cy="4681855"/>
            <wp:effectExtent l="0" t="0" r="15240" b="4445"/>
            <wp:docPr id="7" name="图片 7" descr="财政局部门汇总_财政拨款三公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财政局部门汇总_财政拨款三公表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90660" cy="46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9098915" cy="2689225"/>
            <wp:effectExtent l="0" t="0" r="6985" b="15875"/>
            <wp:docPr id="1" name="图片 1" descr="财政局部门汇总_政府性基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财政局部门汇总_政府性基金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9891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9098915" cy="4085590"/>
            <wp:effectExtent l="0" t="0" r="6985" b="10160"/>
            <wp:docPr id="3" name="图片 3" descr="财政局部门汇总_国有资本经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财政局部门汇总_国有资本经营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98915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9109075" cy="5189220"/>
            <wp:effectExtent l="0" t="0" r="15875" b="11430"/>
            <wp:docPr id="2" name="图片 2" descr="财政局部门汇总_支出总表（引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财政局部门汇总_支出总表（引用）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09075" cy="518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9104630" cy="3255010"/>
            <wp:effectExtent l="0" t="0" r="1270" b="2540"/>
            <wp:docPr id="15" name="图片 15" descr="财政局部门汇总_财拨总表（引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财政局部门汇总_财拨总表（引用）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0463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805C6">
      <w:pPr>
        <w:spacing w:line="430" w:lineRule="auto"/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5286375" cy="8575040"/>
            <wp:effectExtent l="0" t="0" r="9525" b="16510"/>
            <wp:docPr id="14" name="图片 14" descr="[122][景德镇市珠山区财政局]部门整体申报表_202505301136480(1)_部门整体绩效目标申报表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[122][景德镇市珠山区财政局]部门整体申报表_202505301136480(1)_部门整体绩效目标申报表 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857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46E0F">
      <w:pPr>
        <w:pStyle w:val="2"/>
        <w:spacing w:before="216" w:line="222" w:lineRule="auto"/>
        <w:jc w:val="center"/>
        <w:outlineLvl w:val="1"/>
        <w:rPr>
          <w:b/>
          <w:bCs/>
          <w:spacing w:val="4"/>
        </w:rPr>
      </w:pP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5287010" cy="8616950"/>
            <wp:effectExtent l="0" t="0" r="8890" b="12700"/>
            <wp:docPr id="8" name="图片 8" descr="财政局 项目预算绩效目标表_202505301157510_项目支出绩效目标申报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财政局 项目预算绩效目标表_202505301157510_项目支出绩效目标申报表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861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7A8E2">
      <w:pPr>
        <w:pStyle w:val="2"/>
        <w:spacing w:before="216" w:line="222" w:lineRule="auto"/>
        <w:jc w:val="center"/>
        <w:outlineLvl w:val="1"/>
        <w:rPr>
          <w:b/>
          <w:bCs/>
          <w:spacing w:val="4"/>
        </w:rPr>
      </w:pPr>
    </w:p>
    <w:p w14:paraId="194C064E">
      <w:pPr>
        <w:pStyle w:val="2"/>
        <w:spacing w:before="216" w:line="222" w:lineRule="auto"/>
        <w:jc w:val="center"/>
        <w:outlineLvl w:val="1"/>
      </w:pPr>
      <w:r>
        <w:rPr>
          <w:b/>
          <w:bCs/>
          <w:spacing w:val="4"/>
        </w:rPr>
        <w:t>第三部分</w:t>
      </w:r>
      <w:r>
        <w:rPr>
          <w:spacing w:val="4"/>
        </w:rPr>
        <w:t xml:space="preserve">  </w:t>
      </w:r>
      <w:r>
        <w:rPr>
          <w:rFonts w:hint="eastAsia"/>
          <w:b/>
          <w:bCs/>
          <w:spacing w:val="4"/>
          <w:lang w:eastAsia="zh-CN"/>
        </w:rPr>
        <w:t>珠山区财政局</w:t>
      </w:r>
      <w:r>
        <w:rPr>
          <w:spacing w:val="-49"/>
        </w:rPr>
        <w:t xml:space="preserve"> </w:t>
      </w:r>
      <w:r>
        <w:rPr>
          <w:b/>
          <w:bCs/>
          <w:spacing w:val="4"/>
        </w:rPr>
        <w:t>2025</w:t>
      </w:r>
      <w:r>
        <w:rPr>
          <w:spacing w:val="-58"/>
        </w:rPr>
        <w:t xml:space="preserve"> </w:t>
      </w:r>
      <w:r>
        <w:rPr>
          <w:b/>
          <w:bCs/>
          <w:spacing w:val="4"/>
        </w:rPr>
        <w:t>年</w:t>
      </w:r>
      <w:r>
        <w:rPr>
          <w:rFonts w:hint="eastAsia"/>
          <w:b/>
          <w:bCs/>
          <w:spacing w:val="4"/>
          <w:lang w:eastAsia="zh-CN"/>
        </w:rPr>
        <w:t>部门预算汇总</w:t>
      </w:r>
      <w:r>
        <w:rPr>
          <w:b/>
          <w:bCs/>
          <w:spacing w:val="4"/>
        </w:rPr>
        <w:t>情况</w:t>
      </w:r>
      <w:r>
        <w:rPr>
          <w:b/>
          <w:bCs/>
          <w:spacing w:val="3"/>
        </w:rPr>
        <w:t>说明</w:t>
      </w:r>
    </w:p>
    <w:p w14:paraId="57823C89">
      <w:pPr>
        <w:rPr>
          <w:rFonts w:ascii="Arial"/>
          <w:sz w:val="21"/>
        </w:rPr>
      </w:pPr>
    </w:p>
    <w:p w14:paraId="2A2A6434">
      <w:pPr>
        <w:rPr>
          <w:rFonts w:ascii="Arial"/>
          <w:sz w:val="21"/>
        </w:rPr>
      </w:pPr>
    </w:p>
    <w:p w14:paraId="0A4F3318">
      <w:pPr>
        <w:spacing w:line="241" w:lineRule="auto"/>
        <w:rPr>
          <w:rFonts w:ascii="Arial"/>
          <w:sz w:val="21"/>
        </w:rPr>
      </w:pPr>
    </w:p>
    <w:p w14:paraId="4DF92583">
      <w:pPr>
        <w:spacing w:before="100" w:line="230" w:lineRule="auto"/>
        <w:ind w:left="672"/>
        <w:outlineLvl w:val="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b/>
          <w:bCs/>
          <w:spacing w:val="4"/>
          <w:sz w:val="31"/>
          <w:szCs w:val="31"/>
        </w:rPr>
        <w:t>一、2025</w:t>
      </w:r>
      <w:r>
        <w:rPr>
          <w:rFonts w:ascii="楷体" w:hAnsi="楷体" w:eastAsia="楷体" w:cs="楷体"/>
          <w:spacing w:val="-49"/>
          <w:sz w:val="31"/>
          <w:szCs w:val="31"/>
        </w:rPr>
        <w:t xml:space="preserve"> </w:t>
      </w:r>
      <w:r>
        <w:rPr>
          <w:rFonts w:ascii="楷体" w:hAnsi="楷体" w:eastAsia="楷体" w:cs="楷体"/>
          <w:b/>
          <w:bCs/>
          <w:spacing w:val="4"/>
          <w:sz w:val="31"/>
          <w:szCs w:val="31"/>
        </w:rPr>
        <w:t>年</w:t>
      </w:r>
      <w:r>
        <w:rPr>
          <w:rFonts w:hint="eastAsia" w:ascii="楷体" w:hAnsi="楷体" w:eastAsia="楷体" w:cs="楷体"/>
          <w:b/>
          <w:bCs/>
          <w:spacing w:val="4"/>
          <w:sz w:val="31"/>
          <w:szCs w:val="31"/>
          <w:lang w:eastAsia="zh-CN"/>
        </w:rPr>
        <w:t>部门预算汇总</w:t>
      </w:r>
      <w:r>
        <w:rPr>
          <w:rFonts w:ascii="楷体" w:hAnsi="楷体" w:eastAsia="楷体" w:cs="楷体"/>
          <w:b/>
          <w:bCs/>
          <w:spacing w:val="4"/>
          <w:sz w:val="31"/>
          <w:szCs w:val="31"/>
        </w:rPr>
        <w:t>收支情况说明</w:t>
      </w:r>
    </w:p>
    <w:p w14:paraId="0506314F">
      <w:pPr>
        <w:pStyle w:val="2"/>
        <w:spacing w:before="213" w:line="227" w:lineRule="auto"/>
        <w:ind w:left="680"/>
        <w:outlineLvl w:val="3"/>
      </w:pPr>
      <w:r>
        <w:rPr>
          <w:b/>
          <w:bCs/>
          <w:spacing w:val="4"/>
        </w:rPr>
        <w:t>（一）收入预算情况</w:t>
      </w:r>
    </w:p>
    <w:p w14:paraId="19F34D0F">
      <w:pPr>
        <w:pStyle w:val="2"/>
        <w:spacing w:before="220" w:line="357" w:lineRule="auto"/>
        <w:ind w:left="29" w:right="15" w:firstLine="650"/>
        <w:jc w:val="both"/>
      </w:pPr>
      <w:r>
        <w:rPr>
          <w:spacing w:val="11"/>
        </w:rPr>
        <w:t>2025</w:t>
      </w:r>
      <w:r>
        <w:rPr>
          <w:spacing w:val="-46"/>
        </w:rPr>
        <w:t xml:space="preserve"> </w:t>
      </w:r>
      <w:r>
        <w:rPr>
          <w:spacing w:val="11"/>
        </w:rPr>
        <w:t>年</w:t>
      </w:r>
      <w:r>
        <w:rPr>
          <w:rFonts w:hint="eastAsia"/>
          <w:spacing w:val="11"/>
          <w:lang w:eastAsia="zh-CN"/>
        </w:rPr>
        <w:t>珠山区财政局</w:t>
      </w:r>
      <w:r>
        <w:rPr>
          <w:spacing w:val="11"/>
        </w:rPr>
        <w:t>收入预算总额为</w:t>
      </w:r>
      <w:r>
        <w:rPr>
          <w:spacing w:val="-38"/>
        </w:rPr>
        <w:t xml:space="preserve"> </w:t>
      </w:r>
      <w:r>
        <w:rPr>
          <w:rFonts w:hint="eastAsia"/>
          <w:spacing w:val="11"/>
          <w:lang w:eastAsia="zh-CN"/>
        </w:rPr>
        <w:t>3739.9</w:t>
      </w:r>
      <w:r>
        <w:rPr>
          <w:spacing w:val="-32"/>
        </w:rPr>
        <w:t xml:space="preserve"> </w:t>
      </w:r>
      <w:r>
        <w:rPr>
          <w:spacing w:val="10"/>
        </w:rPr>
        <w:t>万元,</w:t>
      </w:r>
      <w:r>
        <w:t xml:space="preserve"> </w:t>
      </w:r>
      <w:r>
        <w:rPr>
          <w:spacing w:val="10"/>
        </w:rPr>
        <w:t>较上年预算安排</w:t>
      </w:r>
      <w:r>
        <w:rPr>
          <w:rFonts w:hint="eastAsia"/>
          <w:spacing w:val="10"/>
          <w:lang w:eastAsia="zh-CN"/>
        </w:rPr>
        <w:t>增加2614.73万元</w:t>
      </w:r>
      <w:r>
        <w:rPr>
          <w:spacing w:val="10"/>
        </w:rPr>
        <w:t>，主要原因是：</w:t>
      </w:r>
      <w:r>
        <w:rPr>
          <w:rFonts w:hint="eastAsia"/>
          <w:spacing w:val="10"/>
          <w:lang w:val="en-US" w:eastAsia="zh-CN"/>
        </w:rPr>
        <w:t>今年增加对龙珠公司的资本金注入预算，往年这部分预算是列入政府预算当中的，</w:t>
      </w:r>
      <w:r>
        <w:rPr>
          <w:rFonts w:hint="eastAsia"/>
          <w:spacing w:val="10"/>
          <w:lang w:eastAsia="zh-CN"/>
        </w:rPr>
        <w:t>较上年预算安排增加2614.73万元</w:t>
      </w:r>
      <w:r>
        <w:rPr>
          <w:spacing w:val="9"/>
        </w:rPr>
        <w:t>;</w:t>
      </w:r>
      <w:r>
        <w:rPr>
          <w:rFonts w:hint="eastAsia"/>
          <w:spacing w:val="9"/>
          <w:lang w:eastAsia="zh-CN"/>
        </w:rPr>
        <w:t>上年结转（结余）0万元</w:t>
      </w:r>
      <w:r>
        <w:rPr>
          <w:spacing w:val="9"/>
        </w:rPr>
        <w:t>,</w:t>
      </w:r>
      <w:r>
        <w:rPr>
          <w:rFonts w:hint="eastAsia"/>
          <w:spacing w:val="8"/>
          <w:lang w:val="en-US" w:eastAsia="zh-CN"/>
        </w:rPr>
        <w:t>与上年持平</w:t>
      </w:r>
      <w:r>
        <w:rPr>
          <w:spacing w:val="8"/>
        </w:rPr>
        <w:t>。</w:t>
      </w:r>
    </w:p>
    <w:p w14:paraId="1C114BD0">
      <w:pPr>
        <w:pStyle w:val="2"/>
        <w:spacing w:before="1" w:line="227" w:lineRule="auto"/>
        <w:ind w:left="680"/>
        <w:outlineLvl w:val="3"/>
      </w:pPr>
      <w:r>
        <w:rPr>
          <w:b/>
          <w:bCs/>
          <w:spacing w:val="4"/>
        </w:rPr>
        <w:t>（二）支出预算情况</w:t>
      </w:r>
    </w:p>
    <w:p w14:paraId="779BAD1F">
      <w:pPr>
        <w:pStyle w:val="2"/>
        <w:spacing w:before="222" w:line="357" w:lineRule="auto"/>
        <w:ind w:left="36" w:right="15" w:firstLine="643"/>
      </w:pPr>
      <w:r>
        <w:rPr>
          <w:spacing w:val="11"/>
        </w:rPr>
        <w:t>2025</w:t>
      </w:r>
      <w:r>
        <w:rPr>
          <w:spacing w:val="-46"/>
        </w:rPr>
        <w:t xml:space="preserve"> </w:t>
      </w:r>
      <w:r>
        <w:rPr>
          <w:spacing w:val="11"/>
        </w:rPr>
        <w:t>年</w:t>
      </w:r>
      <w:r>
        <w:rPr>
          <w:rFonts w:hint="eastAsia"/>
          <w:spacing w:val="11"/>
          <w:lang w:eastAsia="zh-CN"/>
        </w:rPr>
        <w:t>珠山区财政局</w:t>
      </w:r>
      <w:r>
        <w:rPr>
          <w:spacing w:val="11"/>
        </w:rPr>
        <w:t>支出预算总额为</w:t>
      </w:r>
      <w:r>
        <w:rPr>
          <w:spacing w:val="-38"/>
        </w:rPr>
        <w:t xml:space="preserve"> </w:t>
      </w:r>
      <w:r>
        <w:rPr>
          <w:rFonts w:hint="eastAsia"/>
          <w:spacing w:val="11"/>
          <w:lang w:eastAsia="zh-CN"/>
        </w:rPr>
        <w:t>3739.9</w:t>
      </w:r>
      <w:r>
        <w:rPr>
          <w:spacing w:val="-32"/>
        </w:rPr>
        <w:t xml:space="preserve"> </w:t>
      </w:r>
      <w:r>
        <w:rPr>
          <w:spacing w:val="10"/>
        </w:rPr>
        <w:t>万元,</w:t>
      </w:r>
      <w:r>
        <w:t xml:space="preserve"> </w:t>
      </w:r>
      <w:r>
        <w:rPr>
          <w:spacing w:val="3"/>
        </w:rPr>
        <w:t>较上年预算安排</w:t>
      </w:r>
      <w:r>
        <w:rPr>
          <w:rFonts w:hint="eastAsia"/>
          <w:spacing w:val="3"/>
          <w:lang w:eastAsia="zh-CN"/>
        </w:rPr>
        <w:t>增加2614.73万元</w:t>
      </w:r>
      <w:r>
        <w:rPr>
          <w:spacing w:val="3"/>
        </w:rPr>
        <w:t>。</w:t>
      </w:r>
    </w:p>
    <w:p w14:paraId="2C1899F2">
      <w:pPr>
        <w:pStyle w:val="2"/>
        <w:spacing w:before="2" w:line="357" w:lineRule="auto"/>
        <w:ind w:left="34" w:right="13" w:firstLine="634"/>
        <w:jc w:val="both"/>
      </w:pPr>
      <w:r>
        <w:rPr>
          <w:spacing w:val="5"/>
        </w:rPr>
        <w:t>按支出项目类别划分：</w:t>
      </w:r>
      <w:r>
        <w:rPr>
          <w:rFonts w:hint="eastAsia"/>
          <w:spacing w:val="5"/>
          <w:lang w:eastAsia="zh-CN"/>
        </w:rPr>
        <w:t>基本支出 913.9 万元</w:t>
      </w:r>
      <w:r>
        <w:rPr>
          <w:spacing w:val="5"/>
        </w:rPr>
        <w:t>,</w:t>
      </w:r>
      <w:r>
        <w:rPr>
          <w:rFonts w:hint="eastAsia"/>
          <w:spacing w:val="5"/>
          <w:lang w:eastAsia="zh-CN"/>
        </w:rPr>
        <w:t>较上年 预算安排减少386.17 万元</w:t>
      </w:r>
      <w:r>
        <w:rPr>
          <w:spacing w:val="4"/>
        </w:rPr>
        <w:t>;其中：</w:t>
      </w:r>
      <w:r>
        <w:rPr>
          <w:rFonts w:hint="eastAsia"/>
          <w:spacing w:val="4"/>
          <w:lang w:eastAsia="zh-CN"/>
        </w:rPr>
        <w:t xml:space="preserve">工资福利支出 </w:t>
      </w:r>
      <w:r>
        <w:rPr>
          <w:rFonts w:hint="eastAsia"/>
          <w:spacing w:val="4"/>
          <w:lang w:val="en-US" w:eastAsia="zh-CN"/>
        </w:rPr>
        <w:t>790.63</w:t>
      </w:r>
      <w:r>
        <w:rPr>
          <w:rFonts w:hint="eastAsia"/>
          <w:spacing w:val="4"/>
          <w:lang w:eastAsia="zh-CN"/>
        </w:rPr>
        <w:t>万元</w:t>
      </w:r>
      <w:r>
        <w:rPr>
          <w:spacing w:val="15"/>
        </w:rPr>
        <w:t>,</w:t>
      </w:r>
      <w:r>
        <w:rPr>
          <w:rFonts w:hint="eastAsia"/>
          <w:spacing w:val="15"/>
          <w:lang w:eastAsia="zh-CN"/>
        </w:rPr>
        <w:t>商品和服务支出 75.15 万元</w:t>
      </w:r>
      <w:r>
        <w:rPr>
          <w:spacing w:val="15"/>
        </w:rPr>
        <w:t>,对个人和家庭的补助</w:t>
      </w:r>
      <w:r>
        <w:t xml:space="preserve"> </w:t>
      </w:r>
      <w:r>
        <w:rPr>
          <w:rFonts w:hint="eastAsia"/>
          <w:spacing w:val="-1"/>
          <w:lang w:val="en-US" w:eastAsia="zh-CN"/>
        </w:rPr>
        <w:t>48.12</w:t>
      </w:r>
      <w:r>
        <w:rPr>
          <w:spacing w:val="-45"/>
        </w:rPr>
        <w:t xml:space="preserve"> </w:t>
      </w:r>
      <w:r>
        <w:rPr>
          <w:spacing w:val="-1"/>
        </w:rPr>
        <w:t>万元,资本性支出</w:t>
      </w:r>
      <w:r>
        <w:rPr>
          <w:rFonts w:hint="eastAsia"/>
          <w:spacing w:val="-36"/>
          <w:lang w:val="en-US" w:eastAsia="zh-CN"/>
        </w:rPr>
        <w:t>0</w:t>
      </w:r>
      <w:r>
        <w:rPr>
          <w:spacing w:val="-1"/>
        </w:rPr>
        <w:t>万元。</w:t>
      </w:r>
      <w:r>
        <w:rPr>
          <w:rFonts w:hint="eastAsia"/>
          <w:spacing w:val="-1"/>
          <w:lang w:eastAsia="zh-CN"/>
        </w:rPr>
        <w:t>项目支出 2816 万</w:t>
      </w:r>
      <w:r>
        <w:rPr>
          <w:spacing w:val="10"/>
        </w:rPr>
        <w:t>元,</w:t>
      </w:r>
      <w:r>
        <w:rPr>
          <w:rFonts w:hint="eastAsia"/>
          <w:spacing w:val="10"/>
          <w:lang w:eastAsia="zh-CN"/>
        </w:rPr>
        <w:t>较上年预算安排增加2400.9万元</w:t>
      </w:r>
      <w:r>
        <w:rPr>
          <w:spacing w:val="10"/>
        </w:rPr>
        <w:t>;其中：商品和服务</w:t>
      </w:r>
      <w:r>
        <w:rPr>
          <w:spacing w:val="2"/>
        </w:rPr>
        <w:t>支出</w:t>
      </w:r>
      <w:r>
        <w:rPr>
          <w:spacing w:val="-49"/>
        </w:rPr>
        <w:t xml:space="preserve"> </w:t>
      </w:r>
      <w:r>
        <w:rPr>
          <w:rFonts w:hint="eastAsia"/>
          <w:spacing w:val="2"/>
          <w:lang w:val="en-US" w:eastAsia="zh-CN"/>
        </w:rPr>
        <w:t>2816</w:t>
      </w:r>
      <w:r>
        <w:rPr>
          <w:spacing w:val="2"/>
        </w:rPr>
        <w:t>万元,资本性支出</w:t>
      </w:r>
      <w:r>
        <w:rPr>
          <w:rFonts w:hint="eastAsia"/>
          <w:spacing w:val="-48"/>
          <w:lang w:val="en-US" w:eastAsia="zh-CN"/>
        </w:rPr>
        <w:t>0</w:t>
      </w:r>
      <w:r>
        <w:rPr>
          <w:spacing w:val="1"/>
        </w:rPr>
        <w:t>万元。</w:t>
      </w:r>
    </w:p>
    <w:p w14:paraId="68026FAC">
      <w:pPr>
        <w:pStyle w:val="2"/>
        <w:spacing w:before="218" w:line="357" w:lineRule="auto"/>
        <w:ind w:left="34" w:right="16" w:firstLine="713" w:firstLineChars="215"/>
      </w:pPr>
      <w:r>
        <w:rPr>
          <w:spacing w:val="11"/>
        </w:rPr>
        <w:t>按支出功能科目划分：</w:t>
      </w:r>
      <w:r>
        <w:rPr>
          <w:rFonts w:hint="eastAsia"/>
          <w:spacing w:val="11"/>
          <w:lang w:eastAsia="zh-CN"/>
        </w:rPr>
        <w:t>一般公共服务支出1062.51万元</w:t>
      </w:r>
      <w:r>
        <w:rPr>
          <w:spacing w:val="6"/>
        </w:rPr>
        <w:t>,</w:t>
      </w:r>
      <w:r>
        <w:rPr>
          <w:rFonts w:hint="eastAsia"/>
          <w:spacing w:val="6"/>
          <w:lang w:eastAsia="zh-CN"/>
        </w:rPr>
        <w:t>较上年预算安排减少538.55万元</w:t>
      </w:r>
      <w:r>
        <w:rPr>
          <w:spacing w:val="6"/>
        </w:rPr>
        <w:t>;</w:t>
      </w:r>
      <w:r>
        <w:rPr>
          <w:rFonts w:hint="eastAsia"/>
          <w:spacing w:val="6"/>
          <w:lang w:eastAsia="zh-CN"/>
        </w:rPr>
        <w:t>社会保障和就业支出 107.32万元</w:t>
      </w:r>
      <w:r>
        <w:rPr>
          <w:spacing w:val="6"/>
        </w:rPr>
        <w:t>,</w:t>
      </w:r>
      <w:r>
        <w:rPr>
          <w:rFonts w:hint="eastAsia"/>
          <w:spacing w:val="6"/>
          <w:lang w:eastAsia="zh-CN"/>
        </w:rPr>
        <w:t>较上年预算安排增加91.98万元</w:t>
      </w:r>
      <w:r>
        <w:rPr>
          <w:spacing w:val="5"/>
        </w:rPr>
        <w:t>;</w:t>
      </w:r>
      <w:r>
        <w:rPr>
          <w:rFonts w:hint="eastAsia"/>
          <w:spacing w:val="6"/>
          <w:lang w:val="en-US" w:eastAsia="zh-CN"/>
        </w:rPr>
        <w:t>城乡社区支出2500万，较上年预算安排增加2500万；</w:t>
      </w:r>
      <w:r>
        <w:rPr>
          <w:rFonts w:hint="eastAsia"/>
          <w:spacing w:val="7"/>
          <w:lang w:eastAsia="zh-CN"/>
        </w:rPr>
        <w:t>住房保障支出61.44万元</w:t>
      </w:r>
      <w:r>
        <w:rPr>
          <w:spacing w:val="7"/>
        </w:rPr>
        <w:t>,较上年预算安排</w:t>
      </w:r>
      <w:r>
        <w:rPr>
          <w:rFonts w:hint="eastAsia"/>
          <w:spacing w:val="7"/>
          <w:lang w:val="en-US" w:eastAsia="zh-CN"/>
        </w:rPr>
        <w:t>增加48.02</w:t>
      </w:r>
      <w:r>
        <w:rPr>
          <w:spacing w:val="7"/>
        </w:rPr>
        <w:t>万元</w:t>
      </w:r>
      <w:r>
        <w:rPr>
          <w:spacing w:val="1"/>
        </w:rPr>
        <w:t>。</w:t>
      </w:r>
    </w:p>
    <w:p w14:paraId="7A2A0176">
      <w:pPr>
        <w:pStyle w:val="2"/>
        <w:spacing w:before="1" w:line="357" w:lineRule="auto"/>
        <w:ind w:left="34" w:right="13" w:firstLine="634"/>
        <w:jc w:val="both"/>
      </w:pPr>
      <w:r>
        <w:rPr>
          <w:spacing w:val="10"/>
        </w:rPr>
        <w:t>按支出经济分类划分：</w:t>
      </w:r>
      <w:r>
        <w:rPr>
          <w:rFonts w:hint="eastAsia"/>
          <w:spacing w:val="10"/>
          <w:lang w:eastAsia="zh-CN"/>
        </w:rPr>
        <w:t>工资福利支出 790.63万元</w:t>
      </w:r>
      <w:r>
        <w:rPr>
          <w:spacing w:val="10"/>
        </w:rPr>
        <w:t>,较</w:t>
      </w:r>
      <w:r>
        <w:t xml:space="preserve"> </w:t>
      </w:r>
      <w:r>
        <w:rPr>
          <w:spacing w:val="4"/>
        </w:rPr>
        <w:t>上年预算安排</w:t>
      </w:r>
      <w:r>
        <w:rPr>
          <w:rFonts w:hint="eastAsia"/>
          <w:spacing w:val="4"/>
          <w:lang w:val="en-US" w:eastAsia="zh-CN"/>
        </w:rPr>
        <w:t>增加72.92</w:t>
      </w:r>
      <w:r>
        <w:rPr>
          <w:spacing w:val="4"/>
        </w:rPr>
        <w:t>万元;</w:t>
      </w:r>
      <w:r>
        <w:rPr>
          <w:rFonts w:hint="eastAsia"/>
          <w:spacing w:val="4"/>
          <w:lang w:eastAsia="zh-CN"/>
        </w:rPr>
        <w:t>商品和服务支出2891.15 万元</w:t>
      </w:r>
      <w:r>
        <w:rPr>
          <w:spacing w:val="6"/>
        </w:rPr>
        <w:t>,较上年预算安排</w:t>
      </w:r>
      <w:r>
        <w:rPr>
          <w:rFonts w:hint="eastAsia"/>
          <w:spacing w:val="6"/>
          <w:lang w:eastAsia="zh-CN"/>
        </w:rPr>
        <w:t>增加2441.52万元</w:t>
      </w:r>
      <w:r>
        <w:rPr>
          <w:spacing w:val="6"/>
        </w:rPr>
        <w:t>;</w:t>
      </w:r>
      <w:r>
        <w:rPr>
          <w:spacing w:val="5"/>
        </w:rPr>
        <w:t>对个人和家庭的</w:t>
      </w:r>
      <w:r>
        <w:rPr>
          <w:rFonts w:hint="eastAsia"/>
          <w:spacing w:val="5"/>
          <w:lang w:eastAsia="zh-CN"/>
        </w:rPr>
        <w:t>补助48.12万元</w:t>
      </w:r>
      <w:r>
        <w:rPr>
          <w:spacing w:val="7"/>
        </w:rPr>
        <w:t>,较上年预算安排</w:t>
      </w:r>
      <w:r>
        <w:rPr>
          <w:rFonts w:hint="eastAsia"/>
          <w:spacing w:val="7"/>
          <w:lang w:eastAsia="zh-CN"/>
        </w:rPr>
        <w:t>减少9.72万元</w:t>
      </w:r>
      <w:r>
        <w:rPr>
          <w:spacing w:val="6"/>
        </w:rPr>
        <w:t>;资本性</w:t>
      </w:r>
      <w:r>
        <w:rPr>
          <w:spacing w:val="3"/>
        </w:rPr>
        <w:t>支出</w:t>
      </w:r>
      <w:r>
        <w:rPr>
          <w:rFonts w:hint="eastAsia"/>
          <w:spacing w:val="-48"/>
          <w:lang w:val="en-US" w:eastAsia="zh-CN"/>
        </w:rPr>
        <w:t>0</w:t>
      </w:r>
      <w:r>
        <w:rPr>
          <w:spacing w:val="-45"/>
        </w:rPr>
        <w:t xml:space="preserve"> </w:t>
      </w:r>
      <w:r>
        <w:rPr>
          <w:spacing w:val="3"/>
        </w:rPr>
        <w:t>万元,较上年预算安排减少</w:t>
      </w:r>
      <w:r>
        <w:rPr>
          <w:rFonts w:hint="eastAsia"/>
          <w:spacing w:val="-43"/>
          <w:lang w:val="en-US" w:eastAsia="zh-CN"/>
        </w:rPr>
        <w:t>0</w:t>
      </w:r>
      <w:r>
        <w:rPr>
          <w:spacing w:val="2"/>
        </w:rPr>
        <w:t>万元。</w:t>
      </w:r>
    </w:p>
    <w:p w14:paraId="143F7637">
      <w:pPr>
        <w:pStyle w:val="2"/>
        <w:spacing w:before="1" w:line="227" w:lineRule="auto"/>
        <w:ind w:left="838"/>
        <w:outlineLvl w:val="3"/>
      </w:pPr>
      <w:r>
        <w:rPr>
          <w:b/>
          <w:bCs/>
          <w:spacing w:val="5"/>
        </w:rPr>
        <w:t>（三）财政拨款支出情况</w:t>
      </w:r>
    </w:p>
    <w:p w14:paraId="58B9B8CF">
      <w:pPr>
        <w:pStyle w:val="2"/>
        <w:spacing w:before="219" w:line="357" w:lineRule="auto"/>
        <w:ind w:left="44" w:right="15" w:firstLine="635"/>
      </w:pPr>
      <w:r>
        <w:rPr>
          <w:spacing w:val="10"/>
        </w:rPr>
        <w:t>2025</w:t>
      </w:r>
      <w:r>
        <w:rPr>
          <w:spacing w:val="-51"/>
        </w:rPr>
        <w:t xml:space="preserve"> </w:t>
      </w:r>
      <w:r>
        <w:rPr>
          <w:spacing w:val="10"/>
        </w:rPr>
        <w:t>年</w:t>
      </w:r>
      <w:r>
        <w:rPr>
          <w:rFonts w:hint="eastAsia"/>
          <w:spacing w:val="10"/>
          <w:lang w:eastAsia="zh-CN"/>
        </w:rPr>
        <w:t>珠山区财政局</w:t>
      </w:r>
      <w:r>
        <w:rPr>
          <w:spacing w:val="10"/>
        </w:rPr>
        <w:t>财政拨款支出</w:t>
      </w:r>
      <w:r>
        <w:rPr>
          <w:rFonts w:hint="eastAsia"/>
          <w:spacing w:val="10"/>
          <w:lang w:eastAsia="zh-CN"/>
        </w:rPr>
        <w:t>预算总额3739.9万元</w:t>
      </w:r>
      <w:r>
        <w:rPr>
          <w:spacing w:val="3"/>
        </w:rPr>
        <w:t>,</w:t>
      </w:r>
      <w:r>
        <w:rPr>
          <w:rFonts w:hint="eastAsia"/>
          <w:spacing w:val="3"/>
          <w:lang w:eastAsia="zh-CN"/>
        </w:rPr>
        <w:t>较上年预算安排增加2614.73万元</w:t>
      </w:r>
      <w:r>
        <w:rPr>
          <w:spacing w:val="3"/>
        </w:rPr>
        <w:t>。</w:t>
      </w:r>
    </w:p>
    <w:p w14:paraId="54136DDF">
      <w:pPr>
        <w:pStyle w:val="2"/>
        <w:spacing w:before="1" w:line="357" w:lineRule="auto"/>
        <w:ind w:left="37" w:right="16" w:firstLine="630"/>
        <w:jc w:val="both"/>
      </w:pPr>
      <w:r>
        <w:rPr>
          <w:spacing w:val="10"/>
        </w:rPr>
        <w:t>按支出功能科目划分：</w:t>
      </w:r>
      <w:r>
        <w:rPr>
          <w:rFonts w:hint="eastAsia"/>
          <w:spacing w:val="11"/>
          <w:lang w:eastAsia="zh-CN"/>
        </w:rPr>
        <w:t>一般公共服务支出</w:t>
      </w:r>
      <w:r>
        <w:rPr>
          <w:spacing w:val="-25"/>
        </w:rPr>
        <w:t xml:space="preserve"> </w:t>
      </w:r>
      <w:r>
        <w:rPr>
          <w:rFonts w:hint="eastAsia"/>
          <w:spacing w:val="10"/>
          <w:lang w:eastAsia="zh-CN"/>
        </w:rPr>
        <w:t>1062.51</w:t>
      </w:r>
      <w:r>
        <w:rPr>
          <w:spacing w:val="-37"/>
        </w:rPr>
        <w:t xml:space="preserve"> </w:t>
      </w:r>
      <w:r>
        <w:rPr>
          <w:spacing w:val="10"/>
        </w:rPr>
        <w:t>万</w:t>
      </w:r>
      <w:r>
        <w:rPr>
          <w:spacing w:val="4"/>
        </w:rPr>
        <w:t>元,</w:t>
      </w:r>
      <w:r>
        <w:rPr>
          <w:rFonts w:hint="eastAsia"/>
          <w:spacing w:val="4"/>
          <w:lang w:eastAsia="zh-CN"/>
        </w:rPr>
        <w:t>社会保障和就业支出 107.32万元</w:t>
      </w:r>
      <w:r>
        <w:rPr>
          <w:spacing w:val="4"/>
        </w:rPr>
        <w:t>,卫生健康支出</w:t>
      </w:r>
      <w:r>
        <w:rPr>
          <w:rFonts w:hint="eastAsia"/>
          <w:spacing w:val="5"/>
          <w:lang w:eastAsia="zh-CN"/>
        </w:rPr>
        <w:t>12.13</w:t>
      </w:r>
      <w:r>
        <w:rPr>
          <w:spacing w:val="2"/>
        </w:rPr>
        <w:t>万元,</w:t>
      </w:r>
      <w:r>
        <w:rPr>
          <w:rFonts w:hint="eastAsia"/>
          <w:spacing w:val="6"/>
          <w:lang w:val="en-US" w:eastAsia="zh-CN"/>
        </w:rPr>
        <w:t>城乡社区支出2500万，</w:t>
      </w:r>
      <w:r>
        <w:rPr>
          <w:spacing w:val="2"/>
        </w:rPr>
        <w:t>住房保障支出</w:t>
      </w:r>
      <w:r>
        <w:rPr>
          <w:rFonts w:hint="eastAsia"/>
          <w:spacing w:val="7"/>
          <w:lang w:eastAsia="zh-CN"/>
        </w:rPr>
        <w:t>61.44</w:t>
      </w:r>
      <w:r>
        <w:rPr>
          <w:spacing w:val="-47"/>
        </w:rPr>
        <w:t xml:space="preserve"> </w:t>
      </w:r>
      <w:r>
        <w:rPr>
          <w:spacing w:val="2"/>
        </w:rPr>
        <w:t>万元。</w:t>
      </w:r>
    </w:p>
    <w:p w14:paraId="0F267818">
      <w:pPr>
        <w:pStyle w:val="2"/>
        <w:spacing w:before="2" w:line="357" w:lineRule="auto"/>
        <w:ind w:left="34" w:right="13" w:firstLine="634"/>
        <w:jc w:val="both"/>
      </w:pPr>
      <w:r>
        <w:rPr>
          <w:spacing w:val="5"/>
        </w:rPr>
        <w:t>按支出项目类别划分：基本支出</w:t>
      </w:r>
      <w:r>
        <w:rPr>
          <w:spacing w:val="-38"/>
        </w:rPr>
        <w:t xml:space="preserve"> </w:t>
      </w:r>
      <w:r>
        <w:rPr>
          <w:rFonts w:hint="eastAsia"/>
          <w:spacing w:val="5"/>
          <w:lang w:eastAsia="zh-CN"/>
        </w:rPr>
        <w:t>913.9</w:t>
      </w:r>
      <w:r>
        <w:rPr>
          <w:spacing w:val="-47"/>
        </w:rPr>
        <w:t xml:space="preserve"> </w:t>
      </w:r>
      <w:r>
        <w:rPr>
          <w:spacing w:val="5"/>
        </w:rPr>
        <w:t>万元,较上年</w:t>
      </w:r>
      <w:r>
        <w:t xml:space="preserve"> </w:t>
      </w:r>
      <w:r>
        <w:rPr>
          <w:spacing w:val="4"/>
        </w:rPr>
        <w:t>预算安排</w:t>
      </w:r>
      <w:r>
        <w:rPr>
          <w:rFonts w:hint="eastAsia"/>
          <w:spacing w:val="5"/>
          <w:lang w:eastAsia="zh-CN"/>
        </w:rPr>
        <w:t>减少386.17万元</w:t>
      </w:r>
      <w:r>
        <w:rPr>
          <w:spacing w:val="4"/>
        </w:rPr>
        <w:t>;其中：</w:t>
      </w:r>
      <w:r>
        <w:rPr>
          <w:rFonts w:hint="eastAsia"/>
          <w:spacing w:val="4"/>
          <w:lang w:eastAsia="zh-CN"/>
        </w:rPr>
        <w:t xml:space="preserve">工资福利支出 </w:t>
      </w:r>
      <w:r>
        <w:rPr>
          <w:rFonts w:hint="eastAsia"/>
          <w:spacing w:val="4"/>
          <w:lang w:val="en-US" w:eastAsia="zh-CN"/>
        </w:rPr>
        <w:t>790.63</w:t>
      </w:r>
      <w:r>
        <w:rPr>
          <w:rFonts w:hint="eastAsia"/>
          <w:spacing w:val="4"/>
          <w:lang w:eastAsia="zh-CN"/>
        </w:rPr>
        <w:t>万元</w:t>
      </w:r>
      <w:r>
        <w:rPr>
          <w:spacing w:val="15"/>
        </w:rPr>
        <w:t>,</w:t>
      </w:r>
      <w:r>
        <w:rPr>
          <w:rFonts w:hint="eastAsia"/>
          <w:spacing w:val="15"/>
          <w:lang w:eastAsia="zh-CN"/>
        </w:rPr>
        <w:t>商品和服务支出 75.15 万元</w:t>
      </w:r>
      <w:r>
        <w:rPr>
          <w:spacing w:val="15"/>
        </w:rPr>
        <w:t>,对个人和家庭的补助</w:t>
      </w:r>
      <w:r>
        <w:t xml:space="preserve"> </w:t>
      </w:r>
      <w:r>
        <w:rPr>
          <w:rFonts w:hint="eastAsia"/>
          <w:spacing w:val="-1"/>
          <w:lang w:val="en-US" w:eastAsia="zh-CN"/>
        </w:rPr>
        <w:t>48.12</w:t>
      </w:r>
      <w:r>
        <w:rPr>
          <w:spacing w:val="-45"/>
        </w:rPr>
        <w:t xml:space="preserve"> </w:t>
      </w:r>
      <w:r>
        <w:rPr>
          <w:spacing w:val="-1"/>
        </w:rPr>
        <w:t>万元,资本性支出</w:t>
      </w:r>
      <w:r>
        <w:rPr>
          <w:rFonts w:hint="eastAsia"/>
          <w:spacing w:val="-36"/>
          <w:lang w:val="en-US" w:eastAsia="zh-CN"/>
        </w:rPr>
        <w:t>0</w:t>
      </w:r>
      <w:r>
        <w:rPr>
          <w:spacing w:val="-1"/>
        </w:rPr>
        <w:t>万元。</w:t>
      </w:r>
      <w:r>
        <w:rPr>
          <w:rFonts w:hint="eastAsia"/>
          <w:spacing w:val="-1"/>
          <w:lang w:eastAsia="zh-CN"/>
        </w:rPr>
        <w:t>项目支出 2816 万</w:t>
      </w:r>
      <w:r>
        <w:rPr>
          <w:spacing w:val="10"/>
        </w:rPr>
        <w:t>元,</w:t>
      </w:r>
      <w:r>
        <w:rPr>
          <w:rFonts w:hint="eastAsia"/>
          <w:spacing w:val="10"/>
          <w:lang w:eastAsia="zh-CN"/>
        </w:rPr>
        <w:t>较上年预算安排增加2400.9万元</w:t>
      </w:r>
      <w:r>
        <w:rPr>
          <w:spacing w:val="10"/>
        </w:rPr>
        <w:t>;其中：商品和服务</w:t>
      </w:r>
      <w:r>
        <w:rPr>
          <w:spacing w:val="2"/>
        </w:rPr>
        <w:t>支出</w:t>
      </w:r>
      <w:r>
        <w:rPr>
          <w:spacing w:val="-49"/>
        </w:rPr>
        <w:t xml:space="preserve"> </w:t>
      </w:r>
      <w:r>
        <w:rPr>
          <w:rFonts w:hint="eastAsia"/>
          <w:spacing w:val="2"/>
          <w:lang w:val="en-US" w:eastAsia="zh-CN"/>
        </w:rPr>
        <w:t>320.1</w:t>
      </w:r>
      <w:r>
        <w:rPr>
          <w:spacing w:val="2"/>
        </w:rPr>
        <w:t>万元,资本性支出</w:t>
      </w:r>
      <w:r>
        <w:rPr>
          <w:rFonts w:hint="eastAsia"/>
          <w:spacing w:val="-48"/>
          <w:lang w:val="en-US" w:eastAsia="zh-CN"/>
        </w:rPr>
        <w:t>0</w:t>
      </w:r>
      <w:r>
        <w:rPr>
          <w:spacing w:val="1"/>
        </w:rPr>
        <w:t>万元。</w:t>
      </w:r>
      <w:r>
        <w:rPr>
          <w:spacing w:val="-1"/>
        </w:rPr>
        <w:t>项目支出</w:t>
      </w:r>
      <w:r>
        <w:rPr>
          <w:spacing w:val="-41"/>
        </w:rPr>
        <w:t xml:space="preserve"> </w:t>
      </w:r>
      <w:r>
        <w:rPr>
          <w:rFonts w:hint="eastAsia"/>
          <w:spacing w:val="-1"/>
          <w:lang w:eastAsia="zh-CN"/>
        </w:rPr>
        <w:t>2816</w:t>
      </w:r>
      <w:r>
        <w:rPr>
          <w:spacing w:val="-47"/>
        </w:rPr>
        <w:t xml:space="preserve"> </w:t>
      </w:r>
      <w:r>
        <w:rPr>
          <w:spacing w:val="-1"/>
        </w:rPr>
        <w:t>万</w:t>
      </w:r>
      <w:r>
        <w:t xml:space="preserve"> </w:t>
      </w:r>
      <w:r>
        <w:rPr>
          <w:spacing w:val="10"/>
        </w:rPr>
        <w:t>元,较上年预算安排</w:t>
      </w:r>
      <w:r>
        <w:rPr>
          <w:rFonts w:hint="eastAsia"/>
          <w:spacing w:val="10"/>
          <w:lang w:eastAsia="zh-CN"/>
        </w:rPr>
        <w:t>增加2400.9万元</w:t>
      </w:r>
      <w:r>
        <w:rPr>
          <w:spacing w:val="10"/>
        </w:rPr>
        <w:t>;其中：商品和服务</w:t>
      </w:r>
      <w:r>
        <w:rPr>
          <w:spacing w:val="2"/>
        </w:rPr>
        <w:t>支出</w:t>
      </w:r>
      <w:r>
        <w:rPr>
          <w:spacing w:val="-49"/>
        </w:rPr>
        <w:t xml:space="preserve"> </w:t>
      </w:r>
      <w:r>
        <w:rPr>
          <w:rFonts w:hint="eastAsia"/>
          <w:spacing w:val="2"/>
          <w:lang w:val="en-US" w:eastAsia="zh-CN"/>
        </w:rPr>
        <w:t>320.1</w:t>
      </w:r>
      <w:r>
        <w:rPr>
          <w:spacing w:val="2"/>
        </w:rPr>
        <w:t>万元,资本性支出</w:t>
      </w:r>
      <w:r>
        <w:rPr>
          <w:rFonts w:hint="eastAsia"/>
          <w:spacing w:val="-48"/>
          <w:lang w:val="en-US" w:eastAsia="zh-CN"/>
        </w:rPr>
        <w:t>0</w:t>
      </w:r>
      <w:r>
        <w:rPr>
          <w:spacing w:val="1"/>
        </w:rPr>
        <w:t>万元。</w:t>
      </w:r>
    </w:p>
    <w:p w14:paraId="242AC0F6">
      <w:pPr>
        <w:pStyle w:val="2"/>
        <w:spacing w:before="1" w:line="225" w:lineRule="auto"/>
        <w:ind w:left="680"/>
        <w:outlineLvl w:val="3"/>
      </w:pPr>
      <w:r>
        <w:rPr>
          <w:b/>
          <w:bCs/>
          <w:spacing w:val="5"/>
        </w:rPr>
        <w:t>（四）政府性基金情况</w:t>
      </w:r>
    </w:p>
    <w:p w14:paraId="702060F6">
      <w:pPr>
        <w:pStyle w:val="2"/>
        <w:spacing w:before="223" w:line="220" w:lineRule="auto"/>
        <w:ind w:left="667"/>
      </w:pPr>
      <w:r>
        <w:rPr>
          <w:spacing w:val="9"/>
        </w:rPr>
        <w:t>本部门没有使用政府性基金预算拨款安排的支</w:t>
      </w:r>
      <w:r>
        <w:rPr>
          <w:spacing w:val="8"/>
        </w:rPr>
        <w:t>出。</w:t>
      </w:r>
    </w:p>
    <w:p w14:paraId="14262B35">
      <w:pPr>
        <w:pStyle w:val="2"/>
        <w:spacing w:before="228" w:line="228" w:lineRule="auto"/>
        <w:ind w:left="680"/>
        <w:outlineLvl w:val="3"/>
      </w:pPr>
      <w:r>
        <w:rPr>
          <w:b/>
          <w:bCs/>
          <w:spacing w:val="-1"/>
        </w:rPr>
        <w:t>（五）</w:t>
      </w:r>
      <w:r>
        <w:rPr>
          <w:spacing w:val="-84"/>
        </w:rPr>
        <w:t xml:space="preserve"> </w:t>
      </w:r>
      <w:r>
        <w:rPr>
          <w:b/>
          <w:bCs/>
          <w:spacing w:val="-1"/>
        </w:rPr>
        <w:t>国有资本经营情况</w:t>
      </w:r>
    </w:p>
    <w:p w14:paraId="46929999">
      <w:pPr>
        <w:pStyle w:val="2"/>
        <w:spacing w:before="219" w:line="222" w:lineRule="auto"/>
        <w:ind w:left="667"/>
      </w:pPr>
      <w:r>
        <w:rPr>
          <w:spacing w:val="9"/>
        </w:rPr>
        <w:t>本部门没有使用国有资本经营预算拨款安排的支</w:t>
      </w:r>
      <w:r>
        <w:rPr>
          <w:spacing w:val="8"/>
        </w:rPr>
        <w:t>出。</w:t>
      </w:r>
    </w:p>
    <w:p w14:paraId="282286BF">
      <w:pPr>
        <w:spacing w:line="222" w:lineRule="auto"/>
        <w:sectPr>
          <w:pgSz w:w="11906" w:h="16839"/>
          <w:pgMar w:top="1429" w:right="1786" w:bottom="0" w:left="1786" w:header="0" w:footer="0" w:gutter="0"/>
          <w:cols w:space="0" w:num="1"/>
          <w:rtlGutter w:val="0"/>
          <w:docGrid w:linePitch="0" w:charSpace="0"/>
        </w:sectPr>
      </w:pPr>
    </w:p>
    <w:p w14:paraId="6FBE2B1F">
      <w:pPr>
        <w:pStyle w:val="2"/>
        <w:spacing w:before="216" w:line="226" w:lineRule="auto"/>
        <w:ind w:left="680"/>
        <w:outlineLvl w:val="3"/>
      </w:pPr>
      <w:r>
        <w:rPr>
          <w:b/>
          <w:bCs/>
          <w:spacing w:val="6"/>
        </w:rPr>
        <w:t>（六）机关运行经费等重要事项的说明</w:t>
      </w:r>
    </w:p>
    <w:p w14:paraId="14EF5069">
      <w:pPr>
        <w:pStyle w:val="2"/>
        <w:spacing w:before="220" w:line="357" w:lineRule="auto"/>
        <w:ind w:left="36" w:right="81" w:firstLine="643"/>
      </w:pPr>
      <w:r>
        <w:t>2025</w:t>
      </w:r>
      <w:r>
        <w:rPr>
          <w:spacing w:val="-52"/>
        </w:rPr>
        <w:t xml:space="preserve"> </w:t>
      </w:r>
      <w:r>
        <w:t>年部门机关运行费预算</w:t>
      </w:r>
      <w:r>
        <w:rPr>
          <w:rFonts w:hint="eastAsia"/>
          <w:spacing w:val="-48"/>
          <w:lang w:val="en-US" w:eastAsia="zh-CN"/>
        </w:rPr>
        <w:t>75.15</w:t>
      </w:r>
      <w:r>
        <w:rPr>
          <w:spacing w:val="-45"/>
        </w:rPr>
        <w:t xml:space="preserve"> </w:t>
      </w:r>
      <w:r>
        <w:t>万元，</w:t>
      </w:r>
      <w:r>
        <w:rPr>
          <w:spacing w:val="-82"/>
        </w:rPr>
        <w:t xml:space="preserve"> </w:t>
      </w:r>
      <w:r>
        <w:t>比</w:t>
      </w:r>
      <w:r>
        <w:rPr>
          <w:spacing w:val="-48"/>
        </w:rPr>
        <w:t xml:space="preserve"> </w:t>
      </w:r>
      <w:r>
        <w:t>2024</w:t>
      </w:r>
      <w:r>
        <w:rPr>
          <w:spacing w:val="-58"/>
        </w:rPr>
        <w:t xml:space="preserve"> </w:t>
      </w:r>
      <w:r>
        <w:t>年预 算</w:t>
      </w:r>
      <w:r>
        <w:rPr>
          <w:rFonts w:hint="eastAsia"/>
          <w:lang w:val="en-US" w:eastAsia="zh-CN"/>
        </w:rPr>
        <w:t>增加50.62</w:t>
      </w:r>
      <w:r>
        <w:t>万元，</w:t>
      </w:r>
      <w:r>
        <w:rPr>
          <w:rFonts w:hint="eastAsia"/>
          <w:lang w:val="en-US" w:eastAsia="zh-CN"/>
        </w:rPr>
        <w:t>增长206.35</w:t>
      </w:r>
      <w:r>
        <w:t>%。</w:t>
      </w:r>
    </w:p>
    <w:p w14:paraId="45C06724">
      <w:pPr>
        <w:pStyle w:val="2"/>
        <w:spacing w:before="1" w:line="227" w:lineRule="auto"/>
        <w:ind w:left="680"/>
        <w:outlineLvl w:val="3"/>
      </w:pPr>
      <w:r>
        <w:rPr>
          <w:b/>
          <w:bCs/>
          <w:spacing w:val="4"/>
        </w:rPr>
        <w:t>（七）政府采购情况</w:t>
      </w:r>
    </w:p>
    <w:p w14:paraId="43C3A2DE">
      <w:pPr>
        <w:pStyle w:val="2"/>
        <w:spacing w:before="219" w:line="357" w:lineRule="auto"/>
        <w:ind w:left="26" w:right="15" w:firstLine="653"/>
        <w:jc w:val="both"/>
      </w:pPr>
      <w:r>
        <w:rPr>
          <w:spacing w:val="10"/>
        </w:rPr>
        <w:t>2025</w:t>
      </w:r>
      <w:r>
        <w:rPr>
          <w:spacing w:val="-31"/>
        </w:rPr>
        <w:t xml:space="preserve"> </w:t>
      </w:r>
      <w:r>
        <w:rPr>
          <w:spacing w:val="10"/>
        </w:rPr>
        <w:t>年部门所属各单位政府采购总额</w:t>
      </w:r>
      <w:r>
        <w:rPr>
          <w:rFonts w:hint="eastAsia"/>
          <w:spacing w:val="-29"/>
          <w:lang w:val="en-US" w:eastAsia="zh-CN"/>
        </w:rPr>
        <w:t>10.5</w:t>
      </w:r>
      <w:r>
        <w:rPr>
          <w:spacing w:val="10"/>
        </w:rPr>
        <w:t>万元,</w:t>
      </w:r>
      <w:r>
        <w:t xml:space="preserve"> </w:t>
      </w:r>
      <w:r>
        <w:rPr>
          <w:spacing w:val="6"/>
        </w:rPr>
        <w:t>其中: 政府采购货物预算</w:t>
      </w:r>
      <w:r>
        <w:rPr>
          <w:rFonts w:hint="eastAsia"/>
          <w:spacing w:val="-47"/>
          <w:lang w:val="en-US" w:eastAsia="zh-CN"/>
        </w:rPr>
        <w:t>7.5</w:t>
      </w:r>
      <w:r>
        <w:rPr>
          <w:spacing w:val="5"/>
        </w:rPr>
        <w:t>万元, 政府采购工程预算</w:t>
      </w:r>
      <w:r>
        <w:rPr>
          <w:rFonts w:hint="eastAsia"/>
          <w:lang w:val="en-US" w:eastAsia="zh-CN"/>
        </w:rPr>
        <w:t>0</w:t>
      </w:r>
      <w:r>
        <w:rPr>
          <w:spacing w:val="3"/>
        </w:rPr>
        <w:t>万元, 政府采购服务预算</w:t>
      </w:r>
      <w:r>
        <w:rPr>
          <w:rFonts w:hint="eastAsia"/>
          <w:spacing w:val="-40"/>
          <w:lang w:val="en-US" w:eastAsia="zh-CN"/>
        </w:rPr>
        <w:t>2.5</w:t>
      </w:r>
      <w:r>
        <w:rPr>
          <w:spacing w:val="3"/>
        </w:rPr>
        <w:t>万</w:t>
      </w:r>
      <w:r>
        <w:rPr>
          <w:spacing w:val="2"/>
        </w:rPr>
        <w:t>元。</w:t>
      </w:r>
    </w:p>
    <w:p w14:paraId="753F57DE">
      <w:pPr>
        <w:pStyle w:val="2"/>
        <w:spacing w:before="1" w:line="227" w:lineRule="auto"/>
        <w:ind w:left="1041"/>
        <w:outlineLvl w:val="3"/>
      </w:pPr>
      <w:r>
        <w:rPr>
          <w:b/>
          <w:bCs/>
          <w:spacing w:val="1"/>
        </w:rPr>
        <w:t>(八)国有资产占有使用情况</w:t>
      </w:r>
    </w:p>
    <w:p w14:paraId="460A05E4">
      <w:pPr>
        <w:pStyle w:val="2"/>
        <w:spacing w:before="218" w:line="357" w:lineRule="auto"/>
        <w:ind w:left="30" w:right="16" w:firstLine="642"/>
      </w:pPr>
      <w:r>
        <w:rPr>
          <w:spacing w:val="-3"/>
        </w:rPr>
        <w:t>截至</w:t>
      </w:r>
      <w:r>
        <w:rPr>
          <w:spacing w:val="-36"/>
        </w:rPr>
        <w:t xml:space="preserve"> </w:t>
      </w:r>
      <w:r>
        <w:rPr>
          <w:spacing w:val="-3"/>
        </w:rPr>
        <w:t>202</w:t>
      </w:r>
      <w:r>
        <w:rPr>
          <w:rFonts w:hint="eastAsia"/>
          <w:spacing w:val="-3"/>
          <w:lang w:val="en-US" w:eastAsia="zh-CN"/>
        </w:rPr>
        <w:t>4</w:t>
      </w:r>
      <w:r>
        <w:rPr>
          <w:spacing w:val="-3"/>
        </w:rPr>
        <w:t>年</w:t>
      </w:r>
      <w:r>
        <w:rPr>
          <w:rFonts w:hint="eastAsia"/>
          <w:spacing w:val="-48"/>
          <w:lang w:val="en-US" w:eastAsia="zh-CN"/>
        </w:rPr>
        <w:t>12</w:t>
      </w:r>
      <w:r>
        <w:rPr>
          <w:spacing w:val="-46"/>
        </w:rPr>
        <w:t xml:space="preserve"> </w:t>
      </w:r>
      <w:r>
        <w:rPr>
          <w:spacing w:val="-3"/>
        </w:rPr>
        <w:t>月</w:t>
      </w:r>
      <w:r>
        <w:rPr>
          <w:spacing w:val="-36"/>
        </w:rPr>
        <w:t xml:space="preserve"> </w:t>
      </w:r>
      <w:r>
        <w:rPr>
          <w:spacing w:val="-3"/>
        </w:rPr>
        <w:t>31 日, 部门共有车辆</w:t>
      </w:r>
      <w:r>
        <w:rPr>
          <w:rFonts w:hint="eastAsia"/>
          <w:spacing w:val="-41"/>
          <w:lang w:val="en-US" w:eastAsia="zh-CN"/>
        </w:rPr>
        <w:t>0</w:t>
      </w:r>
      <w:r>
        <w:rPr>
          <w:spacing w:val="-3"/>
        </w:rPr>
        <w:t>辆</w:t>
      </w:r>
      <w:r>
        <w:rPr>
          <w:spacing w:val="10"/>
        </w:rPr>
        <w:t>。</w:t>
      </w:r>
    </w:p>
    <w:p w14:paraId="386CFA0C">
      <w:pPr>
        <w:pStyle w:val="2"/>
        <w:spacing w:before="1" w:line="357" w:lineRule="auto"/>
        <w:ind w:left="26" w:right="16" w:firstLine="653"/>
      </w:pPr>
      <w:r>
        <w:rPr>
          <w:spacing w:val="2"/>
        </w:rPr>
        <w:t>2025</w:t>
      </w:r>
      <w:r>
        <w:rPr>
          <w:spacing w:val="-58"/>
        </w:rPr>
        <w:t xml:space="preserve"> </w:t>
      </w:r>
      <w:r>
        <w:rPr>
          <w:spacing w:val="2"/>
        </w:rPr>
        <w:t>年</w:t>
      </w:r>
      <w:r>
        <w:rPr>
          <w:rFonts w:hint="eastAsia"/>
          <w:spacing w:val="2"/>
          <w:lang w:eastAsia="zh-CN"/>
        </w:rPr>
        <w:t>部门预算汇总</w:t>
      </w:r>
      <w:r>
        <w:rPr>
          <w:spacing w:val="2"/>
        </w:rPr>
        <w:t>安排购置车辆</w:t>
      </w:r>
      <w:r>
        <w:rPr>
          <w:spacing w:val="-38"/>
        </w:rPr>
        <w:t xml:space="preserve"> </w:t>
      </w:r>
      <w:r>
        <w:rPr>
          <w:spacing w:val="2"/>
        </w:rPr>
        <w:t>0</w:t>
      </w:r>
      <w:r>
        <w:rPr>
          <w:spacing w:val="-62"/>
        </w:rPr>
        <w:t xml:space="preserve"> </w:t>
      </w:r>
      <w:r>
        <w:rPr>
          <w:spacing w:val="2"/>
        </w:rPr>
        <w:t>辆，未</w:t>
      </w:r>
      <w:r>
        <w:rPr>
          <w:spacing w:val="1"/>
        </w:rPr>
        <w:t>安排购置单位价</w:t>
      </w:r>
      <w:r>
        <w:t xml:space="preserve"> </w:t>
      </w:r>
      <w:r>
        <w:rPr>
          <w:spacing w:val="2"/>
        </w:rPr>
        <w:t>值</w:t>
      </w:r>
      <w:r>
        <w:rPr>
          <w:spacing w:val="-42"/>
        </w:rPr>
        <w:t xml:space="preserve"> </w:t>
      </w:r>
      <w:r>
        <w:rPr>
          <w:spacing w:val="2"/>
        </w:rPr>
        <w:t>200</w:t>
      </w:r>
      <w:r>
        <w:rPr>
          <w:spacing w:val="-45"/>
        </w:rPr>
        <w:t xml:space="preserve"> </w:t>
      </w:r>
      <w:r>
        <w:rPr>
          <w:spacing w:val="2"/>
        </w:rPr>
        <w:t>万元以上大型设备。</w:t>
      </w:r>
    </w:p>
    <w:p w14:paraId="31C3585A">
      <w:pPr>
        <w:spacing w:before="225" w:line="231" w:lineRule="auto"/>
        <w:ind w:left="668"/>
        <w:outlineLvl w:val="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b/>
          <w:bCs/>
          <w:spacing w:val="5"/>
          <w:sz w:val="31"/>
          <w:szCs w:val="31"/>
        </w:rPr>
        <w:t>二、2025</w:t>
      </w:r>
      <w:r>
        <w:rPr>
          <w:rFonts w:ascii="楷体" w:hAnsi="楷体" w:eastAsia="楷体" w:cs="楷体"/>
          <w:spacing w:val="-49"/>
          <w:sz w:val="31"/>
          <w:szCs w:val="31"/>
        </w:rPr>
        <w:t xml:space="preserve"> </w:t>
      </w:r>
      <w:r>
        <w:rPr>
          <w:rFonts w:ascii="楷体" w:hAnsi="楷体" w:eastAsia="楷体" w:cs="楷体"/>
          <w:b/>
          <w:bCs/>
          <w:spacing w:val="5"/>
          <w:sz w:val="31"/>
          <w:szCs w:val="31"/>
        </w:rPr>
        <w:t>年财政拨款“三公</w:t>
      </w:r>
      <w:r>
        <w:rPr>
          <w:rFonts w:ascii="Calibri" w:hAnsi="Calibri" w:eastAsia="Calibri" w:cs="Calibri"/>
          <w:b/>
          <w:bCs/>
          <w:spacing w:val="5"/>
          <w:sz w:val="31"/>
          <w:szCs w:val="31"/>
        </w:rPr>
        <w:t>”</w:t>
      </w:r>
      <w:r>
        <w:rPr>
          <w:rFonts w:ascii="楷体" w:hAnsi="楷体" w:eastAsia="楷体" w:cs="楷体"/>
          <w:b/>
          <w:bCs/>
          <w:spacing w:val="5"/>
          <w:sz w:val="31"/>
          <w:szCs w:val="31"/>
        </w:rPr>
        <w:t>经费预算情况说明</w:t>
      </w:r>
    </w:p>
    <w:p w14:paraId="6B38EDF9">
      <w:pPr>
        <w:pStyle w:val="2"/>
        <w:spacing w:before="214" w:line="357" w:lineRule="auto"/>
        <w:ind w:left="37" w:right="16" w:firstLine="642"/>
      </w:pPr>
      <w:r>
        <w:rPr>
          <w:spacing w:val="10"/>
        </w:rPr>
        <w:t>2025</w:t>
      </w:r>
      <w:r>
        <w:rPr>
          <w:spacing w:val="-91"/>
        </w:rPr>
        <w:t xml:space="preserve"> </w:t>
      </w:r>
      <w:r>
        <w:rPr>
          <w:spacing w:val="10"/>
        </w:rPr>
        <w:t>年</w:t>
      </w:r>
      <w:r>
        <w:rPr>
          <w:rFonts w:hint="eastAsia"/>
          <w:spacing w:val="10"/>
          <w:lang w:eastAsia="zh-CN"/>
        </w:rPr>
        <w:t>珠山区财政局</w:t>
      </w:r>
      <w:r>
        <w:rPr>
          <w:spacing w:val="10"/>
        </w:rPr>
        <w:t>财政拨款"三公"经费安排</w:t>
      </w:r>
      <w:r>
        <w:rPr>
          <w:rFonts w:hint="eastAsia"/>
          <w:spacing w:val="10"/>
          <w:lang w:eastAsia="zh-CN"/>
        </w:rPr>
        <w:t>5.33</w:t>
      </w:r>
      <w:r>
        <w:rPr>
          <w:spacing w:val="9"/>
        </w:rPr>
        <w:t>万</w:t>
      </w:r>
      <w:r>
        <w:t xml:space="preserve"> </w:t>
      </w:r>
      <w:r>
        <w:rPr>
          <w:spacing w:val="3"/>
        </w:rPr>
        <w:t>元，其中：</w:t>
      </w:r>
    </w:p>
    <w:p w14:paraId="2491A7BC">
      <w:pPr>
        <w:pStyle w:val="2"/>
        <w:spacing w:before="3" w:line="357" w:lineRule="auto"/>
        <w:ind w:left="18" w:right="13" w:firstLine="687"/>
      </w:pPr>
      <w:r>
        <w:rPr>
          <w:spacing w:val="3"/>
        </w:rPr>
        <w:t>因公出国</w:t>
      </w:r>
      <w:r>
        <w:rPr>
          <w:spacing w:val="-28"/>
        </w:rPr>
        <w:t xml:space="preserve"> </w:t>
      </w:r>
      <w:r>
        <w:rPr>
          <w:spacing w:val="3"/>
        </w:rPr>
        <w:t>0</w:t>
      </w:r>
      <w:r>
        <w:rPr>
          <w:spacing w:val="-40"/>
        </w:rPr>
        <w:t xml:space="preserve"> </w:t>
      </w:r>
      <w:r>
        <w:rPr>
          <w:spacing w:val="3"/>
        </w:rPr>
        <w:t>万元,</w:t>
      </w:r>
      <w:r>
        <w:rPr>
          <w:spacing w:val="-87"/>
        </w:rPr>
        <w:t xml:space="preserve"> </w:t>
      </w:r>
      <w:r>
        <w:rPr>
          <w:spacing w:val="3"/>
        </w:rPr>
        <w:t>比上年减</w:t>
      </w:r>
      <w:r>
        <w:rPr>
          <w:rFonts w:hint="eastAsia"/>
          <w:spacing w:val="-39"/>
          <w:lang w:val="en-US" w:eastAsia="zh-CN"/>
        </w:rPr>
        <w:t>0</w:t>
      </w:r>
      <w:r>
        <w:rPr>
          <w:spacing w:val="-40"/>
        </w:rPr>
        <w:t xml:space="preserve"> </w:t>
      </w:r>
      <w:r>
        <w:rPr>
          <w:spacing w:val="3"/>
        </w:rPr>
        <w:t>万元，主要原因是</w:t>
      </w:r>
      <w:r>
        <w:rPr>
          <w:rFonts w:hint="eastAsia"/>
          <w:spacing w:val="3"/>
          <w:lang w:val="en-US" w:eastAsia="zh-CN"/>
        </w:rPr>
        <w:t>出国境安排</w:t>
      </w:r>
      <w:r>
        <w:rPr>
          <w:spacing w:val="8"/>
        </w:rPr>
        <w:t>。</w:t>
      </w:r>
    </w:p>
    <w:p w14:paraId="46A1B12C">
      <w:pPr>
        <w:pStyle w:val="2"/>
        <w:spacing w:before="1" w:line="356" w:lineRule="auto"/>
        <w:ind w:left="62" w:right="16" w:firstLine="603"/>
      </w:pPr>
      <w:r>
        <w:rPr>
          <w:spacing w:val="3"/>
        </w:rPr>
        <w:t>公务接待</w:t>
      </w:r>
      <w:r>
        <w:rPr>
          <w:rFonts w:hint="eastAsia"/>
          <w:spacing w:val="-42"/>
          <w:lang w:val="en-US" w:eastAsia="zh-CN"/>
        </w:rPr>
        <w:t>11.21</w:t>
      </w:r>
      <w:r>
        <w:rPr>
          <w:spacing w:val="3"/>
        </w:rPr>
        <w:t>万元,比上年减</w:t>
      </w:r>
      <w:r>
        <w:rPr>
          <w:rFonts w:hint="eastAsia"/>
          <w:spacing w:val="-47"/>
          <w:lang w:val="en-US" w:eastAsia="zh-CN"/>
        </w:rPr>
        <w:t>0</w:t>
      </w:r>
      <w:r>
        <w:rPr>
          <w:spacing w:val="-45"/>
        </w:rPr>
        <w:t xml:space="preserve"> </w:t>
      </w:r>
      <w:r>
        <w:rPr>
          <w:rFonts w:hint="eastAsia"/>
          <w:spacing w:val="-45"/>
          <w:lang w:val="en-US" w:eastAsia="zh-CN"/>
        </w:rPr>
        <w:t>.06</w:t>
      </w:r>
      <w:r>
        <w:rPr>
          <w:spacing w:val="3"/>
        </w:rPr>
        <w:t>万元，主要原因是：</w:t>
      </w:r>
      <w:r>
        <w:rPr>
          <w:rFonts w:hint="eastAsia"/>
          <w:spacing w:val="3"/>
          <w:lang w:val="en-US" w:eastAsia="zh-CN"/>
        </w:rPr>
        <w:t>厉行过紧日子要求，三公预算逐年减少</w:t>
      </w:r>
      <w:r>
        <w:rPr>
          <w:spacing w:val="7"/>
        </w:rPr>
        <w:t>。</w:t>
      </w:r>
    </w:p>
    <w:p w14:paraId="04594130">
      <w:pPr>
        <w:pStyle w:val="2"/>
        <w:spacing w:before="5" w:line="357" w:lineRule="auto"/>
        <w:ind w:left="35" w:right="16" w:firstLine="630"/>
        <w:jc w:val="both"/>
      </w:pPr>
      <w:r>
        <w:rPr>
          <w:spacing w:val="3"/>
        </w:rPr>
        <w:t>公务用车运行</w:t>
      </w:r>
      <w:r>
        <w:rPr>
          <w:spacing w:val="-35"/>
        </w:rPr>
        <w:t xml:space="preserve"> </w:t>
      </w:r>
      <w:r>
        <w:rPr>
          <w:rFonts w:hint="eastAsia"/>
          <w:spacing w:val="3"/>
          <w:lang w:val="en-US" w:eastAsia="zh-CN"/>
        </w:rPr>
        <w:t>0</w:t>
      </w:r>
      <w:r>
        <w:rPr>
          <w:spacing w:val="-45"/>
        </w:rPr>
        <w:t xml:space="preserve"> </w:t>
      </w:r>
      <w:r>
        <w:rPr>
          <w:spacing w:val="3"/>
        </w:rPr>
        <w:t>万元,比上年减</w:t>
      </w:r>
      <w:r>
        <w:rPr>
          <w:rFonts w:hint="eastAsia"/>
          <w:spacing w:val="-48"/>
          <w:lang w:val="en-US" w:eastAsia="zh-CN"/>
        </w:rPr>
        <w:t>0</w:t>
      </w:r>
      <w:r>
        <w:rPr>
          <w:spacing w:val="3"/>
        </w:rPr>
        <w:t>万元，主要</w:t>
      </w:r>
      <w:r>
        <w:rPr>
          <w:spacing w:val="8"/>
        </w:rPr>
        <w:t>原因是：</w:t>
      </w:r>
      <w:r>
        <w:rPr>
          <w:rFonts w:hint="eastAsia"/>
          <w:spacing w:val="8"/>
          <w:lang w:val="en-US" w:eastAsia="zh-CN"/>
        </w:rPr>
        <w:t>无公务车</w:t>
      </w:r>
      <w:r>
        <w:rPr>
          <w:spacing w:val="-7"/>
        </w:rPr>
        <w:t>。</w:t>
      </w:r>
    </w:p>
    <w:p w14:paraId="47ADED45">
      <w:pPr>
        <w:pStyle w:val="2"/>
        <w:spacing w:before="2" w:line="357" w:lineRule="auto"/>
        <w:ind w:left="30" w:right="162" w:firstLine="635"/>
      </w:pPr>
      <w:r>
        <w:rPr>
          <w:spacing w:val="6"/>
        </w:rPr>
        <w:t>公务用车购置</w:t>
      </w:r>
      <w:r>
        <w:rPr>
          <w:spacing w:val="-36"/>
        </w:rPr>
        <w:t xml:space="preserve"> </w:t>
      </w:r>
      <w:r>
        <w:rPr>
          <w:spacing w:val="6"/>
        </w:rPr>
        <w:t>0</w:t>
      </w:r>
      <w:r>
        <w:rPr>
          <w:spacing w:val="-44"/>
        </w:rPr>
        <w:t xml:space="preserve"> </w:t>
      </w:r>
      <w:r>
        <w:rPr>
          <w:spacing w:val="6"/>
        </w:rPr>
        <w:t>万元,与上年持平，主要原因是：与上</w:t>
      </w:r>
      <w:r>
        <w:t xml:space="preserve"> </w:t>
      </w:r>
      <w:r>
        <w:rPr>
          <w:spacing w:val="6"/>
        </w:rPr>
        <w:t>年安排保持一致。</w:t>
      </w:r>
    </w:p>
    <w:p w14:paraId="7F5835E4">
      <w:pPr>
        <w:spacing w:line="357" w:lineRule="auto"/>
        <w:sectPr>
          <w:pgSz w:w="11906" w:h="16839"/>
          <w:pgMar w:top="1429" w:right="1786" w:bottom="0" w:left="1786" w:header="0" w:footer="0" w:gutter="0"/>
          <w:cols w:space="0" w:num="1"/>
          <w:rtlGutter w:val="0"/>
          <w:docGrid w:linePitch="0" w:charSpace="0"/>
        </w:sectPr>
      </w:pPr>
    </w:p>
    <w:p w14:paraId="2CC5F518">
      <w:pPr>
        <w:pStyle w:val="2"/>
        <w:spacing w:before="201" w:line="222" w:lineRule="auto"/>
        <w:ind w:left="2992"/>
        <w:outlineLvl w:val="1"/>
      </w:pPr>
      <w:r>
        <w:rPr>
          <w:b/>
          <w:bCs/>
          <w:spacing w:val="4"/>
        </w:rPr>
        <w:t>第四部分</w:t>
      </w:r>
      <w:r>
        <w:rPr>
          <w:spacing w:val="4"/>
        </w:rPr>
        <w:t xml:space="preserve">   </w:t>
      </w:r>
      <w:r>
        <w:rPr>
          <w:b/>
          <w:bCs/>
          <w:spacing w:val="4"/>
        </w:rPr>
        <w:t>名词解释</w:t>
      </w:r>
    </w:p>
    <w:p w14:paraId="46B61076">
      <w:pPr>
        <w:spacing w:before="205" w:line="233" w:lineRule="auto"/>
        <w:ind w:left="672"/>
        <w:outlineLvl w:val="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b/>
          <w:bCs/>
          <w:spacing w:val="4"/>
          <w:sz w:val="31"/>
          <w:szCs w:val="31"/>
        </w:rPr>
        <w:t>一、收入科目</w:t>
      </w:r>
    </w:p>
    <w:p w14:paraId="3260E642">
      <w:pPr>
        <w:pStyle w:val="2"/>
        <w:spacing w:before="191" w:line="222" w:lineRule="auto"/>
        <w:ind w:left="659"/>
      </w:pPr>
      <w:r>
        <w:rPr>
          <w:spacing w:val="5"/>
        </w:rPr>
        <w:t>（</w:t>
      </w:r>
      <w:r>
        <w:rPr>
          <w:spacing w:val="-68"/>
        </w:rPr>
        <w:t xml:space="preserve"> </w:t>
      </w:r>
      <w:r>
        <w:rPr>
          <w:spacing w:val="5"/>
        </w:rPr>
        <w:t>一）财政拨款：指省级财政当年拨付的资金。</w:t>
      </w:r>
    </w:p>
    <w:p w14:paraId="46B3A5F7">
      <w:pPr>
        <w:pStyle w:val="2"/>
        <w:spacing w:before="203" w:line="285" w:lineRule="auto"/>
        <w:ind w:left="34" w:right="156" w:firstLine="625"/>
      </w:pPr>
      <w:r>
        <w:rPr>
          <w:spacing w:val="6"/>
        </w:rPr>
        <w:t>（</w:t>
      </w:r>
      <w:r>
        <w:rPr>
          <w:spacing w:val="-82"/>
        </w:rPr>
        <w:t xml:space="preserve"> </w:t>
      </w:r>
      <w:r>
        <w:rPr>
          <w:spacing w:val="6"/>
        </w:rPr>
        <w:t>二）其他收入：指除财政拨款、事业收入、事业单位</w:t>
      </w:r>
      <w:r>
        <w:t xml:space="preserve"> </w:t>
      </w:r>
      <w:r>
        <w:rPr>
          <w:spacing w:val="7"/>
        </w:rPr>
        <w:t>经营收入等以外的各项收入。</w:t>
      </w:r>
    </w:p>
    <w:p w14:paraId="45703880">
      <w:pPr>
        <w:pStyle w:val="2"/>
        <w:spacing w:before="207" w:line="306" w:lineRule="auto"/>
        <w:ind w:left="29" w:right="153" w:firstLine="630"/>
      </w:pPr>
      <w:r>
        <w:rPr>
          <w:spacing w:val="9"/>
        </w:rPr>
        <w:t>（</w:t>
      </w:r>
      <w:r>
        <w:rPr>
          <w:spacing w:val="-69"/>
        </w:rPr>
        <w:t xml:space="preserve"> </w:t>
      </w:r>
      <w:r>
        <w:rPr>
          <w:spacing w:val="9"/>
        </w:rPr>
        <w:t>三）上年结转和结余：填列</w:t>
      </w:r>
      <w:r>
        <w:rPr>
          <w:spacing w:val="-41"/>
        </w:rPr>
        <w:t xml:space="preserve"> </w:t>
      </w:r>
      <w:r>
        <w:rPr>
          <w:spacing w:val="9"/>
        </w:rPr>
        <w:t>2024</w:t>
      </w:r>
      <w:r>
        <w:rPr>
          <w:spacing w:val="-51"/>
        </w:rPr>
        <w:t xml:space="preserve"> </w:t>
      </w:r>
      <w:r>
        <w:rPr>
          <w:spacing w:val="9"/>
        </w:rPr>
        <w:t>年全部结转和结余</w:t>
      </w:r>
      <w:r>
        <w:t xml:space="preserve"> </w:t>
      </w:r>
      <w:r>
        <w:rPr>
          <w:spacing w:val="21"/>
        </w:rPr>
        <w:t>的资金数，包括当年结转结余资金和历年滚存结转结余资</w:t>
      </w:r>
      <w:r>
        <w:rPr>
          <w:spacing w:val="12"/>
        </w:rPr>
        <w:t xml:space="preserve"> </w:t>
      </w:r>
      <w:r>
        <w:rPr>
          <w:spacing w:val="-3"/>
        </w:rPr>
        <w:t>金。</w:t>
      </w:r>
    </w:p>
    <w:p w14:paraId="6B9C29A9">
      <w:pPr>
        <w:spacing w:before="196" w:line="233" w:lineRule="auto"/>
        <w:ind w:left="668"/>
        <w:outlineLvl w:val="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b/>
          <w:bCs/>
          <w:spacing w:val="5"/>
          <w:sz w:val="31"/>
          <w:szCs w:val="31"/>
        </w:rPr>
        <w:t>二、支出科目</w:t>
      </w:r>
    </w:p>
    <w:p w14:paraId="68DB6997">
      <w:pPr>
        <w:pStyle w:val="2"/>
        <w:spacing w:before="187" w:line="305" w:lineRule="auto"/>
        <w:ind w:left="26" w:right="153" w:firstLine="632"/>
      </w:pPr>
      <w:r>
        <w:rPr>
          <w:spacing w:val="17"/>
        </w:rPr>
        <w:t>（</w:t>
      </w:r>
      <w:r>
        <w:rPr>
          <w:spacing w:val="-53"/>
        </w:rPr>
        <w:t xml:space="preserve"> </w:t>
      </w:r>
      <w:r>
        <w:rPr>
          <w:spacing w:val="17"/>
        </w:rPr>
        <w:t>一）一般公共服务支出(类)财政事务(款)行政运行</w:t>
      </w:r>
      <w:r>
        <w:t xml:space="preserve"> </w:t>
      </w:r>
      <w:r>
        <w:rPr>
          <w:spacing w:val="14"/>
        </w:rPr>
        <w:t>(项):反映行政单位(包括实行公务员管理的事业</w:t>
      </w:r>
      <w:r>
        <w:rPr>
          <w:spacing w:val="13"/>
        </w:rPr>
        <w:t>单位)的基</w:t>
      </w:r>
      <w:r>
        <w:t xml:space="preserve"> </w:t>
      </w:r>
      <w:r>
        <w:rPr>
          <w:spacing w:val="4"/>
        </w:rPr>
        <w:t>本支出。</w:t>
      </w:r>
    </w:p>
    <w:p w14:paraId="022ECFAE">
      <w:pPr>
        <w:pStyle w:val="2"/>
        <w:spacing w:before="206" w:line="304" w:lineRule="auto"/>
        <w:ind w:left="21" w:right="156" w:firstLine="637"/>
      </w:pPr>
      <w:r>
        <w:rPr>
          <w:spacing w:val="5"/>
        </w:rPr>
        <w:t>（</w:t>
      </w:r>
      <w:r>
        <w:rPr>
          <w:spacing w:val="-68"/>
        </w:rPr>
        <w:t xml:space="preserve"> </w:t>
      </w:r>
      <w:r>
        <w:rPr>
          <w:spacing w:val="5"/>
        </w:rPr>
        <w:t>二）一般公共服务支出(类)财政事务(款)一般行政管</w:t>
      </w:r>
      <w:r>
        <w:t xml:space="preserve"> </w:t>
      </w:r>
      <w:r>
        <w:rPr>
          <w:spacing w:val="20"/>
        </w:rPr>
        <w:t>理事务(项):反映行政单位(包括实行公务员管理的事业单</w:t>
      </w:r>
      <w:r>
        <w:rPr>
          <w:spacing w:val="5"/>
        </w:rPr>
        <w:t xml:space="preserve"> </w:t>
      </w:r>
      <w:r>
        <w:rPr>
          <w:spacing w:val="8"/>
        </w:rPr>
        <w:t>位)未单独设置项级科目的其他项目支出。</w:t>
      </w:r>
    </w:p>
    <w:p w14:paraId="0DE52481">
      <w:pPr>
        <w:pStyle w:val="2"/>
        <w:spacing w:before="207" w:line="315" w:lineRule="auto"/>
        <w:ind w:left="18" w:firstLine="585"/>
      </w:pPr>
      <w:r>
        <w:rPr>
          <w:spacing w:val="15"/>
        </w:rPr>
        <w:t>（</w:t>
      </w:r>
      <w:r>
        <w:rPr>
          <w:spacing w:val="-45"/>
        </w:rPr>
        <w:t xml:space="preserve"> </w:t>
      </w:r>
      <w:r>
        <w:rPr>
          <w:spacing w:val="15"/>
        </w:rPr>
        <w:t>三）一般公共服务支出</w:t>
      </w:r>
      <w:r>
        <w:rPr>
          <w:spacing w:val="-58"/>
        </w:rPr>
        <w:t xml:space="preserve"> </w:t>
      </w:r>
      <w:r>
        <w:rPr>
          <w:spacing w:val="15"/>
        </w:rPr>
        <w:t>(类)财政事务(款)机关服务</w:t>
      </w:r>
      <w:r>
        <w:t xml:space="preserve">  </w:t>
      </w:r>
      <w:r>
        <w:rPr>
          <w:spacing w:val="6"/>
        </w:rPr>
        <w:t>（项</w:t>
      </w:r>
      <w:r>
        <w:rPr>
          <w:spacing w:val="-33"/>
        </w:rPr>
        <w:t>）：</w:t>
      </w:r>
      <w:r>
        <w:rPr>
          <w:spacing w:val="6"/>
        </w:rPr>
        <w:t>反映为行政单位（包括实行公务员管理的事业单位）</w:t>
      </w:r>
      <w:r>
        <w:t xml:space="preserve"> </w:t>
      </w:r>
      <w:r>
        <w:rPr>
          <w:spacing w:val="9"/>
        </w:rPr>
        <w:t>提供后勤服务的各类后勤服务中心、医务室等附属事业单位</w:t>
      </w:r>
      <w:r>
        <w:rPr>
          <w:spacing w:val="2"/>
        </w:rPr>
        <w:t xml:space="preserve">  </w:t>
      </w:r>
      <w:r>
        <w:rPr>
          <w:spacing w:val="6"/>
        </w:rPr>
        <w:t>的支出。</w:t>
      </w:r>
    </w:p>
    <w:p w14:paraId="668D0641">
      <w:pPr>
        <w:pStyle w:val="2"/>
        <w:spacing w:before="206" w:line="284" w:lineRule="auto"/>
        <w:ind w:left="18" w:right="516" w:firstLine="585"/>
      </w:pPr>
      <w:r>
        <w:rPr>
          <w:spacing w:val="1"/>
        </w:rPr>
        <w:t>（</w:t>
      </w:r>
      <w:r>
        <w:rPr>
          <w:spacing w:val="-48"/>
        </w:rPr>
        <w:t xml:space="preserve"> </w:t>
      </w:r>
      <w:r>
        <w:rPr>
          <w:spacing w:val="1"/>
        </w:rPr>
        <w:t>四</w:t>
      </w:r>
      <w:r>
        <w:rPr>
          <w:spacing w:val="-65"/>
        </w:rPr>
        <w:t xml:space="preserve"> </w:t>
      </w:r>
      <w:r>
        <w:rPr>
          <w:spacing w:val="1"/>
        </w:rPr>
        <w:t>）一般公共服务支出(类)财政事务(款)财政监察</w:t>
      </w:r>
      <w:r>
        <w:t xml:space="preserve"> </w:t>
      </w:r>
      <w:r>
        <w:rPr>
          <w:spacing w:val="8"/>
        </w:rPr>
        <w:t>（项</w:t>
      </w:r>
      <w:r>
        <w:rPr>
          <w:spacing w:val="19"/>
        </w:rPr>
        <w:t>）：</w:t>
      </w:r>
      <w:r>
        <w:rPr>
          <w:spacing w:val="8"/>
        </w:rPr>
        <w:t>反映财政监察方面的专项业务支出。</w:t>
      </w:r>
    </w:p>
    <w:p w14:paraId="42B8635B">
      <w:pPr>
        <w:pStyle w:val="2"/>
        <w:spacing w:before="204" w:line="284" w:lineRule="auto"/>
        <w:ind w:left="93" w:right="156" w:firstLine="565"/>
      </w:pPr>
      <w:r>
        <w:rPr>
          <w:spacing w:val="6"/>
        </w:rPr>
        <w:t>（</w:t>
      </w:r>
      <w:r>
        <w:rPr>
          <w:spacing w:val="-88"/>
        </w:rPr>
        <w:t xml:space="preserve"> </w:t>
      </w:r>
      <w:r>
        <w:rPr>
          <w:spacing w:val="6"/>
        </w:rPr>
        <w:t>五）一般公共服务支出(类)财政事务(款</w:t>
      </w:r>
      <w:r>
        <w:rPr>
          <w:spacing w:val="5"/>
        </w:rPr>
        <w:t>)信息化建设</w:t>
      </w:r>
      <w:r>
        <w:t xml:space="preserve"> </w:t>
      </w:r>
      <w:r>
        <w:rPr>
          <w:spacing w:val="5"/>
        </w:rPr>
        <w:t>(项):反映财政部门用于信息化建设方面的支出。</w:t>
      </w:r>
    </w:p>
    <w:p w14:paraId="29EBBE17">
      <w:pPr>
        <w:pStyle w:val="2"/>
        <w:spacing w:before="209" w:line="222" w:lineRule="auto"/>
        <w:ind w:left="659"/>
      </w:pPr>
      <w:r>
        <w:rPr>
          <w:spacing w:val="5"/>
        </w:rPr>
        <w:t>（</w:t>
      </w:r>
      <w:r>
        <w:rPr>
          <w:spacing w:val="-68"/>
        </w:rPr>
        <w:t xml:space="preserve"> </w:t>
      </w:r>
      <w:r>
        <w:rPr>
          <w:spacing w:val="5"/>
        </w:rPr>
        <w:t>六）一般公共服务支出(类)财政事务(款)财政委托业</w:t>
      </w:r>
    </w:p>
    <w:p w14:paraId="395071CC">
      <w:pPr>
        <w:spacing w:line="222" w:lineRule="auto"/>
        <w:sectPr>
          <w:pgSz w:w="11906" w:h="16839"/>
          <w:pgMar w:top="1429" w:right="1786" w:bottom="0" w:left="1786" w:header="0" w:footer="0" w:gutter="0"/>
          <w:cols w:space="0" w:num="1"/>
          <w:rtlGutter w:val="0"/>
          <w:docGrid w:linePitch="0" w:charSpace="0"/>
        </w:sectPr>
      </w:pPr>
    </w:p>
    <w:p w14:paraId="131A1F85">
      <w:pPr>
        <w:pStyle w:val="2"/>
        <w:spacing w:before="199" w:line="346" w:lineRule="auto"/>
        <w:ind w:left="23" w:right="14" w:firstLine="8"/>
      </w:pPr>
      <w:r>
        <w:rPr>
          <w:spacing w:val="14"/>
        </w:rPr>
        <w:t>务支出(项):反映财政委托评审机构进行财政投资评审和委</w:t>
      </w:r>
      <w:r>
        <w:rPr>
          <w:spacing w:val="3"/>
        </w:rPr>
        <w:t xml:space="preserve"> </w:t>
      </w:r>
      <w:r>
        <w:rPr>
          <w:spacing w:val="8"/>
        </w:rPr>
        <w:t>托建设银行等机构代理业务发生的支出。</w:t>
      </w:r>
    </w:p>
    <w:p w14:paraId="2062288B">
      <w:pPr>
        <w:pStyle w:val="2"/>
        <w:spacing w:before="2" w:line="282" w:lineRule="auto"/>
        <w:ind w:left="93" w:right="16" w:firstLine="565"/>
      </w:pPr>
      <w:r>
        <w:rPr>
          <w:spacing w:val="18"/>
        </w:rPr>
        <w:t>（</w:t>
      </w:r>
      <w:r>
        <w:rPr>
          <w:spacing w:val="-78"/>
        </w:rPr>
        <w:t xml:space="preserve"> </w:t>
      </w:r>
      <w:r>
        <w:rPr>
          <w:spacing w:val="18"/>
        </w:rPr>
        <w:t>七）一般公共服务支出(类)财政事务(款)事业运行</w:t>
      </w:r>
      <w:r>
        <w:t xml:space="preserve"> </w:t>
      </w:r>
      <w:r>
        <w:rPr>
          <w:spacing w:val="3"/>
        </w:rPr>
        <w:t>(项):反映事业单位的基本支出。</w:t>
      </w:r>
    </w:p>
    <w:p w14:paraId="3AADE4EA">
      <w:pPr>
        <w:pStyle w:val="2"/>
        <w:spacing w:before="209" w:line="306" w:lineRule="auto"/>
        <w:ind w:left="32" w:right="14" w:firstLine="626"/>
      </w:pPr>
      <w:r>
        <w:rPr>
          <w:spacing w:val="6"/>
        </w:rPr>
        <w:t>（</w:t>
      </w:r>
      <w:r>
        <w:rPr>
          <w:spacing w:val="-92"/>
        </w:rPr>
        <w:t xml:space="preserve"> </w:t>
      </w:r>
      <w:r>
        <w:rPr>
          <w:spacing w:val="6"/>
        </w:rPr>
        <w:t>八）一般公共服务支出(类)财政事务(款)其他财</w:t>
      </w:r>
      <w:r>
        <w:rPr>
          <w:spacing w:val="5"/>
        </w:rPr>
        <w:t>政事</w:t>
      </w:r>
      <w:r>
        <w:t xml:space="preserve"> </w:t>
      </w:r>
      <w:r>
        <w:rPr>
          <w:spacing w:val="20"/>
        </w:rPr>
        <w:t>务支出</w:t>
      </w:r>
      <w:r>
        <w:rPr>
          <w:spacing w:val="-56"/>
        </w:rPr>
        <w:t xml:space="preserve"> </w:t>
      </w:r>
      <w:r>
        <w:rPr>
          <w:spacing w:val="20"/>
        </w:rPr>
        <w:t>(项):反映除上述项目</w:t>
      </w:r>
      <w:r>
        <w:rPr>
          <w:spacing w:val="-79"/>
        </w:rPr>
        <w:t xml:space="preserve"> </w:t>
      </w:r>
      <w:r>
        <w:rPr>
          <w:spacing w:val="20"/>
        </w:rPr>
        <w:t>以外其他财政事务</w:t>
      </w:r>
      <w:r>
        <w:rPr>
          <w:spacing w:val="19"/>
        </w:rPr>
        <w:t>方面的支</w:t>
      </w:r>
      <w:r>
        <w:t xml:space="preserve"> </w:t>
      </w:r>
      <w:r>
        <w:rPr>
          <w:spacing w:val="-5"/>
        </w:rPr>
        <w:t>出。</w:t>
      </w:r>
    </w:p>
    <w:p w14:paraId="576235E9">
      <w:pPr>
        <w:pStyle w:val="2"/>
        <w:spacing w:before="198" w:line="316" w:lineRule="auto"/>
        <w:ind w:left="40" w:right="13" w:firstLine="619"/>
      </w:pPr>
      <w:r>
        <w:rPr>
          <w:spacing w:val="8"/>
        </w:rPr>
        <w:t>（九）社会保障和就业支出(类)行政事业单位养老支出</w:t>
      </w:r>
      <w:r>
        <w:rPr>
          <w:spacing w:val="17"/>
        </w:rPr>
        <w:t xml:space="preserve"> </w:t>
      </w:r>
      <w:r>
        <w:rPr>
          <w:spacing w:val="13"/>
        </w:rPr>
        <w:t>(款)机关事业单位基本养老保险缴费支出(项):反映机关事</w:t>
      </w:r>
      <w:r>
        <w:rPr>
          <w:spacing w:val="10"/>
        </w:rPr>
        <w:t xml:space="preserve"> </w:t>
      </w:r>
      <w:r>
        <w:rPr>
          <w:spacing w:val="21"/>
        </w:rPr>
        <w:t>业单位实施养老保险制度由单位缴纳的基本养老保险费支</w:t>
      </w:r>
      <w:r>
        <w:rPr>
          <w:spacing w:val="1"/>
        </w:rPr>
        <w:t xml:space="preserve"> </w:t>
      </w:r>
      <w:r>
        <w:rPr>
          <w:spacing w:val="-9"/>
        </w:rPr>
        <w:t>出。</w:t>
      </w:r>
    </w:p>
    <w:p w14:paraId="0D208DB9">
      <w:pPr>
        <w:pStyle w:val="2"/>
        <w:spacing w:before="200" w:line="320" w:lineRule="auto"/>
        <w:ind w:left="26" w:right="13" w:firstLine="632"/>
      </w:pPr>
      <w:r>
        <w:rPr>
          <w:spacing w:val="9"/>
        </w:rPr>
        <w:t>（十）卫生健康支出（类）行政事业单位医疗（款）行</w:t>
      </w:r>
      <w:r>
        <w:rPr>
          <w:spacing w:val="3"/>
        </w:rPr>
        <w:t xml:space="preserve"> </w:t>
      </w:r>
      <w:r>
        <w:rPr>
          <w:spacing w:val="14"/>
        </w:rPr>
        <w:t>政单位医疗(项</w:t>
      </w:r>
      <w:r>
        <w:rPr>
          <w:spacing w:val="25"/>
        </w:rPr>
        <w:t>）：</w:t>
      </w:r>
      <w:r>
        <w:rPr>
          <w:spacing w:val="14"/>
        </w:rPr>
        <w:t>反映财政部门安排的行政单位（包括实</w:t>
      </w:r>
      <w:r>
        <w:rPr>
          <w:spacing w:val="1"/>
        </w:rPr>
        <w:t xml:space="preserve"> </w:t>
      </w:r>
      <w:r>
        <w:rPr>
          <w:spacing w:val="9"/>
        </w:rPr>
        <w:t>行公务员管理的事业单位，下同）基本医疗保险缴费经</w:t>
      </w:r>
      <w:r>
        <w:rPr>
          <w:spacing w:val="8"/>
        </w:rPr>
        <w:t>费，</w:t>
      </w:r>
      <w:r>
        <w:t xml:space="preserve"> </w:t>
      </w:r>
      <w:r>
        <w:rPr>
          <w:spacing w:val="9"/>
        </w:rPr>
        <w:t>未参加医疗保险的行政单位的公费医疗经费，按国家规</w:t>
      </w:r>
      <w:r>
        <w:rPr>
          <w:spacing w:val="8"/>
        </w:rPr>
        <w:t>定享</w:t>
      </w:r>
      <w:r>
        <w:t xml:space="preserve"> </w:t>
      </w:r>
      <w:r>
        <w:rPr>
          <w:spacing w:val="8"/>
        </w:rPr>
        <w:t>受离休人员、红军老战士待遇人员的医疗经费。</w:t>
      </w:r>
    </w:p>
    <w:p w14:paraId="7C15C7C8">
      <w:pPr>
        <w:pStyle w:val="2"/>
        <w:spacing w:before="212" w:line="314" w:lineRule="auto"/>
        <w:ind w:left="26" w:right="6" w:firstLine="632"/>
      </w:pPr>
      <w:r>
        <w:rPr>
          <w:spacing w:val="9"/>
        </w:rPr>
        <w:t>（十一）卫生健康支出（类）行政事业单位医疗（款）</w:t>
      </w:r>
      <w:r>
        <w:rPr>
          <w:spacing w:val="11"/>
        </w:rPr>
        <w:t xml:space="preserve"> </w:t>
      </w:r>
      <w:r>
        <w:rPr>
          <w:spacing w:val="14"/>
        </w:rPr>
        <w:t>事业单位医疗(项</w:t>
      </w:r>
      <w:r>
        <w:rPr>
          <w:spacing w:val="26"/>
        </w:rPr>
        <w:t>）：</w:t>
      </w:r>
      <w:r>
        <w:rPr>
          <w:spacing w:val="14"/>
        </w:rPr>
        <w:t>反映财政部门安排的事业单位</w:t>
      </w:r>
      <w:r>
        <w:rPr>
          <w:spacing w:val="13"/>
        </w:rPr>
        <w:t>基本医</w:t>
      </w:r>
      <w:r>
        <w:t xml:space="preserve"> </w:t>
      </w:r>
      <w:r>
        <w:rPr>
          <w:spacing w:val="9"/>
        </w:rPr>
        <w:t>疗保险缴费经费，未参加医疗保险的事业单位的公费医</w:t>
      </w:r>
      <w:r>
        <w:rPr>
          <w:spacing w:val="8"/>
        </w:rPr>
        <w:t>疗经</w:t>
      </w:r>
      <w:r>
        <w:t xml:space="preserve"> </w:t>
      </w:r>
      <w:r>
        <w:rPr>
          <w:spacing w:val="8"/>
        </w:rPr>
        <w:t>费，按国家规定享受离休人员待遇的医疗经费。</w:t>
      </w:r>
    </w:p>
    <w:p w14:paraId="0A100867">
      <w:pPr>
        <w:pStyle w:val="2"/>
        <w:spacing w:before="212" w:line="314" w:lineRule="auto"/>
        <w:ind w:left="22" w:right="16" w:firstLine="636"/>
      </w:pPr>
      <w:r>
        <w:rPr>
          <w:spacing w:val="9"/>
        </w:rPr>
        <w:t>（十二）住房保障支出（类）住房改革支出（款）购房</w:t>
      </w:r>
      <w:r>
        <w:rPr>
          <w:spacing w:val="1"/>
        </w:rPr>
        <w:t xml:space="preserve"> </w:t>
      </w:r>
      <w:r>
        <w:rPr>
          <w:spacing w:val="8"/>
        </w:rPr>
        <w:t>补贴（项</w:t>
      </w:r>
      <w:r>
        <w:rPr>
          <w:spacing w:val="21"/>
        </w:rPr>
        <w:t>）：</w:t>
      </w:r>
      <w:r>
        <w:rPr>
          <w:spacing w:val="8"/>
        </w:rPr>
        <w:t>反映按房改政策规定，行政事业单位向符合条</w:t>
      </w:r>
      <w:r>
        <w:t xml:space="preserve"> </w:t>
      </w:r>
      <w:r>
        <w:rPr>
          <w:spacing w:val="9"/>
        </w:rPr>
        <w:t>件职工（含离退休人员）、军队（含武警）向转役复员离退</w:t>
      </w:r>
      <w:r>
        <w:t xml:space="preserve"> </w:t>
      </w:r>
      <w:r>
        <w:rPr>
          <w:spacing w:val="8"/>
        </w:rPr>
        <w:t>休人员发放的用于购买住房的补贴。</w:t>
      </w:r>
    </w:p>
    <w:p w14:paraId="4018CEA7">
      <w:pPr>
        <w:spacing w:line="314" w:lineRule="auto"/>
        <w:sectPr>
          <w:pgSz w:w="11906" w:h="16839"/>
          <w:pgMar w:top="1429" w:right="1786" w:bottom="0" w:left="1786" w:header="0" w:footer="0" w:gutter="0"/>
          <w:cols w:space="0" w:num="1"/>
          <w:rtlGutter w:val="0"/>
          <w:docGrid w:linePitch="0" w:charSpace="0"/>
        </w:sectPr>
      </w:pPr>
    </w:p>
    <w:p w14:paraId="17C6C4F4">
      <w:pPr>
        <w:spacing w:before="198" w:line="231" w:lineRule="auto"/>
        <w:ind w:left="662"/>
        <w:outlineLvl w:val="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b/>
          <w:bCs/>
          <w:spacing w:val="6"/>
          <w:sz w:val="31"/>
          <w:szCs w:val="31"/>
        </w:rPr>
        <w:t>三、相关专业名词</w:t>
      </w:r>
    </w:p>
    <w:p w14:paraId="2C4718A5">
      <w:pPr>
        <w:pStyle w:val="2"/>
        <w:spacing w:before="198" w:line="324" w:lineRule="auto"/>
        <w:ind w:left="30" w:right="153" w:firstLine="629"/>
      </w:pPr>
      <w:r>
        <w:rPr>
          <w:spacing w:val="6"/>
        </w:rPr>
        <w:t>（</w:t>
      </w:r>
      <w:r>
        <w:rPr>
          <w:spacing w:val="-79"/>
        </w:rPr>
        <w:t xml:space="preserve"> </w:t>
      </w:r>
      <w:r>
        <w:rPr>
          <w:spacing w:val="6"/>
        </w:rPr>
        <w:t>一）机关运行费：指用一般公共预算财政拨款安排的</w:t>
      </w:r>
      <w:r>
        <w:t xml:space="preserve"> </w:t>
      </w:r>
      <w:r>
        <w:rPr>
          <w:spacing w:val="9"/>
        </w:rPr>
        <w:t>为保障行政单位（包括实行公务员管理的事业</w:t>
      </w:r>
      <w:r>
        <w:rPr>
          <w:spacing w:val="8"/>
        </w:rPr>
        <w:t>单位）运行用</w:t>
      </w:r>
      <w:r>
        <w:t xml:space="preserve"> </w:t>
      </w:r>
      <w:r>
        <w:rPr>
          <w:spacing w:val="8"/>
        </w:rPr>
        <w:t>于购买货物和服务的各项资金，包括办公费、印刷费、邮电</w:t>
      </w:r>
      <w:r>
        <w:rPr>
          <w:spacing w:val="18"/>
        </w:rPr>
        <w:t xml:space="preserve"> </w:t>
      </w:r>
      <w:r>
        <w:rPr>
          <w:spacing w:val="5"/>
        </w:rPr>
        <w:t>费、差旅费、会议费、福利费、</w:t>
      </w:r>
      <w:r>
        <w:rPr>
          <w:spacing w:val="-57"/>
        </w:rPr>
        <w:t xml:space="preserve"> </w:t>
      </w:r>
      <w:r>
        <w:rPr>
          <w:spacing w:val="5"/>
        </w:rPr>
        <w:t>日常维修费、专用材料及一</w:t>
      </w:r>
      <w:r>
        <w:t xml:space="preserve"> </w:t>
      </w:r>
      <w:r>
        <w:rPr>
          <w:spacing w:val="8"/>
        </w:rPr>
        <w:t>般设备购置费、办公用房水电费、办公用房取暖费、办公用</w:t>
      </w:r>
      <w:r>
        <w:rPr>
          <w:spacing w:val="18"/>
        </w:rPr>
        <w:t xml:space="preserve"> </w:t>
      </w:r>
      <w:r>
        <w:rPr>
          <w:spacing w:val="8"/>
        </w:rPr>
        <w:t>房物业管理费、公务用车运行维护费以及其他费用。</w:t>
      </w:r>
    </w:p>
    <w:p w14:paraId="076F16BC">
      <w:pPr>
        <w:pStyle w:val="2"/>
        <w:spacing w:before="214" w:line="320" w:lineRule="auto"/>
        <w:ind w:left="32" w:firstLine="626"/>
      </w:pPr>
      <w:r>
        <w:rPr>
          <w:spacing w:val="-13"/>
        </w:rPr>
        <w:t>（</w:t>
      </w:r>
      <w:r>
        <w:rPr>
          <w:spacing w:val="-64"/>
        </w:rPr>
        <w:t xml:space="preserve"> </w:t>
      </w:r>
      <w:r>
        <w:rPr>
          <w:spacing w:val="-13"/>
        </w:rPr>
        <w:t>二）“三公”经费：指用财政拨款安排的因公出国（境）</w:t>
      </w:r>
      <w:r>
        <w:t xml:space="preserve"> </w:t>
      </w:r>
      <w:r>
        <w:rPr>
          <w:spacing w:val="8"/>
        </w:rPr>
        <w:t>费、公务用车购置及运行维护费和公务接待费。其中，因公</w:t>
      </w:r>
      <w:r>
        <w:rPr>
          <w:spacing w:val="7"/>
        </w:rPr>
        <w:t xml:space="preserve">  </w:t>
      </w:r>
      <w:r>
        <w:rPr>
          <w:spacing w:val="8"/>
        </w:rPr>
        <w:t>出国（境）费反映单位公务出国（境）的国际旅费、国外城</w:t>
      </w:r>
      <w:r>
        <w:rPr>
          <w:spacing w:val="9"/>
        </w:rPr>
        <w:t xml:space="preserve">  </w:t>
      </w:r>
      <w:r>
        <w:rPr>
          <w:spacing w:val="8"/>
        </w:rPr>
        <w:t>市间交通费、住宿费、伙食费、培训费、公杂费等支出；公</w:t>
      </w:r>
      <w:r>
        <w:rPr>
          <w:spacing w:val="7"/>
        </w:rPr>
        <w:t xml:space="preserve">  </w:t>
      </w:r>
      <w:r>
        <w:rPr>
          <w:spacing w:val="9"/>
        </w:rPr>
        <w:t>务用车购置及运行维护费反映单位公务用车车辆购置支出</w:t>
      </w:r>
    </w:p>
    <w:p w14:paraId="5B9915AB">
      <w:pPr>
        <w:pStyle w:val="2"/>
        <w:spacing w:before="212" w:line="314" w:lineRule="auto"/>
        <w:ind w:left="23" w:right="58" w:hanging="5"/>
      </w:pPr>
      <w:r>
        <w:rPr>
          <w:spacing w:val="4"/>
        </w:rPr>
        <w:t>（含车辆购置税、牌照费</w:t>
      </w:r>
      <w:r>
        <w:rPr>
          <w:spacing w:val="-38"/>
        </w:rPr>
        <w:t>），</w:t>
      </w:r>
      <w:r>
        <w:rPr>
          <w:spacing w:val="4"/>
        </w:rPr>
        <w:t>按规定保留的公务用车燃料费、</w:t>
      </w:r>
      <w:r>
        <w:rPr>
          <w:spacing w:val="1"/>
        </w:rPr>
        <w:t xml:space="preserve"> </w:t>
      </w:r>
      <w:r>
        <w:rPr>
          <w:spacing w:val="9"/>
        </w:rPr>
        <w:t>新能源汽车充电费、维修费、过桥过路费、保险费、安全奖</w:t>
      </w:r>
      <w:r>
        <w:rPr>
          <w:spacing w:val="1"/>
        </w:rPr>
        <w:t xml:space="preserve"> </w:t>
      </w:r>
      <w:r>
        <w:rPr>
          <w:spacing w:val="9"/>
        </w:rPr>
        <w:t>励费 用等支出；公务接待费反映单位按规定开支的各类公</w:t>
      </w:r>
      <w:r>
        <w:rPr>
          <w:spacing w:val="3"/>
        </w:rPr>
        <w:t xml:space="preserve">  </w:t>
      </w:r>
      <w:r>
        <w:rPr>
          <w:spacing w:val="8"/>
        </w:rPr>
        <w:t>务接待（含外宾接待）支出。</w:t>
      </w:r>
    </w:p>
    <w:p w14:paraId="7EBB04CC">
      <w:pPr>
        <w:pStyle w:val="2"/>
        <w:spacing w:before="208" w:line="325" w:lineRule="auto"/>
        <w:ind w:left="25" w:right="153" w:firstLine="634"/>
      </w:pPr>
      <w:r>
        <w:rPr>
          <w:spacing w:val="6"/>
        </w:rPr>
        <w:t>（</w:t>
      </w:r>
      <w:r>
        <w:rPr>
          <w:spacing w:val="-76"/>
        </w:rPr>
        <w:t xml:space="preserve"> </w:t>
      </w:r>
      <w:r>
        <w:rPr>
          <w:spacing w:val="6"/>
        </w:rPr>
        <w:t>三）会计专业技术资格考试：为科学、客观</w:t>
      </w:r>
      <w:r>
        <w:rPr>
          <w:spacing w:val="5"/>
        </w:rPr>
        <w:t>、公正地</w:t>
      </w:r>
      <w:r>
        <w:t xml:space="preserve"> </w:t>
      </w:r>
      <w:r>
        <w:rPr>
          <w:spacing w:val="9"/>
        </w:rPr>
        <w:t>评价会计专业人员的学识水平和业务能力，完善会计</w:t>
      </w:r>
      <w:r>
        <w:rPr>
          <w:spacing w:val="8"/>
        </w:rPr>
        <w:t>专业技</w:t>
      </w:r>
      <w:r>
        <w:t xml:space="preserve"> </w:t>
      </w:r>
      <w:r>
        <w:rPr>
          <w:spacing w:val="9"/>
        </w:rPr>
        <w:t>术人才选拔机制，根据《中华人民共和国会计法》等</w:t>
      </w:r>
      <w:r>
        <w:rPr>
          <w:spacing w:val="8"/>
        </w:rPr>
        <w:t>有关法</w:t>
      </w:r>
      <w:r>
        <w:t xml:space="preserve"> </w:t>
      </w:r>
      <w:r>
        <w:rPr>
          <w:spacing w:val="9"/>
        </w:rPr>
        <w:t>规要求，会计专业技术资格实行全国统一组织、统一</w:t>
      </w:r>
      <w:r>
        <w:rPr>
          <w:spacing w:val="8"/>
        </w:rPr>
        <w:t>考试时</w:t>
      </w:r>
      <w:r>
        <w:t xml:space="preserve"> </w:t>
      </w:r>
      <w:r>
        <w:rPr>
          <w:spacing w:val="9"/>
        </w:rPr>
        <w:t>间、统一考试大纲、统一考试命题、统一合格标准的</w:t>
      </w:r>
      <w:r>
        <w:rPr>
          <w:spacing w:val="8"/>
        </w:rPr>
        <w:t>考试制</w:t>
      </w:r>
      <w:r>
        <w:t xml:space="preserve"> </w:t>
      </w:r>
      <w:r>
        <w:rPr>
          <w:spacing w:val="-2"/>
        </w:rPr>
        <w:t>度。</w:t>
      </w:r>
    </w:p>
    <w:sectPr>
      <w:pgSz w:w="11906" w:h="16839"/>
      <w:pgMar w:top="1429" w:right="1786" w:bottom="0" w:left="1786" w:header="0" w:footer="0" w:gutter="0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50104C5"/>
    <w:rsid w:val="07EA4D4F"/>
    <w:rsid w:val="106933FF"/>
    <w:rsid w:val="1D2302DB"/>
    <w:rsid w:val="1D716903"/>
    <w:rsid w:val="2F0A15BB"/>
    <w:rsid w:val="33B563F9"/>
    <w:rsid w:val="5DA1152C"/>
    <w:rsid w:val="67B440BB"/>
    <w:rsid w:val="7C972FD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  <w:style w:type="paragraph" w:styleId="3">
    <w:name w:val="Normal (Web)"/>
    <w:basedOn w:val="1"/>
    <w:qFormat/>
    <w:uiPriority w:val="0"/>
    <w:rPr>
      <w:sz w:val="24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23</Pages>
  <Words>873</Words>
  <Characters>896</Characters>
  <TotalTime>118</TotalTime>
  <ScaleCrop>false</ScaleCrop>
  <LinksUpToDate>false</LinksUpToDate>
  <CharactersWithSpaces>920</CharactersWithSpaces>
  <Application>WPS Office_12.1.0.23542_F1E327BC-269C-435d-A152-05C5408002CA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2025-01-24T14:14:00Z</dcterms:created>
  <dc:creator>NTKO</dc:creator>
  <cp:lastModifiedBy>zy</cp:lastModifiedBy>
  <dcterms:modified xsi:type="dcterms:W3CDTF">2025-12-19T08:45:37Z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2025-05-30T14:44:53Z</vt:filetime>
  </property>
  <property fmtid="{D5CDD505-2E9C-101B-9397-08002B2CF9AE}" pid="4" name="KSOTemplateDocerSaveRecord">
    <vt:lpwstr>eyJoZGlkIjoiMWJiMGIyOTYwNTRlYmQxN2EwZTJlNjYyMzc0NzBiNjQiLCJ1c2VySWQiOiI2MDQ4NjM2OTYifQ==</vt:lpwstr>
  </property>
  <property fmtid="{D5CDD505-2E9C-101B-9397-08002B2CF9AE}" pid="5" name="KSOProductBuildVer">
    <vt:lpwstr>2052-12.1.0.23542</vt:lpwstr>
  </property>
  <property fmtid="{D5CDD505-2E9C-101B-9397-08002B2CF9AE}" pid="6" name="ICV">
    <vt:lpwstr>4744E778A00D432BA7C30C0D1E04D880_13</vt:lpwstr>
  </property>
</Properties>
</file>