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CB4CF">
      <w:pPr>
        <w:spacing w:before="258" w:line="229" w:lineRule="auto"/>
        <w:ind w:left="1237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b/>
          <w:bCs/>
          <w:color w:val="333333"/>
          <w:spacing w:val="6"/>
          <w:sz w:val="30"/>
          <w:szCs w:val="30"/>
        </w:rPr>
        <w:t>景德镇市珠山区新区发展中心2025年部门预算</w:t>
      </w:r>
    </w:p>
    <w:p w14:paraId="429D8F9F">
      <w:pPr>
        <w:spacing w:before="251" w:line="177" w:lineRule="auto"/>
        <w:ind w:left="4083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b/>
          <w:bCs/>
          <w:color w:val="333333"/>
          <w:spacing w:val="-18"/>
          <w:sz w:val="30"/>
          <w:szCs w:val="30"/>
        </w:rPr>
        <w:t>目录</w:t>
      </w:r>
    </w:p>
    <w:p w14:paraId="6BCE45D1">
      <w:pPr>
        <w:pStyle w:val="2"/>
        <w:spacing w:before="190" w:line="222" w:lineRule="auto"/>
        <w:ind w:left="752"/>
      </w:pPr>
      <w:r>
        <w:rPr>
          <w:spacing w:val="18"/>
        </w:rPr>
        <w:t>第一部分景德镇市珠山区新区发展中心概况</w:t>
      </w:r>
    </w:p>
    <w:p w14:paraId="5E482421">
      <w:pPr>
        <w:pStyle w:val="2"/>
        <w:spacing w:before="254" w:line="222" w:lineRule="auto"/>
        <w:ind w:left="1365"/>
      </w:pPr>
      <w:r>
        <w:rPr>
          <w:spacing w:val="5"/>
        </w:rPr>
        <w:t>一、部门主要职责</w:t>
      </w:r>
    </w:p>
    <w:p w14:paraId="6A11EA46">
      <w:pPr>
        <w:pStyle w:val="2"/>
        <w:spacing w:before="265" w:line="222" w:lineRule="auto"/>
        <w:ind w:left="1380"/>
      </w:pPr>
      <w:r>
        <w:rPr>
          <w:spacing w:val="13"/>
        </w:rPr>
        <w:t>二、机构设置及人员情况</w:t>
      </w:r>
    </w:p>
    <w:p w14:paraId="25F28193">
      <w:pPr>
        <w:pStyle w:val="2"/>
        <w:spacing w:before="273" w:line="360" w:lineRule="auto"/>
        <w:ind w:left="727" w:right="260" w:firstLine="24"/>
      </w:pPr>
      <w:r>
        <w:rPr>
          <w:spacing w:val="17"/>
        </w:rPr>
        <w:t>第二部分景德镇市珠山区新区发展中心20</w:t>
      </w:r>
      <w:r>
        <w:rPr>
          <w:spacing w:val="16"/>
        </w:rPr>
        <w:t>25年部门预</w:t>
      </w:r>
      <w:r>
        <w:rPr>
          <w:spacing w:val="-6"/>
        </w:rPr>
        <w:t>算表</w:t>
      </w:r>
    </w:p>
    <w:p w14:paraId="2A878707">
      <w:pPr>
        <w:pStyle w:val="2"/>
        <w:spacing w:before="206" w:line="222" w:lineRule="auto"/>
        <w:ind w:left="1365"/>
      </w:pPr>
      <w:r>
        <w:rPr>
          <w:spacing w:val="7"/>
        </w:rPr>
        <w:t>一、《收支预算总表》</w:t>
      </w:r>
    </w:p>
    <w:p w14:paraId="6055FD9F">
      <w:pPr>
        <w:pStyle w:val="2"/>
        <w:spacing w:before="278" w:line="221" w:lineRule="auto"/>
        <w:ind w:left="1380"/>
      </w:pPr>
      <w:r>
        <w:rPr>
          <w:spacing w:val="4"/>
        </w:rPr>
        <w:t>二、《单位收入总表》</w:t>
      </w:r>
    </w:p>
    <w:p w14:paraId="622D8521">
      <w:pPr>
        <w:pStyle w:val="2"/>
        <w:spacing w:before="260" w:line="221" w:lineRule="auto"/>
        <w:ind w:left="1379"/>
      </w:pPr>
      <w:r>
        <w:rPr>
          <w:spacing w:val="5"/>
        </w:rPr>
        <w:t>三、《单位支出总表》</w:t>
      </w:r>
    </w:p>
    <w:p w14:paraId="4839C64B">
      <w:pPr>
        <w:pStyle w:val="2"/>
        <w:spacing w:before="270" w:line="223" w:lineRule="auto"/>
        <w:ind w:left="1461"/>
      </w:pPr>
      <w:r>
        <w:rPr>
          <w:spacing w:val="2"/>
        </w:rPr>
        <w:t>四、《财政拨款收支总表》</w:t>
      </w:r>
    </w:p>
    <w:p w14:paraId="36C118E5">
      <w:pPr>
        <w:pStyle w:val="2"/>
        <w:spacing w:before="254" w:line="222" w:lineRule="auto"/>
        <w:ind w:left="1365"/>
      </w:pPr>
      <w:r>
        <w:rPr>
          <w:spacing w:val="10"/>
        </w:rPr>
        <w:t>五、《一般公共预算支出表》</w:t>
      </w:r>
    </w:p>
    <w:p w14:paraId="511BA402">
      <w:pPr>
        <w:pStyle w:val="2"/>
        <w:spacing w:before="263" w:line="222" w:lineRule="auto"/>
        <w:ind w:left="1358"/>
      </w:pPr>
      <w:r>
        <w:rPr>
          <w:spacing w:val="12"/>
        </w:rPr>
        <w:t>六、《一般公共预算基本支出表》</w:t>
      </w:r>
    </w:p>
    <w:p w14:paraId="2D0F06ED">
      <w:pPr>
        <w:pStyle w:val="2"/>
        <w:spacing w:before="266" w:line="223" w:lineRule="auto"/>
        <w:ind w:left="1371"/>
      </w:pPr>
      <w:r>
        <w:rPr>
          <w:spacing w:val="3"/>
        </w:rPr>
        <w:t>七、《财政拨款“</w:t>
      </w:r>
      <w:r>
        <w:rPr>
          <w:spacing w:val="-100"/>
        </w:rPr>
        <w:t xml:space="preserve"> </w:t>
      </w:r>
      <w:r>
        <w:rPr>
          <w:spacing w:val="3"/>
        </w:rPr>
        <w:t>三公</w:t>
      </w:r>
      <w:r>
        <w:rPr>
          <w:spacing w:val="-98"/>
        </w:rPr>
        <w:t xml:space="preserve"> </w:t>
      </w:r>
      <w:r>
        <w:rPr>
          <w:spacing w:val="3"/>
        </w:rPr>
        <w:t>”经费支出表》</w:t>
      </w:r>
    </w:p>
    <w:p w14:paraId="61C3A200">
      <w:pPr>
        <w:pStyle w:val="2"/>
        <w:spacing w:before="250" w:line="220" w:lineRule="auto"/>
        <w:ind w:left="1350"/>
      </w:pPr>
      <w:r>
        <w:rPr>
          <w:spacing w:val="12"/>
        </w:rPr>
        <w:t>八、《政府性基金预算支出表》</w:t>
      </w:r>
    </w:p>
    <w:p w14:paraId="74538F05">
      <w:pPr>
        <w:pStyle w:val="2"/>
        <w:spacing w:before="249" w:line="222" w:lineRule="auto"/>
        <w:ind w:left="1386"/>
      </w:pPr>
      <w:r>
        <w:rPr>
          <w:spacing w:val="13"/>
        </w:rPr>
        <w:t>九、《国有资本经营预算支出表》</w:t>
      </w:r>
    </w:p>
    <w:p w14:paraId="7E55CA66">
      <w:pPr>
        <w:pStyle w:val="2"/>
        <w:spacing w:before="283" w:line="222" w:lineRule="auto"/>
        <w:ind w:left="1379"/>
      </w:pPr>
      <w:r>
        <w:rPr>
          <w:spacing w:val="13"/>
        </w:rPr>
        <w:t>十、《部门整体支出绩效目标表》</w:t>
      </w:r>
    </w:p>
    <w:p w14:paraId="558906A1">
      <w:pPr>
        <w:pStyle w:val="2"/>
        <w:spacing w:before="266" w:line="222" w:lineRule="auto"/>
        <w:ind w:left="1379"/>
      </w:pPr>
      <w:r>
        <w:rPr>
          <w:spacing w:val="11"/>
        </w:rPr>
        <w:t>十一、《项目支出绩效目标表》</w:t>
      </w:r>
    </w:p>
    <w:p w14:paraId="5A304B9E">
      <w:pPr>
        <w:pStyle w:val="2"/>
        <w:spacing w:before="271" w:line="360" w:lineRule="auto"/>
        <w:ind w:left="768" w:right="234" w:hanging="16"/>
      </w:pPr>
      <w:r>
        <w:rPr>
          <w:spacing w:val="-13"/>
        </w:rPr>
        <w:t>第三部分景</w:t>
      </w:r>
      <w:r>
        <w:rPr>
          <w:spacing w:val="-50"/>
        </w:rPr>
        <w:t xml:space="preserve"> </w:t>
      </w:r>
      <w:r>
        <w:rPr>
          <w:spacing w:val="-13"/>
        </w:rPr>
        <w:t>德</w:t>
      </w:r>
      <w:r>
        <w:rPr>
          <w:spacing w:val="-59"/>
        </w:rPr>
        <w:t xml:space="preserve"> </w:t>
      </w:r>
      <w:r>
        <w:rPr>
          <w:spacing w:val="-13"/>
        </w:rPr>
        <w:t>镇</w:t>
      </w:r>
      <w:r>
        <w:rPr>
          <w:spacing w:val="-49"/>
        </w:rPr>
        <w:t xml:space="preserve"> </w:t>
      </w:r>
      <w:r>
        <w:rPr>
          <w:spacing w:val="-13"/>
        </w:rPr>
        <w:t>市</w:t>
      </w:r>
      <w:r>
        <w:rPr>
          <w:spacing w:val="-56"/>
        </w:rPr>
        <w:t xml:space="preserve"> </w:t>
      </w:r>
      <w:r>
        <w:rPr>
          <w:spacing w:val="-13"/>
        </w:rPr>
        <w:t>珠</w:t>
      </w:r>
      <w:r>
        <w:rPr>
          <w:spacing w:val="-31"/>
        </w:rPr>
        <w:t xml:space="preserve"> </w:t>
      </w:r>
      <w:r>
        <w:rPr>
          <w:spacing w:val="-13"/>
        </w:rPr>
        <w:t>山</w:t>
      </w:r>
      <w:r>
        <w:rPr>
          <w:spacing w:val="-33"/>
        </w:rPr>
        <w:t xml:space="preserve"> </w:t>
      </w:r>
      <w:r>
        <w:rPr>
          <w:spacing w:val="-13"/>
        </w:rPr>
        <w:t>区</w:t>
      </w:r>
      <w:r>
        <w:rPr>
          <w:spacing w:val="-59"/>
        </w:rPr>
        <w:t xml:space="preserve"> </w:t>
      </w:r>
      <w:r>
        <w:rPr>
          <w:spacing w:val="-13"/>
        </w:rPr>
        <w:t>新</w:t>
      </w:r>
      <w:r>
        <w:rPr>
          <w:spacing w:val="-32"/>
        </w:rPr>
        <w:t xml:space="preserve"> </w:t>
      </w:r>
      <w:r>
        <w:rPr>
          <w:spacing w:val="-13"/>
        </w:rPr>
        <w:t>区</w:t>
      </w:r>
      <w:r>
        <w:rPr>
          <w:spacing w:val="-50"/>
        </w:rPr>
        <w:t xml:space="preserve"> </w:t>
      </w:r>
      <w:r>
        <w:rPr>
          <w:spacing w:val="-13"/>
        </w:rPr>
        <w:t>发</w:t>
      </w:r>
      <w:r>
        <w:rPr>
          <w:spacing w:val="-57"/>
        </w:rPr>
        <w:t xml:space="preserve"> </w:t>
      </w:r>
      <w:r>
        <w:rPr>
          <w:spacing w:val="-13"/>
        </w:rPr>
        <w:t>展 中</w:t>
      </w:r>
      <w:r>
        <w:rPr>
          <w:spacing w:val="-52"/>
        </w:rPr>
        <w:t xml:space="preserve"> </w:t>
      </w:r>
      <w:r>
        <w:rPr>
          <w:spacing w:val="-13"/>
        </w:rPr>
        <w:t>心</w:t>
      </w:r>
      <w:r>
        <w:rPr>
          <w:spacing w:val="-64"/>
        </w:rPr>
        <w:t xml:space="preserve"> </w:t>
      </w:r>
      <w:r>
        <w:rPr>
          <w:spacing w:val="-13"/>
        </w:rPr>
        <w:t>2025年部</w:t>
      </w:r>
      <w:r>
        <w:rPr>
          <w:spacing w:val="6"/>
        </w:rPr>
        <w:t>门预算情况说明</w:t>
      </w:r>
    </w:p>
    <w:p w14:paraId="6A2145CD">
      <w:pPr>
        <w:pStyle w:val="2"/>
        <w:spacing w:before="233" w:line="222" w:lineRule="auto"/>
        <w:ind w:left="1365"/>
      </w:pPr>
      <w:r>
        <w:rPr>
          <w:spacing w:val="6"/>
        </w:rPr>
        <w:t>一、2025年部门预算收支情况说明</w:t>
      </w:r>
    </w:p>
    <w:p w14:paraId="6AF5A179">
      <w:pPr>
        <w:pStyle w:val="2"/>
        <w:spacing w:before="263" w:line="222" w:lineRule="auto"/>
        <w:ind w:left="1380"/>
      </w:pPr>
      <w:r>
        <w:t>二、2025年“</w:t>
      </w:r>
      <w:r>
        <w:rPr>
          <w:spacing w:val="-106"/>
        </w:rPr>
        <w:t xml:space="preserve"> </w:t>
      </w:r>
      <w:r>
        <w:t>三公</w:t>
      </w:r>
      <w:r>
        <w:rPr>
          <w:spacing w:val="-103"/>
        </w:rPr>
        <w:t xml:space="preserve"> </w:t>
      </w:r>
      <w:r>
        <w:t>”经费预算情况说明</w:t>
      </w:r>
    </w:p>
    <w:p w14:paraId="74D8CA8B">
      <w:pPr>
        <w:pStyle w:val="2"/>
        <w:spacing w:before="339" w:line="222" w:lineRule="auto"/>
        <w:ind w:left="766"/>
      </w:pPr>
      <w:r>
        <w:rPr>
          <w:spacing w:val="1"/>
        </w:rPr>
        <w:t>第四部分名词解释</w:t>
      </w:r>
    </w:p>
    <w:p w14:paraId="3CE6ABFA">
      <w:pPr>
        <w:spacing w:line="222" w:lineRule="auto"/>
        <w:sectPr>
          <w:pgSz w:w="11906" w:h="16840"/>
          <w:pgMar w:top="1431" w:right="1785" w:bottom="0" w:left="1785" w:header="0" w:footer="0" w:gutter="0"/>
          <w:cols w:space="720" w:num="1"/>
        </w:sectPr>
      </w:pPr>
    </w:p>
    <w:p w14:paraId="30BF4654">
      <w:pPr>
        <w:pStyle w:val="2"/>
        <w:spacing w:before="61" w:line="222" w:lineRule="auto"/>
        <w:ind w:left="497"/>
        <w:outlineLvl w:val="0"/>
      </w:pPr>
      <w:r>
        <w:rPr>
          <w:b/>
          <w:bCs/>
          <w:color w:val="333333"/>
          <w:spacing w:val="-8"/>
        </w:rPr>
        <w:t>第一部分珠山区新区发展中心概况</w:t>
      </w:r>
    </w:p>
    <w:p w14:paraId="289FFEBA">
      <w:pPr>
        <w:spacing w:line="309" w:lineRule="auto"/>
        <w:rPr>
          <w:rFonts w:ascii="Arial"/>
          <w:sz w:val="21"/>
        </w:rPr>
      </w:pPr>
    </w:p>
    <w:p w14:paraId="1CC14757">
      <w:pPr>
        <w:pStyle w:val="2"/>
        <w:spacing w:before="97" w:line="222" w:lineRule="auto"/>
        <w:ind w:left="1082"/>
      </w:pPr>
      <w:r>
        <w:rPr>
          <w:color w:val="333333"/>
          <w:spacing w:val="-7"/>
        </w:rPr>
        <w:t>一、部门主要职责</w:t>
      </w:r>
    </w:p>
    <w:p w14:paraId="1BCAB3DF">
      <w:pPr>
        <w:spacing w:line="336" w:lineRule="auto"/>
        <w:rPr>
          <w:rFonts w:ascii="Arial"/>
          <w:sz w:val="21"/>
        </w:rPr>
      </w:pPr>
    </w:p>
    <w:p w14:paraId="65AAB1E5">
      <w:pPr>
        <w:pStyle w:val="2"/>
        <w:spacing w:before="98" w:line="384" w:lineRule="auto"/>
        <w:ind w:left="50" w:right="6" w:firstLine="603"/>
        <w:jc w:val="both"/>
      </w:pPr>
      <w:r>
        <w:rPr>
          <w:spacing w:val="-5"/>
        </w:rPr>
        <w:t>认真贯彻执行国家有关基本建设的方针、政策，坚持按基本</w:t>
      </w:r>
      <w:r>
        <w:rPr>
          <w:spacing w:val="1"/>
        </w:rPr>
        <w:t>建设程序办事;组织制订珠山新区总体建设规划。保质保</w:t>
      </w:r>
      <w:r>
        <w:t>量完成</w:t>
      </w:r>
      <w:r>
        <w:rPr>
          <w:spacing w:val="-3"/>
        </w:rPr>
        <w:t>区委、区政府下达的各项基本建设任务。</w:t>
      </w:r>
    </w:p>
    <w:p w14:paraId="020FB25C">
      <w:pPr>
        <w:pStyle w:val="2"/>
        <w:spacing w:before="1" w:line="383" w:lineRule="auto"/>
        <w:ind w:left="82" w:right="26" w:firstLine="571"/>
      </w:pPr>
      <w:r>
        <w:rPr>
          <w:spacing w:val="-6"/>
        </w:rPr>
        <w:t>根据珠山新区中心需要，负责拟订珠山新区基本建设项目投</w:t>
      </w:r>
      <w:r>
        <w:rPr>
          <w:spacing w:val="-4"/>
        </w:rPr>
        <w:t>资年度计划，按规定向上级编报基本建设统计报表。</w:t>
      </w:r>
    </w:p>
    <w:p w14:paraId="31CB4D10">
      <w:pPr>
        <w:pStyle w:val="2"/>
        <w:spacing w:before="3" w:line="381" w:lineRule="auto"/>
        <w:ind w:left="49" w:right="16" w:firstLine="618"/>
      </w:pPr>
      <w:r>
        <w:rPr>
          <w:spacing w:val="-2"/>
        </w:rPr>
        <w:t>负责编制或委托编制基建工程项目建议书、</w:t>
      </w:r>
      <w:r>
        <w:rPr>
          <w:spacing w:val="-3"/>
        </w:rPr>
        <w:t>可行性研究报</w:t>
      </w:r>
      <w:r>
        <w:rPr>
          <w:spacing w:val="-5"/>
        </w:rPr>
        <w:t>告、设计任务书;组织安排设计、地质勘探招标或委托工作;组织</w:t>
      </w:r>
      <w:r>
        <w:rPr>
          <w:spacing w:val="-2"/>
        </w:rPr>
        <w:t>设计方案比选、审查、论证及设计的管理和设计报批工作。</w:t>
      </w:r>
    </w:p>
    <w:p w14:paraId="26A7E5BC">
      <w:pPr>
        <w:pStyle w:val="2"/>
        <w:spacing w:before="1" w:line="385" w:lineRule="auto"/>
        <w:ind w:left="68" w:right="25" w:firstLine="600"/>
      </w:pPr>
      <w:r>
        <w:rPr>
          <w:spacing w:val="-6"/>
        </w:rPr>
        <w:t>负责基建工程项目的施工招标、监理招标，落</w:t>
      </w:r>
      <w:r>
        <w:rPr>
          <w:spacing w:val="-7"/>
        </w:rPr>
        <w:t>实项目施工、</w:t>
      </w:r>
      <w:r>
        <w:rPr>
          <w:spacing w:val="-4"/>
        </w:rPr>
        <w:t>监理企业，签订施工、监理等有关合同。</w:t>
      </w:r>
    </w:p>
    <w:p w14:paraId="322BD474">
      <w:pPr>
        <w:pStyle w:val="2"/>
        <w:spacing w:before="3" w:line="381" w:lineRule="auto"/>
        <w:ind w:left="49" w:right="6" w:firstLine="608"/>
        <w:jc w:val="both"/>
      </w:pPr>
      <w:r>
        <w:rPr>
          <w:spacing w:val="-5"/>
        </w:rPr>
        <w:t>在工程项目实施过程中，监督控制工程质量、进度、安</w:t>
      </w:r>
      <w:r>
        <w:rPr>
          <w:spacing w:val="-6"/>
        </w:rPr>
        <w:t>全和</w:t>
      </w:r>
      <w:r>
        <w:rPr>
          <w:spacing w:val="-5"/>
        </w:rPr>
        <w:t>投资，组织工程的竣工验收备案、工程决算送审，督促做好工程</w:t>
      </w:r>
      <w:r>
        <w:rPr>
          <w:spacing w:val="-4"/>
        </w:rPr>
        <w:t>保修期内的回访和维护工作。</w:t>
      </w:r>
    </w:p>
    <w:p w14:paraId="3CD9D7B5">
      <w:pPr>
        <w:pStyle w:val="2"/>
        <w:spacing w:before="3" w:line="383" w:lineRule="auto"/>
        <w:ind w:left="49" w:right="18" w:firstLine="618"/>
      </w:pPr>
      <w:r>
        <w:rPr>
          <w:spacing w:val="-6"/>
        </w:rPr>
        <w:t>负责基建费用的使用管理，合理安排基建经费，控制投资指</w:t>
      </w:r>
      <w:r>
        <w:rPr>
          <w:spacing w:val="-4"/>
        </w:rPr>
        <w:t>标，掌握基建进度和用款情况。</w:t>
      </w:r>
    </w:p>
    <w:p w14:paraId="3AFC2E9E">
      <w:pPr>
        <w:pStyle w:val="2"/>
        <w:spacing w:before="2" w:line="383" w:lineRule="auto"/>
        <w:ind w:left="68" w:right="21" w:firstLine="593"/>
      </w:pPr>
      <w:r>
        <w:rPr>
          <w:spacing w:val="-6"/>
        </w:rPr>
        <w:t>配合区审计部门编制或委托编制工程项目的预算和标底，配</w:t>
      </w:r>
      <w:r>
        <w:rPr>
          <w:spacing w:val="-4"/>
        </w:rPr>
        <w:t>合区审计部门做好工程结算的审计。</w:t>
      </w:r>
    </w:p>
    <w:p w14:paraId="6F19487B">
      <w:pPr>
        <w:spacing w:line="383" w:lineRule="auto"/>
        <w:sectPr>
          <w:pgSz w:w="11906" w:h="16840"/>
          <w:pgMar w:top="1390" w:right="1785" w:bottom="0" w:left="1785" w:header="0" w:footer="0" w:gutter="0"/>
          <w:cols w:space="720" w:num="1"/>
        </w:sectPr>
      </w:pPr>
    </w:p>
    <w:p w14:paraId="73EF05E1">
      <w:pPr>
        <w:pStyle w:val="2"/>
        <w:spacing w:before="219" w:line="383" w:lineRule="auto"/>
        <w:ind w:left="50" w:firstLine="627"/>
        <w:jc w:val="both"/>
      </w:pPr>
      <w:r>
        <w:rPr>
          <w:spacing w:val="3"/>
        </w:rPr>
        <w:t>加强对外联系，协调外部关系，负责基建项目立项、报审、报建等手</w:t>
      </w:r>
      <w:r>
        <w:rPr>
          <w:spacing w:val="4"/>
        </w:rPr>
        <w:t>续工作。负责珠山新区范围内土地征用、拆迁、办证等工作。</w:t>
      </w:r>
      <w:r>
        <w:rPr>
          <w:spacing w:val="3"/>
        </w:rPr>
        <w:t>负责收集整</w:t>
      </w:r>
      <w:r>
        <w:rPr>
          <w:spacing w:val="4"/>
        </w:rPr>
        <w:t>理基建工程档案资料，并按规定及时向档案部门提供完</w:t>
      </w:r>
      <w:r>
        <w:rPr>
          <w:spacing w:val="3"/>
        </w:rPr>
        <w:t>整、准确的工程档</w:t>
      </w:r>
      <w:r>
        <w:rPr>
          <w:spacing w:val="-10"/>
        </w:rPr>
        <w:t>案。</w:t>
      </w:r>
    </w:p>
    <w:p w14:paraId="055A8627">
      <w:pPr>
        <w:pStyle w:val="2"/>
        <w:spacing w:line="220" w:lineRule="auto"/>
        <w:ind w:left="697"/>
      </w:pPr>
      <w:r>
        <w:rPr>
          <w:spacing w:val="-7"/>
        </w:rPr>
        <w:t>负责珠山新区的招商工作、配合相关部门做好珠山新区的融资工作。</w:t>
      </w:r>
    </w:p>
    <w:p w14:paraId="6339D96E">
      <w:pPr>
        <w:pStyle w:val="2"/>
        <w:spacing w:before="266" w:line="382" w:lineRule="auto"/>
        <w:ind w:left="59" w:right="72" w:firstLine="619"/>
      </w:pPr>
      <w:r>
        <w:rPr>
          <w:spacing w:val="-7"/>
        </w:rPr>
        <w:t>加强基建队伍建设，廉洁奉公，</w:t>
      </w:r>
      <w:r>
        <w:rPr>
          <w:spacing w:val="-60"/>
        </w:rPr>
        <w:t xml:space="preserve"> </w:t>
      </w:r>
      <w:r>
        <w:rPr>
          <w:spacing w:val="-7"/>
        </w:rPr>
        <w:t>自觉接受群众监督;加强政治思想工作</w:t>
      </w:r>
      <w:r>
        <w:t xml:space="preserve"> </w:t>
      </w:r>
      <w:r>
        <w:rPr>
          <w:spacing w:val="-1"/>
        </w:rPr>
        <w:t>,</w:t>
      </w:r>
      <w:r>
        <w:rPr>
          <w:spacing w:val="84"/>
        </w:rPr>
        <w:t xml:space="preserve"> </w:t>
      </w:r>
      <w:r>
        <w:rPr>
          <w:spacing w:val="-1"/>
        </w:rPr>
        <w:t>增加工作责任心，组织业务知识学习，不断提高</w:t>
      </w:r>
      <w:r>
        <w:rPr>
          <w:spacing w:val="-2"/>
        </w:rPr>
        <w:t>工作效率，以适应基建</w:t>
      </w:r>
      <w:r>
        <w:rPr>
          <w:spacing w:val="-4"/>
        </w:rPr>
        <w:t>技术不断更新的需要。</w:t>
      </w:r>
    </w:p>
    <w:p w14:paraId="2A0CF6EE">
      <w:pPr>
        <w:pStyle w:val="2"/>
        <w:spacing w:line="222" w:lineRule="auto"/>
        <w:ind w:left="29"/>
      </w:pPr>
      <w:r>
        <w:rPr>
          <w:spacing w:val="-5"/>
        </w:rPr>
        <w:t>二、机构设置及人员情况</w:t>
      </w:r>
    </w:p>
    <w:p w14:paraId="0B050851">
      <w:pPr>
        <w:pStyle w:val="2"/>
        <w:spacing w:before="307" w:line="227" w:lineRule="auto"/>
        <w:ind w:left="693"/>
      </w:pPr>
      <w:r>
        <w:rPr>
          <w:spacing w:val="3"/>
        </w:rPr>
        <w:t>2025 年景德镇市珠山区新区发展中心共有预算单位 1个，</w:t>
      </w:r>
    </w:p>
    <w:p w14:paraId="372F9F93">
      <w:pPr>
        <w:pStyle w:val="2"/>
        <w:spacing w:before="266" w:line="382" w:lineRule="auto"/>
        <w:ind w:left="41" w:right="21" w:firstLine="645"/>
      </w:pPr>
      <w:r>
        <w:rPr>
          <w:spacing w:val="13"/>
        </w:rPr>
        <w:t>编制人数小计3人,其中：行政编制人数0</w:t>
      </w:r>
      <w:r>
        <w:rPr>
          <w:spacing w:val="-73"/>
        </w:rPr>
        <w:t xml:space="preserve"> </w:t>
      </w:r>
      <w:r>
        <w:rPr>
          <w:spacing w:val="13"/>
        </w:rPr>
        <w:t>人</w:t>
      </w:r>
      <w:r>
        <w:rPr>
          <w:spacing w:val="12"/>
        </w:rPr>
        <w:t>,参照 公务员管理的事</w:t>
      </w:r>
      <w:r>
        <w:rPr>
          <w:spacing w:val="9"/>
        </w:rPr>
        <w:t>业编制人数 0人,全部补助事业编制人数3</w:t>
      </w:r>
      <w:r>
        <w:rPr>
          <w:spacing w:val="-38"/>
        </w:rPr>
        <w:t xml:space="preserve"> </w:t>
      </w:r>
      <w:r>
        <w:rPr>
          <w:spacing w:val="9"/>
        </w:rPr>
        <w:t>人, 自收自支编制人数</w:t>
      </w:r>
      <w:r>
        <w:rPr>
          <w:spacing w:val="-51"/>
        </w:rPr>
        <w:t xml:space="preserve"> </w:t>
      </w:r>
      <w:r>
        <w:rPr>
          <w:spacing w:val="9"/>
        </w:rPr>
        <w:t>0人。</w:t>
      </w:r>
      <w:r>
        <w:rPr>
          <w:spacing w:val="5"/>
        </w:rPr>
        <w:t>实有人数小计3人,其中： 在职人数小计3</w:t>
      </w:r>
      <w:r>
        <w:rPr>
          <w:spacing w:val="-65"/>
        </w:rPr>
        <w:t xml:space="preserve"> </w:t>
      </w:r>
      <w:r>
        <w:rPr>
          <w:spacing w:val="5"/>
        </w:rPr>
        <w:t>人,行政在职人数0人,参照公务</w:t>
      </w:r>
      <w:r>
        <w:rPr>
          <w:spacing w:val="11"/>
        </w:rPr>
        <w:t>员管理</w:t>
      </w:r>
      <w:r>
        <w:rPr>
          <w:spacing w:val="47"/>
        </w:rPr>
        <w:t xml:space="preserve"> </w:t>
      </w:r>
      <w:r>
        <w:rPr>
          <w:spacing w:val="11"/>
        </w:rPr>
        <w:t>的事业单位在职人数0</w:t>
      </w:r>
      <w:r>
        <w:rPr>
          <w:spacing w:val="-64"/>
        </w:rPr>
        <w:t xml:space="preserve"> </w:t>
      </w:r>
      <w:r>
        <w:rPr>
          <w:spacing w:val="11"/>
        </w:rPr>
        <w:t>人,全部补助事业在职人</w:t>
      </w:r>
      <w:r>
        <w:rPr>
          <w:spacing w:val="10"/>
        </w:rPr>
        <w:t>数 3 人。</w:t>
      </w:r>
      <w:r>
        <w:rPr>
          <w:spacing w:val="52"/>
        </w:rPr>
        <w:t xml:space="preserve"> </w:t>
      </w:r>
      <w:r>
        <w:rPr>
          <w:spacing w:val="10"/>
        </w:rPr>
        <w:t>离休</w:t>
      </w:r>
      <w:r>
        <w:rPr>
          <w:spacing w:val="9"/>
        </w:rPr>
        <w:t xml:space="preserve">人数小计 0人,退休人数小计 0人,退职人员 </w:t>
      </w:r>
      <w:r>
        <w:rPr>
          <w:spacing w:val="8"/>
        </w:rPr>
        <w:t>0人,遗属人数</w:t>
      </w:r>
      <w:r>
        <w:rPr>
          <w:spacing w:val="-31"/>
        </w:rPr>
        <w:t xml:space="preserve"> </w:t>
      </w:r>
      <w:r>
        <w:rPr>
          <w:spacing w:val="8"/>
        </w:rPr>
        <w:t>0人。</w:t>
      </w:r>
    </w:p>
    <w:p w14:paraId="470D81B4">
      <w:pPr>
        <w:spacing w:line="382" w:lineRule="auto"/>
        <w:sectPr>
          <w:pgSz w:w="11906" w:h="16840"/>
          <w:pgMar w:top="1431" w:right="345" w:bottom="0" w:left="1785" w:header="0" w:footer="0" w:gutter="0"/>
          <w:cols w:space="720" w:num="1"/>
        </w:sectPr>
      </w:pPr>
    </w:p>
    <w:p w14:paraId="0C758D76">
      <w:pPr>
        <w:pStyle w:val="2"/>
        <w:spacing w:before="60" w:line="222" w:lineRule="auto"/>
        <w:ind w:left="992"/>
        <w:outlineLvl w:val="0"/>
      </w:pPr>
      <w:r>
        <w:rPr>
          <w:b/>
          <w:bCs/>
          <w:color w:val="333333"/>
          <w:spacing w:val="-6"/>
        </w:rPr>
        <w:t>第二部分珠山区新区发展中心2025年部门预算表</w:t>
      </w:r>
    </w:p>
    <w:p w14:paraId="51CE17E4">
      <w:pPr>
        <w:spacing w:line="313" w:lineRule="auto"/>
        <w:rPr>
          <w:rFonts w:ascii="Arial"/>
          <w:sz w:val="21"/>
        </w:rPr>
      </w:pPr>
    </w:p>
    <w:p w14:paraId="5A8243B9">
      <w:pPr>
        <w:pStyle w:val="2"/>
        <w:spacing w:before="98" w:line="208" w:lineRule="auto"/>
        <w:ind w:left="1082"/>
        <w:outlineLvl w:val="1"/>
      </w:pPr>
      <w:r>
        <w:rPr>
          <w:color w:val="333333"/>
          <w:spacing w:val="-5"/>
        </w:rPr>
        <w:t>一、《收支预算总表》</w:t>
      </w:r>
    </w:p>
    <w:p w14:paraId="48876486">
      <w:pPr>
        <w:spacing w:line="10622" w:lineRule="exact"/>
      </w:pPr>
      <w:r>
        <w:rPr>
          <w:position w:val="-212"/>
        </w:rPr>
        <w:drawing>
          <wp:inline distT="0" distB="0" distL="0" distR="0">
            <wp:extent cx="6001385" cy="674497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1511" cy="67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2E00">
      <w:pPr>
        <w:spacing w:line="10622" w:lineRule="exact"/>
        <w:sectPr>
          <w:pgSz w:w="11906" w:h="16840"/>
          <w:pgMar w:top="1390" w:right="669" w:bottom="0" w:left="1785" w:header="0" w:footer="0" w:gutter="0"/>
          <w:cols w:space="720" w:num="1"/>
        </w:sectPr>
      </w:pPr>
    </w:p>
    <w:p w14:paraId="4E78512A">
      <w:pPr>
        <w:pStyle w:val="2"/>
        <w:spacing w:before="116" w:line="208" w:lineRule="auto"/>
        <w:ind w:left="58"/>
        <w:outlineLvl w:val="1"/>
      </w:pPr>
      <w:r>
        <w:rPr>
          <w:color w:val="333333"/>
          <w:spacing w:val="-6"/>
        </w:rPr>
        <w:t>二、《单位收入总表》</w:t>
      </w:r>
    </w:p>
    <w:p w14:paraId="5E3DC645">
      <w:pPr>
        <w:spacing w:line="7343" w:lineRule="exact"/>
      </w:pPr>
      <w:r>
        <w:rPr>
          <w:position w:val="-146"/>
        </w:rPr>
        <w:drawing>
          <wp:inline distT="0" distB="0" distL="0" distR="0">
            <wp:extent cx="8867775" cy="466280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8156" cy="466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D183">
      <w:pPr>
        <w:spacing w:line="7343" w:lineRule="exact"/>
        <w:sectPr>
          <w:pgSz w:w="16840" w:h="11906"/>
          <w:pgMar w:top="1012" w:right="1013" w:bottom="0" w:left="1860" w:header="0" w:footer="0" w:gutter="0"/>
          <w:cols w:space="720" w:num="1"/>
        </w:sectPr>
      </w:pPr>
    </w:p>
    <w:p w14:paraId="39530681">
      <w:pPr>
        <w:spacing w:line="302" w:lineRule="auto"/>
        <w:rPr>
          <w:rFonts w:ascii="Arial"/>
          <w:sz w:val="21"/>
        </w:rPr>
      </w:pPr>
    </w:p>
    <w:p w14:paraId="6E341B17">
      <w:pPr>
        <w:pStyle w:val="2"/>
        <w:spacing w:before="97" w:line="221" w:lineRule="auto"/>
        <w:ind w:left="477"/>
        <w:outlineLvl w:val="1"/>
      </w:pPr>
      <w:r>
        <w:rPr>
          <w:color w:val="333333"/>
          <w:spacing w:val="-7"/>
        </w:rPr>
        <w:t>三、《单位支出总表》</w:t>
      </w:r>
    </w:p>
    <w:p w14:paraId="37484E77">
      <w:pPr>
        <w:spacing w:before="51" w:line="9780" w:lineRule="exact"/>
      </w:pPr>
      <w:r>
        <w:rPr>
          <w:position w:val="-195"/>
        </w:rPr>
        <w:drawing>
          <wp:inline distT="0" distB="0" distL="0" distR="0">
            <wp:extent cx="7599680" cy="62103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0188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C687">
      <w:pPr>
        <w:spacing w:line="9780" w:lineRule="exact"/>
        <w:sectPr>
          <w:pgSz w:w="16840" w:h="11906"/>
          <w:pgMar w:top="1012" w:right="2525" w:bottom="0" w:left="1860" w:header="0" w:footer="0" w:gutter="0"/>
          <w:cols w:space="720" w:num="1"/>
        </w:sectPr>
      </w:pPr>
    </w:p>
    <w:p w14:paraId="298ADC1A">
      <w:pPr>
        <w:pStyle w:val="2"/>
        <w:spacing w:before="195" w:line="207" w:lineRule="auto"/>
        <w:ind w:left="962"/>
        <w:outlineLvl w:val="1"/>
      </w:pPr>
      <w:r>
        <w:rPr>
          <w:color w:val="333333"/>
          <w:spacing w:val="-9"/>
        </w:rPr>
        <w:t>四、《财政拨款收支总表》</w:t>
      </w:r>
    </w:p>
    <w:p w14:paraId="2E847E42">
      <w:pPr>
        <w:spacing w:line="10027" w:lineRule="exact"/>
      </w:pPr>
      <w:r>
        <w:rPr>
          <w:position w:val="-200"/>
        </w:rPr>
        <w:drawing>
          <wp:inline distT="0" distB="0" distL="0" distR="0">
            <wp:extent cx="6254115" cy="63671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636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9AED">
      <w:pPr>
        <w:spacing w:line="10027" w:lineRule="exact"/>
        <w:sectPr>
          <w:pgSz w:w="11906" w:h="16840"/>
          <w:pgMar w:top="1431" w:right="270" w:bottom="0" w:left="1785" w:header="0" w:footer="0" w:gutter="0"/>
          <w:cols w:space="720" w:num="1"/>
        </w:sectPr>
      </w:pPr>
    </w:p>
    <w:p w14:paraId="0BB9301E">
      <w:pPr>
        <w:pStyle w:val="2"/>
        <w:spacing w:before="120" w:line="222" w:lineRule="auto"/>
        <w:ind w:left="24"/>
        <w:outlineLvl w:val="1"/>
      </w:pPr>
      <w:r>
        <w:rPr>
          <w:color w:val="333333"/>
          <w:spacing w:val="-4"/>
        </w:rPr>
        <w:t>五、《一般公共预算支出表》</w:t>
      </w:r>
    </w:p>
    <w:p w14:paraId="38653737">
      <w:pPr>
        <w:spacing w:before="50" w:line="9432" w:lineRule="exact"/>
      </w:pPr>
      <w:r>
        <w:rPr>
          <w:position w:val="-188"/>
        </w:rPr>
        <w:drawing>
          <wp:inline distT="0" distB="0" distL="0" distR="0">
            <wp:extent cx="6685280" cy="59893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5788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DFA8">
      <w:pPr>
        <w:spacing w:line="9432" w:lineRule="exact"/>
        <w:sectPr>
          <w:pgSz w:w="16840" w:h="11906"/>
          <w:pgMar w:top="1012" w:right="2525" w:bottom="0" w:left="2308" w:header="0" w:footer="0" w:gutter="0"/>
          <w:cols w:space="720" w:num="1"/>
        </w:sectPr>
      </w:pPr>
    </w:p>
    <w:p w14:paraId="1E29F4AB">
      <w:pPr>
        <w:spacing w:line="7917" w:lineRule="exact"/>
      </w:pPr>
      <w:r>
        <w:rPr>
          <w:position w:val="-158"/>
        </w:rPr>
        <w:drawing>
          <wp:inline distT="0" distB="0" distL="0" distR="0">
            <wp:extent cx="8585835" cy="502729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86216" cy="50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D4E6">
      <w:pPr>
        <w:spacing w:line="7917" w:lineRule="exact"/>
        <w:sectPr>
          <w:headerReference r:id="rId5" w:type="default"/>
          <w:pgSz w:w="16840" w:h="11906"/>
          <w:pgMar w:top="1468" w:right="1457" w:bottom="0" w:left="1860" w:header="1055" w:footer="0" w:gutter="0"/>
          <w:cols w:space="720" w:num="1"/>
        </w:sectPr>
      </w:pPr>
    </w:p>
    <w:p w14:paraId="6FACEF26">
      <w:pPr>
        <w:spacing w:line="308" w:lineRule="auto"/>
        <w:rPr>
          <w:rFonts w:ascii="Arial"/>
          <w:sz w:val="21"/>
        </w:rPr>
      </w:pPr>
    </w:p>
    <w:p w14:paraId="6AA4E51B">
      <w:pPr>
        <w:spacing w:line="308" w:lineRule="auto"/>
        <w:rPr>
          <w:rFonts w:ascii="Arial"/>
          <w:sz w:val="21"/>
        </w:rPr>
      </w:pPr>
    </w:p>
    <w:p w14:paraId="28460B68">
      <w:pPr>
        <w:spacing w:line="308" w:lineRule="auto"/>
        <w:rPr>
          <w:rFonts w:ascii="Arial"/>
          <w:sz w:val="21"/>
        </w:rPr>
      </w:pPr>
    </w:p>
    <w:p w14:paraId="18012783">
      <w:pPr>
        <w:pStyle w:val="2"/>
        <w:spacing w:before="97" w:line="210" w:lineRule="auto"/>
        <w:ind w:left="25"/>
        <w:outlineLvl w:val="1"/>
      </w:pPr>
      <w:r>
        <w:rPr>
          <w:b/>
          <w:bCs/>
          <w:color w:val="333333"/>
          <w:spacing w:val="-9"/>
        </w:rPr>
        <w:t>七、</w:t>
      </w:r>
      <w:r>
        <w:rPr>
          <w:color w:val="333333"/>
          <w:spacing w:val="-9"/>
        </w:rPr>
        <w:t>《财政拨款“三公</w:t>
      </w:r>
      <w:r>
        <w:rPr>
          <w:color w:val="333333"/>
          <w:spacing w:val="-103"/>
        </w:rPr>
        <w:t xml:space="preserve"> </w:t>
      </w:r>
      <w:r>
        <w:rPr>
          <w:color w:val="333333"/>
          <w:spacing w:val="-9"/>
        </w:rPr>
        <w:t>”经费支出表》</w:t>
      </w:r>
    </w:p>
    <w:p w14:paraId="0C606EE1">
      <w:pPr>
        <w:spacing w:line="2400" w:lineRule="exact"/>
      </w:pPr>
      <w:r>
        <w:rPr>
          <w:position w:val="-48"/>
        </w:rPr>
        <w:drawing>
          <wp:inline distT="0" distB="0" distL="0" distR="0">
            <wp:extent cx="8924290" cy="15240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2454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C32C">
      <w:pPr>
        <w:spacing w:line="2400" w:lineRule="exact"/>
        <w:sectPr>
          <w:headerReference r:id="rId6" w:type="default"/>
          <w:pgSz w:w="16840" w:h="11906"/>
          <w:pgMar w:top="400" w:right="924" w:bottom="0" w:left="1860" w:header="0" w:footer="0" w:gutter="0"/>
          <w:cols w:space="720" w:num="1"/>
        </w:sectPr>
      </w:pPr>
    </w:p>
    <w:p w14:paraId="64C1873A">
      <w:pPr>
        <w:spacing w:line="313" w:lineRule="auto"/>
        <w:rPr>
          <w:rFonts w:ascii="Arial"/>
          <w:sz w:val="21"/>
        </w:rPr>
      </w:pPr>
    </w:p>
    <w:p w14:paraId="656D9B52">
      <w:pPr>
        <w:spacing w:line="313" w:lineRule="auto"/>
        <w:rPr>
          <w:rFonts w:ascii="Arial"/>
          <w:sz w:val="21"/>
        </w:rPr>
      </w:pPr>
    </w:p>
    <w:p w14:paraId="56D74A5C">
      <w:pPr>
        <w:pStyle w:val="2"/>
        <w:spacing w:before="98" w:line="220" w:lineRule="auto"/>
        <w:ind w:left="35"/>
        <w:outlineLvl w:val="1"/>
      </w:pPr>
      <w:r>
        <w:rPr>
          <w:color w:val="333333"/>
          <w:spacing w:val="-5"/>
        </w:rPr>
        <w:t>八、《政府性基金》</w:t>
      </w:r>
    </w:p>
    <w:p w14:paraId="1A0FF144">
      <w:pPr>
        <w:spacing w:line="265" w:lineRule="auto"/>
        <w:rPr>
          <w:rFonts w:ascii="Arial"/>
          <w:sz w:val="21"/>
        </w:rPr>
      </w:pPr>
    </w:p>
    <w:p w14:paraId="09BC7F11">
      <w:pPr>
        <w:spacing w:line="265" w:lineRule="auto"/>
        <w:rPr>
          <w:rFonts w:ascii="Arial"/>
          <w:sz w:val="21"/>
        </w:rPr>
      </w:pPr>
    </w:p>
    <w:p w14:paraId="4E8925BC">
      <w:pPr>
        <w:spacing w:line="266" w:lineRule="auto"/>
        <w:rPr>
          <w:rFonts w:ascii="Arial"/>
          <w:sz w:val="21"/>
        </w:rPr>
      </w:pPr>
    </w:p>
    <w:p w14:paraId="3E391B36">
      <w:pPr>
        <w:spacing w:line="266" w:lineRule="auto"/>
        <w:rPr>
          <w:rFonts w:ascii="Arial"/>
          <w:sz w:val="21"/>
        </w:rPr>
      </w:pPr>
    </w:p>
    <w:p w14:paraId="2153388E">
      <w:pPr>
        <w:spacing w:line="266" w:lineRule="auto"/>
        <w:rPr>
          <w:rFonts w:ascii="Arial"/>
          <w:sz w:val="21"/>
        </w:rPr>
      </w:pPr>
    </w:p>
    <w:p w14:paraId="61E548B9">
      <w:pPr>
        <w:spacing w:line="266" w:lineRule="auto"/>
        <w:rPr>
          <w:rFonts w:ascii="Arial"/>
          <w:sz w:val="21"/>
        </w:rPr>
      </w:pPr>
    </w:p>
    <w:p w14:paraId="256D5CA8">
      <w:pPr>
        <w:spacing w:line="266" w:lineRule="auto"/>
        <w:rPr>
          <w:rFonts w:ascii="Arial"/>
          <w:sz w:val="21"/>
        </w:rPr>
      </w:pPr>
    </w:p>
    <w:p w14:paraId="0A7FCF7B">
      <w:pPr>
        <w:spacing w:line="266" w:lineRule="auto"/>
        <w:rPr>
          <w:rFonts w:ascii="Arial"/>
          <w:sz w:val="21"/>
        </w:rPr>
      </w:pPr>
    </w:p>
    <w:p w14:paraId="19403E44">
      <w:pPr>
        <w:spacing w:line="266" w:lineRule="auto"/>
        <w:rPr>
          <w:rFonts w:ascii="Arial"/>
          <w:sz w:val="21"/>
        </w:rPr>
      </w:pPr>
    </w:p>
    <w:p w14:paraId="6BB9BACE">
      <w:pPr>
        <w:spacing w:line="2647" w:lineRule="exact"/>
      </w:pPr>
      <w:r>
        <w:rPr>
          <w:position w:val="-52"/>
        </w:rPr>
        <w:drawing>
          <wp:inline distT="0" distB="0" distL="0" distR="0">
            <wp:extent cx="7834630" cy="168084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34884" cy="168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513F">
      <w:pPr>
        <w:spacing w:line="2647" w:lineRule="exact"/>
        <w:sectPr>
          <w:pgSz w:w="16840" w:h="11906"/>
          <w:pgMar w:top="400" w:right="2525" w:bottom="0" w:left="1860" w:header="0" w:footer="0" w:gutter="0"/>
          <w:cols w:space="720" w:num="1"/>
        </w:sectPr>
      </w:pPr>
    </w:p>
    <w:p w14:paraId="6B5F2421">
      <w:pPr>
        <w:spacing w:line="314" w:lineRule="auto"/>
        <w:rPr>
          <w:rFonts w:ascii="Arial"/>
          <w:sz w:val="21"/>
        </w:rPr>
      </w:pPr>
    </w:p>
    <w:p w14:paraId="7558375D">
      <w:pPr>
        <w:spacing w:line="315" w:lineRule="auto"/>
        <w:rPr>
          <w:rFonts w:ascii="Arial"/>
          <w:sz w:val="21"/>
        </w:rPr>
      </w:pPr>
    </w:p>
    <w:p w14:paraId="1D5AB939">
      <w:pPr>
        <w:pStyle w:val="2"/>
        <w:spacing w:before="98" w:line="222" w:lineRule="auto"/>
        <w:ind w:left="59"/>
        <w:outlineLvl w:val="1"/>
      </w:pPr>
      <w:r>
        <w:rPr>
          <w:color w:val="333333"/>
          <w:spacing w:val="-7"/>
        </w:rPr>
        <w:t>九、《国有资本经营》</w:t>
      </w:r>
    </w:p>
    <w:p w14:paraId="4D240200">
      <w:pPr>
        <w:spacing w:line="430" w:lineRule="auto"/>
        <w:rPr>
          <w:rFonts w:ascii="Arial"/>
          <w:sz w:val="21"/>
        </w:rPr>
      </w:pPr>
    </w:p>
    <w:p w14:paraId="41EC642D">
      <w:pPr>
        <w:spacing w:line="2781" w:lineRule="exact"/>
      </w:pPr>
      <w:r>
        <w:rPr>
          <w:position w:val="-55"/>
        </w:rPr>
        <w:drawing>
          <wp:inline distT="0" distB="0" distL="0" distR="0">
            <wp:extent cx="8142605" cy="176593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42731" cy="176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4E2C">
      <w:pPr>
        <w:spacing w:line="2781" w:lineRule="exact"/>
        <w:sectPr>
          <w:pgSz w:w="16840" w:h="11906"/>
          <w:pgMar w:top="400" w:right="2155" w:bottom="0" w:left="1860" w:header="0" w:footer="0" w:gutter="0"/>
          <w:cols w:space="720" w:num="1"/>
        </w:sectPr>
      </w:pPr>
    </w:p>
    <w:p w14:paraId="60A52EAF">
      <w:pPr>
        <w:spacing w:line="280" w:lineRule="auto"/>
        <w:rPr>
          <w:rFonts w:ascii="Arial"/>
          <w:sz w:val="21"/>
        </w:rPr>
      </w:pPr>
    </w:p>
    <w:p w14:paraId="37DEDC9F">
      <w:pPr>
        <w:spacing w:line="280" w:lineRule="auto"/>
        <w:rPr>
          <w:rFonts w:ascii="Arial"/>
          <w:sz w:val="21"/>
        </w:rPr>
      </w:pPr>
    </w:p>
    <w:p w14:paraId="6BA879AE">
      <w:pPr>
        <w:spacing w:line="280" w:lineRule="auto"/>
        <w:rPr>
          <w:rFonts w:ascii="Arial"/>
          <w:sz w:val="21"/>
        </w:rPr>
      </w:pPr>
    </w:p>
    <w:p w14:paraId="763E8963">
      <w:pPr>
        <w:spacing w:line="280" w:lineRule="auto"/>
        <w:rPr>
          <w:rFonts w:ascii="Arial"/>
          <w:sz w:val="21"/>
        </w:rPr>
      </w:pPr>
    </w:p>
    <w:p w14:paraId="7E5488AF">
      <w:pPr>
        <w:pStyle w:val="2"/>
        <w:spacing w:before="97" w:line="207" w:lineRule="auto"/>
        <w:ind w:left="488"/>
        <w:outlineLvl w:val="1"/>
      </w:pPr>
      <w:r>
        <w:rPr>
          <w:color w:val="333333"/>
          <w:spacing w:val="-4"/>
        </w:rPr>
        <w:t>十、《部门整体支出绩效目标表》</w:t>
      </w:r>
    </w:p>
    <w:p w14:paraId="41452686">
      <w:pPr>
        <w:spacing w:line="8611" w:lineRule="exact"/>
      </w:pPr>
      <w:r>
        <w:rPr>
          <w:position w:val="-172"/>
        </w:rPr>
        <w:drawing>
          <wp:inline distT="0" distB="0" distL="0" distR="0">
            <wp:extent cx="6103620" cy="54679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546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43E9">
      <w:pPr>
        <w:spacing w:line="8611" w:lineRule="exact"/>
        <w:sectPr>
          <w:pgSz w:w="11906" w:h="16840"/>
          <w:pgMar w:top="400" w:right="1120" w:bottom="0" w:left="1173" w:header="0" w:footer="0" w:gutter="0"/>
          <w:cols w:space="720" w:num="1"/>
        </w:sectPr>
      </w:pPr>
    </w:p>
    <w:p w14:paraId="48CE8AC7">
      <w:pPr>
        <w:spacing w:line="316" w:lineRule="auto"/>
        <w:rPr>
          <w:rFonts w:ascii="Arial"/>
          <w:sz w:val="21"/>
        </w:rPr>
      </w:pPr>
    </w:p>
    <w:p w14:paraId="6A6AB957">
      <w:pPr>
        <w:spacing w:line="316" w:lineRule="auto"/>
        <w:rPr>
          <w:rFonts w:ascii="Arial"/>
          <w:sz w:val="21"/>
        </w:rPr>
      </w:pPr>
    </w:p>
    <w:p w14:paraId="0972C93D">
      <w:pPr>
        <w:spacing w:line="317" w:lineRule="auto"/>
        <w:rPr>
          <w:rFonts w:ascii="Arial"/>
          <w:sz w:val="21"/>
        </w:rPr>
      </w:pPr>
    </w:p>
    <w:p w14:paraId="12CEE854">
      <w:pPr>
        <w:pStyle w:val="2"/>
        <w:spacing w:before="97" w:line="208" w:lineRule="auto"/>
        <w:ind w:left="587"/>
      </w:pPr>
      <w:r>
        <w:rPr>
          <w:color w:val="333333"/>
          <w:spacing w:val="-4"/>
        </w:rPr>
        <w:t>十一、《项目支出绩效目标申报表》</w:t>
      </w:r>
    </w:p>
    <w:p w14:paraId="6A4DE4D8">
      <w:pPr>
        <w:spacing w:line="13233" w:lineRule="exact"/>
      </w:pPr>
      <w:r>
        <w:rPr>
          <w:position w:val="-264"/>
        </w:rPr>
        <w:drawing>
          <wp:inline distT="0" distB="0" distL="0" distR="0">
            <wp:extent cx="5311140" cy="840295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84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B5DF">
      <w:pPr>
        <w:spacing w:line="13233" w:lineRule="exact"/>
        <w:sectPr>
          <w:pgSz w:w="11906" w:h="16840"/>
          <w:pgMar w:top="400" w:right="1785" w:bottom="0" w:left="1173" w:header="0" w:footer="0" w:gutter="0"/>
          <w:cols w:space="720" w:num="1"/>
        </w:sectPr>
      </w:pPr>
    </w:p>
    <w:p w14:paraId="0B50B344">
      <w:pPr>
        <w:spacing w:line="279" w:lineRule="auto"/>
        <w:rPr>
          <w:rFonts w:ascii="Arial"/>
          <w:sz w:val="21"/>
        </w:rPr>
      </w:pPr>
    </w:p>
    <w:p w14:paraId="5139C1DE">
      <w:pPr>
        <w:spacing w:line="280" w:lineRule="auto"/>
        <w:rPr>
          <w:rFonts w:ascii="Arial"/>
          <w:sz w:val="21"/>
        </w:rPr>
      </w:pPr>
    </w:p>
    <w:p w14:paraId="45EC8E5B">
      <w:pPr>
        <w:spacing w:line="280" w:lineRule="auto"/>
        <w:rPr>
          <w:rFonts w:ascii="Arial"/>
          <w:sz w:val="21"/>
        </w:rPr>
      </w:pPr>
    </w:p>
    <w:p w14:paraId="7A976BD7">
      <w:pPr>
        <w:spacing w:line="280" w:lineRule="auto"/>
        <w:rPr>
          <w:rFonts w:ascii="Arial"/>
          <w:sz w:val="21"/>
        </w:rPr>
      </w:pPr>
    </w:p>
    <w:p w14:paraId="4CF43586">
      <w:pPr>
        <w:pStyle w:val="2"/>
        <w:spacing w:before="98" w:line="222" w:lineRule="auto"/>
        <w:ind w:left="497"/>
        <w:outlineLvl w:val="0"/>
      </w:pPr>
      <w:r>
        <w:rPr>
          <w:b/>
          <w:bCs/>
          <w:color w:val="333333"/>
          <w:spacing w:val="-5"/>
        </w:rPr>
        <w:t>第三部分珠山区新区发展中心2025年部门预</w:t>
      </w:r>
      <w:r>
        <w:rPr>
          <w:b/>
          <w:bCs/>
          <w:color w:val="333333"/>
          <w:spacing w:val="-6"/>
        </w:rPr>
        <w:t>算情况说明</w:t>
      </w:r>
    </w:p>
    <w:p w14:paraId="59422BBD">
      <w:pPr>
        <w:spacing w:line="310" w:lineRule="auto"/>
        <w:rPr>
          <w:rFonts w:ascii="Arial"/>
          <w:sz w:val="21"/>
        </w:rPr>
      </w:pPr>
    </w:p>
    <w:p w14:paraId="1CF347B9">
      <w:pPr>
        <w:pStyle w:val="2"/>
        <w:spacing w:before="97" w:line="222" w:lineRule="auto"/>
        <w:ind w:left="62"/>
      </w:pPr>
      <w:r>
        <w:rPr>
          <w:color w:val="333333"/>
          <w:spacing w:val="-5"/>
        </w:rPr>
        <w:t>一、2025年部门预算收支情况说明</w:t>
      </w:r>
    </w:p>
    <w:p w14:paraId="07DA5E3C">
      <w:pPr>
        <w:spacing w:line="312" w:lineRule="auto"/>
        <w:rPr>
          <w:rFonts w:ascii="Arial"/>
          <w:sz w:val="21"/>
        </w:rPr>
      </w:pPr>
    </w:p>
    <w:p w14:paraId="71ED3736">
      <w:pPr>
        <w:pStyle w:val="2"/>
        <w:spacing w:before="98" w:line="222" w:lineRule="auto"/>
        <w:ind w:left="511"/>
      </w:pPr>
      <w:r>
        <w:rPr>
          <w:color w:val="333333"/>
          <w:spacing w:val="-5"/>
        </w:rPr>
        <w:t>（一）、预算收入情况</w:t>
      </w:r>
    </w:p>
    <w:p w14:paraId="4E8FEBA2">
      <w:pPr>
        <w:spacing w:line="273" w:lineRule="auto"/>
        <w:rPr>
          <w:rFonts w:ascii="Arial"/>
          <w:sz w:val="21"/>
        </w:rPr>
      </w:pPr>
    </w:p>
    <w:p w14:paraId="18B36613">
      <w:pPr>
        <w:pStyle w:val="2"/>
        <w:spacing w:before="98" w:line="379" w:lineRule="auto"/>
        <w:ind w:left="48" w:right="14" w:firstLine="603"/>
        <w:jc w:val="both"/>
      </w:pPr>
      <w:r>
        <w:rPr>
          <w:spacing w:val="29"/>
        </w:rPr>
        <w:t>2025年珠山区新区发展中心收入预算总额为261.56万</w:t>
      </w:r>
      <w:r>
        <w:rPr>
          <w:spacing w:val="22"/>
        </w:rPr>
        <w:t>元</w:t>
      </w:r>
      <w:r>
        <w:rPr>
          <w:spacing w:val="-76"/>
        </w:rPr>
        <w:t xml:space="preserve"> </w:t>
      </w:r>
      <w:r>
        <w:rPr>
          <w:spacing w:val="22"/>
        </w:rPr>
        <w:t>，</w:t>
      </w:r>
      <w:r>
        <w:rPr>
          <w:spacing w:val="-87"/>
        </w:rPr>
        <w:t xml:space="preserve"> </w:t>
      </w:r>
      <w:r>
        <w:rPr>
          <w:spacing w:val="22"/>
        </w:rPr>
        <w:t>与上年预算相比增加了238.63万元</w:t>
      </w:r>
      <w:r>
        <w:rPr>
          <w:spacing w:val="-82"/>
        </w:rPr>
        <w:t xml:space="preserve"> </w:t>
      </w:r>
      <w:r>
        <w:rPr>
          <w:spacing w:val="22"/>
        </w:rPr>
        <w:t>。主要原因是</w:t>
      </w:r>
      <w:r>
        <w:rPr>
          <w:rFonts w:hint="eastAsia"/>
          <w:spacing w:val="22"/>
          <w:lang w:val="en-US" w:eastAsia="zh-CN"/>
        </w:rPr>
        <w:t>:</w:t>
      </w:r>
      <w:r>
        <w:rPr>
          <w:spacing w:val="30"/>
        </w:rPr>
        <w:t>部门预算未批复时</w:t>
      </w:r>
      <w:r>
        <w:rPr>
          <w:spacing w:val="-79"/>
        </w:rPr>
        <w:t xml:space="preserve"> </w:t>
      </w:r>
      <w:r>
        <w:rPr>
          <w:spacing w:val="30"/>
        </w:rPr>
        <w:t>，今年所拨的上级转移支付指标也全部纳入到系统中部门预算中</w:t>
      </w:r>
      <w:r>
        <w:rPr>
          <w:spacing w:val="-79"/>
        </w:rPr>
        <w:t xml:space="preserve"> </w:t>
      </w:r>
      <w:r>
        <w:rPr>
          <w:spacing w:val="30"/>
        </w:rPr>
        <w:t>，部门预算批复中是不含上级转</w:t>
      </w:r>
      <w:r>
        <w:rPr>
          <w:spacing w:val="21"/>
        </w:rPr>
        <w:t>移支付数，并且人事调整，新增2名人员，增加预算收入。</w:t>
      </w:r>
    </w:p>
    <w:p w14:paraId="6F2A8C46">
      <w:pPr>
        <w:pStyle w:val="2"/>
        <w:spacing w:before="1" w:line="227" w:lineRule="auto"/>
        <w:ind w:left="704"/>
        <w:outlineLvl w:val="1"/>
      </w:pPr>
      <w:r>
        <w:rPr>
          <w:b/>
          <w:bCs/>
          <w:spacing w:val="8"/>
        </w:rPr>
        <w:t>（二）支出预算情况</w:t>
      </w:r>
    </w:p>
    <w:p w14:paraId="6ABC9D80">
      <w:pPr>
        <w:pStyle w:val="2"/>
        <w:spacing w:before="248" w:line="368" w:lineRule="auto"/>
        <w:ind w:left="61" w:right="280" w:firstLine="632"/>
      </w:pPr>
      <w:r>
        <w:rPr>
          <w:spacing w:val="18"/>
        </w:rPr>
        <w:t>2025年珠山区新区发展中心支出预算总额为261.56万</w:t>
      </w:r>
      <w:r>
        <w:rPr>
          <w:spacing w:val="13"/>
        </w:rPr>
        <w:t>元,较上年预算安排增加了238.63万元。</w:t>
      </w:r>
    </w:p>
    <w:p w14:paraId="68A4536E">
      <w:pPr>
        <w:pStyle w:val="2"/>
        <w:spacing w:before="1" w:line="368" w:lineRule="auto"/>
        <w:ind w:left="46" w:firstLine="640"/>
        <w:jc w:val="both"/>
      </w:pPr>
      <w:r>
        <w:rPr>
          <w:spacing w:val="18"/>
        </w:rPr>
        <w:t>按支出项目类别划分：基本支出42.56万元,较上年预算</w:t>
      </w:r>
      <w:r>
        <w:rPr>
          <w:spacing w:val="17"/>
        </w:rPr>
        <w:t>安排增加了19.63万元;其中：工资福利支出40.1</w:t>
      </w:r>
      <w:r>
        <w:rPr>
          <w:spacing w:val="16"/>
        </w:rPr>
        <w:t>6万元,商品</w:t>
      </w:r>
      <w:r>
        <w:rPr>
          <w:spacing w:val="18"/>
        </w:rPr>
        <w:t>和服务支出2.4万元,对个人和家庭的补助0万元,资本性支出</w:t>
      </w:r>
      <w:r>
        <w:rPr>
          <w:spacing w:val="19"/>
        </w:rPr>
        <w:t>0万元</w:t>
      </w:r>
      <w:r>
        <w:rPr>
          <w:spacing w:val="-88"/>
        </w:rPr>
        <w:t xml:space="preserve"> </w:t>
      </w:r>
      <w:r>
        <w:rPr>
          <w:spacing w:val="19"/>
        </w:rPr>
        <w:t>。项目支出219万元</w:t>
      </w:r>
      <w:r>
        <w:rPr>
          <w:spacing w:val="-86"/>
        </w:rPr>
        <w:t xml:space="preserve"> </w:t>
      </w:r>
      <w:r>
        <w:rPr>
          <w:spacing w:val="19"/>
        </w:rPr>
        <w:t>,较上年预算</w:t>
      </w:r>
      <w:r>
        <w:rPr>
          <w:spacing w:val="18"/>
        </w:rPr>
        <w:t>安排增加210万元;其</w:t>
      </w:r>
      <w:r>
        <w:rPr>
          <w:spacing w:val="12"/>
        </w:rPr>
        <w:t>中：商品和服务支出9万元,资本性支出210万元。</w:t>
      </w:r>
    </w:p>
    <w:p w14:paraId="32CA9950">
      <w:pPr>
        <w:pStyle w:val="2"/>
        <w:spacing w:before="4" w:line="372" w:lineRule="auto"/>
        <w:ind w:left="50" w:right="3" w:firstLine="637"/>
        <w:jc w:val="both"/>
      </w:pPr>
      <w:r>
        <w:rPr>
          <w:spacing w:val="21"/>
        </w:rPr>
        <w:t>按支出功能科目划分：</w:t>
      </w:r>
      <w:r>
        <w:rPr>
          <w:spacing w:val="-74"/>
        </w:rPr>
        <w:t xml:space="preserve"> </w:t>
      </w:r>
      <w:r>
        <w:rPr>
          <w:spacing w:val="21"/>
        </w:rPr>
        <w:t>一般公共服务支出261.56万元,</w:t>
      </w:r>
      <w:r>
        <w:rPr>
          <w:spacing w:val="22"/>
        </w:rPr>
        <w:t>较上年预算安排增加238.63万元;社会保障和就业支出</w:t>
      </w:r>
      <w:r>
        <w:rPr>
          <w:spacing w:val="21"/>
        </w:rPr>
        <w:t>4.06</w:t>
      </w:r>
      <w:r>
        <w:rPr>
          <w:spacing w:val="17"/>
        </w:rPr>
        <w:t>万元,较上年预算安排增加2.6万元;卫生健康支出1.65万元,较上年预算安排增加1.06万元;住房保障支出3.04万元,较上</w:t>
      </w:r>
      <w:r>
        <w:rPr>
          <w:spacing w:val="24"/>
        </w:rPr>
        <w:t>年预算安排增加1.76万元；教育支出0万元，较上年预算安</w:t>
      </w:r>
      <w:r>
        <w:rPr>
          <w:spacing w:val="25"/>
        </w:rPr>
        <w:t>排减少0万元；节能环保支出0万元，较上年预算安排减少0</w:t>
      </w:r>
      <w:r>
        <w:rPr>
          <w:spacing w:val="4"/>
        </w:rPr>
        <w:t>万元。</w:t>
      </w:r>
    </w:p>
    <w:p w14:paraId="20B17188">
      <w:pPr>
        <w:spacing w:line="372" w:lineRule="auto"/>
        <w:sectPr>
          <w:pgSz w:w="11906" w:h="16840"/>
          <w:pgMar w:top="400" w:right="1734" w:bottom="0" w:left="1785" w:header="0" w:footer="0" w:gutter="0"/>
          <w:cols w:space="720" w:num="1"/>
        </w:sectPr>
      </w:pPr>
    </w:p>
    <w:p w14:paraId="47967034">
      <w:pPr>
        <w:spacing w:line="243" w:lineRule="auto"/>
        <w:rPr>
          <w:rFonts w:ascii="Arial"/>
          <w:sz w:val="21"/>
        </w:rPr>
      </w:pPr>
    </w:p>
    <w:p w14:paraId="38776BED">
      <w:pPr>
        <w:spacing w:line="243" w:lineRule="auto"/>
        <w:rPr>
          <w:rFonts w:ascii="Arial"/>
          <w:sz w:val="21"/>
        </w:rPr>
      </w:pPr>
    </w:p>
    <w:p w14:paraId="72A58026">
      <w:pPr>
        <w:spacing w:line="243" w:lineRule="auto"/>
        <w:rPr>
          <w:rFonts w:ascii="Arial"/>
          <w:sz w:val="21"/>
        </w:rPr>
      </w:pPr>
    </w:p>
    <w:p w14:paraId="7E1AD64F">
      <w:pPr>
        <w:spacing w:line="243" w:lineRule="auto"/>
        <w:rPr>
          <w:rFonts w:ascii="Arial"/>
          <w:sz w:val="21"/>
        </w:rPr>
      </w:pPr>
    </w:p>
    <w:p w14:paraId="358FD467">
      <w:pPr>
        <w:pStyle w:val="2"/>
        <w:spacing w:before="98" w:line="371" w:lineRule="auto"/>
        <w:ind w:left="16" w:firstLine="3"/>
        <w:jc w:val="both"/>
      </w:pPr>
      <w:r>
        <w:rPr>
          <w:spacing w:val="19"/>
        </w:rPr>
        <w:t>按支出经济分类划分：工资福利支出40.16万元</w:t>
      </w:r>
      <w:r>
        <w:rPr>
          <w:spacing w:val="18"/>
        </w:rPr>
        <w:t>,较上年预算安排增加27.23万元;商品和服务支出2.4万元,较上年预算安</w:t>
      </w:r>
      <w:r>
        <w:rPr>
          <w:spacing w:val="19"/>
        </w:rPr>
        <w:t>排增加1万元;对个人和家庭的补助0万元,较上年预算安排减</w:t>
      </w:r>
      <w:r>
        <w:rPr>
          <w:spacing w:val="18"/>
        </w:rPr>
        <w:t>少0万元;资本性支出0万元,较上年预算安排减少0万元。</w:t>
      </w:r>
    </w:p>
    <w:p w14:paraId="74EB0F26">
      <w:pPr>
        <w:pStyle w:val="2"/>
        <w:spacing w:before="96" w:line="222" w:lineRule="auto"/>
        <w:ind w:left="362"/>
      </w:pPr>
      <w:r>
        <w:rPr>
          <w:color w:val="333333"/>
          <w:spacing w:val="-5"/>
        </w:rPr>
        <w:t>（三）、财政拨款支出情况</w:t>
      </w:r>
    </w:p>
    <w:p w14:paraId="02713D97">
      <w:pPr>
        <w:pStyle w:val="2"/>
        <w:spacing w:before="219" w:line="377" w:lineRule="auto"/>
        <w:ind w:left="43" w:right="76" w:firstLine="650"/>
      </w:pPr>
      <w:r>
        <w:rPr>
          <w:spacing w:val="12"/>
        </w:rPr>
        <w:t>2025</w:t>
      </w:r>
      <w:r>
        <w:rPr>
          <w:spacing w:val="-80"/>
        </w:rPr>
        <w:t xml:space="preserve"> </w:t>
      </w:r>
      <w:r>
        <w:rPr>
          <w:spacing w:val="12"/>
        </w:rPr>
        <w:t>年</w:t>
      </w:r>
      <w:r>
        <w:rPr>
          <w:spacing w:val="-87"/>
        </w:rPr>
        <w:t xml:space="preserve"> </w:t>
      </w:r>
      <w:r>
        <w:rPr>
          <w:spacing w:val="12"/>
        </w:rPr>
        <w:t>珠山</w:t>
      </w:r>
      <w:r>
        <w:rPr>
          <w:spacing w:val="-62"/>
        </w:rPr>
        <w:t xml:space="preserve"> </w:t>
      </w:r>
      <w:r>
        <w:rPr>
          <w:spacing w:val="12"/>
        </w:rPr>
        <w:t>区新</w:t>
      </w:r>
      <w:r>
        <w:rPr>
          <w:spacing w:val="-63"/>
        </w:rPr>
        <w:t xml:space="preserve"> </w:t>
      </w:r>
      <w:r>
        <w:rPr>
          <w:spacing w:val="12"/>
        </w:rPr>
        <w:t>区</w:t>
      </w:r>
      <w:r>
        <w:rPr>
          <w:spacing w:val="-80"/>
        </w:rPr>
        <w:t xml:space="preserve"> </w:t>
      </w:r>
      <w:r>
        <w:rPr>
          <w:spacing w:val="12"/>
        </w:rPr>
        <w:t>发</w:t>
      </w:r>
      <w:r>
        <w:rPr>
          <w:spacing w:val="-88"/>
        </w:rPr>
        <w:t xml:space="preserve"> </w:t>
      </w:r>
      <w:r>
        <w:rPr>
          <w:spacing w:val="12"/>
        </w:rPr>
        <w:t>展</w:t>
      </w:r>
      <w:r>
        <w:rPr>
          <w:spacing w:val="-49"/>
        </w:rPr>
        <w:t xml:space="preserve"> </w:t>
      </w:r>
      <w:r>
        <w:rPr>
          <w:spacing w:val="12"/>
        </w:rPr>
        <w:t>中</w:t>
      </w:r>
      <w:r>
        <w:rPr>
          <w:spacing w:val="-83"/>
        </w:rPr>
        <w:t xml:space="preserve"> </w:t>
      </w:r>
      <w:r>
        <w:rPr>
          <w:spacing w:val="12"/>
        </w:rPr>
        <w:t>心</w:t>
      </w:r>
      <w:r>
        <w:rPr>
          <w:rFonts w:ascii="宋体" w:hAnsi="宋体" w:eastAsia="宋体" w:cs="宋体"/>
          <w:spacing w:val="12"/>
        </w:rPr>
        <w:t>财</w:t>
      </w:r>
      <w:r>
        <w:rPr>
          <w:rFonts w:ascii="宋体" w:hAnsi="宋体" w:eastAsia="宋体" w:cs="宋体"/>
          <w:spacing w:val="-88"/>
        </w:rPr>
        <w:t xml:space="preserve"> </w:t>
      </w:r>
      <w:r>
        <w:rPr>
          <w:spacing w:val="12"/>
        </w:rPr>
        <w:t>政</w:t>
      </w:r>
      <w:r>
        <w:rPr>
          <w:rFonts w:ascii="宋体" w:hAnsi="宋体" w:eastAsia="宋体" w:cs="宋体"/>
          <w:spacing w:val="12"/>
        </w:rPr>
        <w:t>拨款支</w:t>
      </w:r>
      <w:r>
        <w:rPr>
          <w:spacing w:val="12"/>
        </w:rPr>
        <w:t>出</w:t>
      </w:r>
      <w:r>
        <w:rPr>
          <w:rFonts w:ascii="宋体" w:hAnsi="宋体" w:eastAsia="宋体" w:cs="宋体"/>
          <w:spacing w:val="12"/>
        </w:rPr>
        <w:t>预算</w:t>
      </w:r>
      <w:r>
        <w:rPr>
          <w:rFonts w:ascii="宋体" w:hAnsi="宋体" w:eastAsia="宋体" w:cs="宋体"/>
          <w:spacing w:val="-89"/>
        </w:rPr>
        <w:t xml:space="preserve"> </w:t>
      </w:r>
      <w:r>
        <w:rPr>
          <w:rFonts w:ascii="宋体" w:hAnsi="宋体" w:eastAsia="宋体" w:cs="宋体"/>
          <w:spacing w:val="12"/>
        </w:rPr>
        <w:t>总额</w:t>
      </w:r>
      <w:r>
        <w:rPr>
          <w:spacing w:val="12"/>
        </w:rPr>
        <w:t>261.56</w:t>
      </w:r>
      <w:r>
        <w:rPr>
          <w:rFonts w:ascii="宋体" w:hAnsi="宋体" w:eastAsia="宋体" w:cs="宋体"/>
          <w:spacing w:val="12"/>
        </w:rPr>
        <w:t>万元</w:t>
      </w:r>
      <w:r>
        <w:rPr>
          <w:spacing w:val="12"/>
        </w:rPr>
        <w:t>，</w:t>
      </w:r>
      <w:r>
        <w:rPr>
          <w:rFonts w:ascii="宋体" w:hAnsi="宋体" w:eastAsia="宋体" w:cs="宋体"/>
          <w:spacing w:val="12"/>
        </w:rPr>
        <w:t>较上年预算安排增加238.63万元</w:t>
      </w:r>
      <w:r>
        <w:rPr>
          <w:spacing w:val="12"/>
        </w:rPr>
        <w:t>。</w:t>
      </w:r>
    </w:p>
    <w:p w14:paraId="70DC2EA0">
      <w:pPr>
        <w:pStyle w:val="2"/>
        <w:spacing w:before="2" w:line="367" w:lineRule="auto"/>
        <w:ind w:left="56" w:right="7" w:firstLine="631"/>
        <w:jc w:val="both"/>
      </w:pPr>
      <w:r>
        <w:rPr>
          <w:spacing w:val="18"/>
        </w:rPr>
        <w:t>按支出功能科</w:t>
      </w:r>
      <w:r>
        <w:rPr>
          <w:spacing w:val="-57"/>
        </w:rPr>
        <w:t xml:space="preserve"> </w:t>
      </w:r>
      <w:r>
        <w:rPr>
          <w:spacing w:val="18"/>
        </w:rPr>
        <w:t>目划分：</w:t>
      </w:r>
      <w:r>
        <w:rPr>
          <w:spacing w:val="-79"/>
        </w:rPr>
        <w:t xml:space="preserve"> </w:t>
      </w:r>
      <w:r>
        <w:rPr>
          <w:spacing w:val="18"/>
        </w:rPr>
        <w:t>一般公共服务支出26</w:t>
      </w:r>
      <w:r>
        <w:rPr>
          <w:spacing w:val="17"/>
        </w:rPr>
        <w:t>1.56万元,社会保障和就业支出4.06万元,卫生健康支出1.65万元,住房</w:t>
      </w:r>
      <w:r>
        <w:rPr>
          <w:spacing w:val="-7"/>
        </w:rPr>
        <w:t>保障支出3.04万元。</w:t>
      </w:r>
    </w:p>
    <w:p w14:paraId="2A90FE4B">
      <w:pPr>
        <w:pStyle w:val="2"/>
        <w:spacing w:before="195" w:line="377" w:lineRule="auto"/>
        <w:ind w:left="48" w:right="70" w:firstLine="651"/>
        <w:jc w:val="both"/>
      </w:pPr>
      <w:r>
        <w:rPr>
          <w:spacing w:val="15"/>
        </w:rPr>
        <w:t>按支出项目类别划分：基本支出42.56万元,较上年预算</w:t>
      </w:r>
      <w:r>
        <w:rPr>
          <w:spacing w:val="14"/>
        </w:rPr>
        <w:t>安排增加19.63万元;其中：工资福利支出40.16万元,商品和</w:t>
      </w:r>
      <w:r>
        <w:rPr>
          <w:spacing w:val="19"/>
        </w:rPr>
        <w:t>服务支出2.4万元</w:t>
      </w:r>
      <w:r>
        <w:rPr>
          <w:spacing w:val="-81"/>
        </w:rPr>
        <w:t xml:space="preserve"> </w:t>
      </w:r>
      <w:r>
        <w:rPr>
          <w:spacing w:val="19"/>
        </w:rPr>
        <w:t>,对个人和家庭的补助0万元,资本性支出0</w:t>
      </w:r>
      <w:r>
        <w:rPr>
          <w:spacing w:val="13"/>
        </w:rPr>
        <w:t>万元。项目支出219万元</w:t>
      </w:r>
      <w:r>
        <w:rPr>
          <w:spacing w:val="-81"/>
        </w:rPr>
        <w:t xml:space="preserve"> </w:t>
      </w:r>
      <w:r>
        <w:rPr>
          <w:spacing w:val="13"/>
        </w:rPr>
        <w:t>,较上年预算安排增加210万元;其中</w:t>
      </w:r>
      <w:r>
        <w:t xml:space="preserve"> </w:t>
      </w:r>
      <w:r>
        <w:rPr>
          <w:spacing w:val="10"/>
        </w:rPr>
        <w:t>：商品和服务支出9万元,资本性支出210万元。</w:t>
      </w:r>
    </w:p>
    <w:p w14:paraId="3B596C16">
      <w:pPr>
        <w:pStyle w:val="2"/>
        <w:spacing w:before="207" w:line="220" w:lineRule="auto"/>
        <w:ind w:left="362"/>
      </w:pPr>
      <w:r>
        <w:rPr>
          <w:b/>
          <w:bCs/>
          <w:color w:val="333333"/>
          <w:spacing w:val="-4"/>
        </w:rPr>
        <w:t>（四）、</w:t>
      </w:r>
      <w:r>
        <w:rPr>
          <w:b/>
          <w:bCs/>
          <w:spacing w:val="-4"/>
        </w:rPr>
        <w:t>政府性基金情况</w:t>
      </w:r>
    </w:p>
    <w:p w14:paraId="3AEFB684">
      <w:pPr>
        <w:pStyle w:val="2"/>
        <w:spacing w:before="332" w:line="220" w:lineRule="auto"/>
        <w:ind w:left="359"/>
      </w:pPr>
      <w:r>
        <w:rPr>
          <w:b/>
          <w:bCs/>
          <w:color w:val="333333"/>
          <w:spacing w:val="-6"/>
        </w:rPr>
        <w:t>本单位没有使用政府性基金预算拨款安排的支出</w:t>
      </w:r>
    </w:p>
    <w:p w14:paraId="51366C14">
      <w:pPr>
        <w:pStyle w:val="2"/>
        <w:spacing w:before="331" w:line="222" w:lineRule="auto"/>
        <w:ind w:left="362"/>
      </w:pPr>
      <w:r>
        <w:rPr>
          <w:b/>
          <w:bCs/>
          <w:color w:val="333333"/>
          <w:spacing w:val="-6"/>
        </w:rPr>
        <w:t>（五）、</w:t>
      </w:r>
      <w:r>
        <w:rPr>
          <w:b/>
          <w:bCs/>
          <w:spacing w:val="-6"/>
        </w:rPr>
        <w:t>国有资本经营情况</w:t>
      </w:r>
    </w:p>
    <w:p w14:paraId="6EEC1DF6">
      <w:pPr>
        <w:spacing w:line="222" w:lineRule="auto"/>
        <w:sectPr>
          <w:pgSz w:w="11906" w:h="16840"/>
          <w:pgMar w:top="400" w:right="1729" w:bottom="0" w:left="1785" w:header="0" w:footer="0" w:gutter="0"/>
          <w:cols w:space="720" w:num="1"/>
        </w:sectPr>
      </w:pPr>
    </w:p>
    <w:p w14:paraId="59E1BE1E">
      <w:pPr>
        <w:spacing w:line="243" w:lineRule="auto"/>
        <w:rPr>
          <w:rFonts w:ascii="Arial"/>
          <w:sz w:val="21"/>
        </w:rPr>
      </w:pPr>
    </w:p>
    <w:p w14:paraId="274F0C66">
      <w:pPr>
        <w:spacing w:line="243" w:lineRule="auto"/>
        <w:rPr>
          <w:rFonts w:ascii="Arial"/>
          <w:sz w:val="21"/>
        </w:rPr>
      </w:pPr>
    </w:p>
    <w:p w14:paraId="779C3270">
      <w:pPr>
        <w:spacing w:line="243" w:lineRule="auto"/>
        <w:rPr>
          <w:rFonts w:ascii="Arial"/>
          <w:sz w:val="21"/>
        </w:rPr>
      </w:pPr>
    </w:p>
    <w:p w14:paraId="165CC53D">
      <w:pPr>
        <w:spacing w:line="243" w:lineRule="auto"/>
        <w:rPr>
          <w:rFonts w:ascii="Arial"/>
          <w:sz w:val="21"/>
        </w:rPr>
      </w:pPr>
    </w:p>
    <w:p w14:paraId="7F89615F">
      <w:pPr>
        <w:pStyle w:val="2"/>
        <w:spacing w:before="97" w:line="221" w:lineRule="auto"/>
        <w:ind w:left="20"/>
      </w:pPr>
      <w:r>
        <w:rPr>
          <w:b/>
          <w:bCs/>
          <w:color w:val="333333"/>
          <w:spacing w:val="-6"/>
        </w:rPr>
        <w:t>本单位没有使用国有资本经营预算拨款安排的支出。</w:t>
      </w:r>
    </w:p>
    <w:p w14:paraId="2BC51C23">
      <w:pPr>
        <w:pStyle w:val="2"/>
        <w:spacing w:before="209" w:line="221" w:lineRule="auto"/>
        <w:ind w:left="362"/>
      </w:pPr>
      <w:r>
        <w:rPr>
          <w:b/>
          <w:bCs/>
          <w:color w:val="333333"/>
          <w:spacing w:val="-7"/>
        </w:rPr>
        <w:t>（六）、机关运行经费情况</w:t>
      </w:r>
    </w:p>
    <w:p w14:paraId="6BDB96E2">
      <w:pPr>
        <w:pStyle w:val="2"/>
        <w:spacing w:before="124" w:line="380" w:lineRule="auto"/>
        <w:ind w:left="61" w:right="174" w:firstLine="398"/>
      </w:pPr>
      <w:r>
        <w:rPr>
          <w:color w:val="333333"/>
          <w:spacing w:val="2"/>
        </w:rPr>
        <w:t>2025年</w:t>
      </w:r>
      <w:r>
        <w:rPr>
          <w:spacing w:val="2"/>
        </w:rPr>
        <w:t>珠山区新区发展中心</w:t>
      </w:r>
      <w:r>
        <w:rPr>
          <w:color w:val="333333"/>
          <w:spacing w:val="2"/>
        </w:rPr>
        <w:t>机关运行经费</w:t>
      </w:r>
      <w:r>
        <w:rPr>
          <w:color w:val="333333"/>
          <w:spacing w:val="1"/>
        </w:rPr>
        <w:t>预算9万元，与上</w:t>
      </w:r>
      <w:r>
        <w:rPr>
          <w:color w:val="333333"/>
          <w:spacing w:val="-1"/>
        </w:rPr>
        <w:t>年预算相比减少了0.56万元，下降6%。</w:t>
      </w:r>
    </w:p>
    <w:p w14:paraId="4D5A2717">
      <w:pPr>
        <w:pStyle w:val="2"/>
        <w:spacing w:before="99" w:line="222" w:lineRule="auto"/>
        <w:ind w:left="470"/>
      </w:pPr>
      <w:r>
        <w:rPr>
          <w:b/>
          <w:bCs/>
          <w:color w:val="333333"/>
          <w:spacing w:val="-5"/>
        </w:rPr>
        <w:t>（七）政府采购情况</w:t>
      </w:r>
    </w:p>
    <w:p w14:paraId="10E89E0E">
      <w:pPr>
        <w:spacing w:line="247" w:lineRule="auto"/>
        <w:rPr>
          <w:rFonts w:ascii="Arial"/>
          <w:sz w:val="21"/>
        </w:rPr>
      </w:pPr>
    </w:p>
    <w:p w14:paraId="3D4F7021">
      <w:pPr>
        <w:pStyle w:val="2"/>
        <w:spacing w:before="98" w:line="380" w:lineRule="auto"/>
        <w:ind w:left="60" w:right="20" w:firstLine="399"/>
        <w:jc w:val="both"/>
      </w:pPr>
      <w:r>
        <w:rPr>
          <w:color w:val="333333"/>
          <w:spacing w:val="3"/>
        </w:rPr>
        <w:t>2025年</w:t>
      </w:r>
      <w:r>
        <w:rPr>
          <w:spacing w:val="3"/>
        </w:rPr>
        <w:t>珠山区新区发展中心</w:t>
      </w:r>
      <w:r>
        <w:rPr>
          <w:color w:val="333333"/>
          <w:spacing w:val="3"/>
        </w:rPr>
        <w:t>采购总额0万元,其中:政</w:t>
      </w:r>
      <w:r>
        <w:rPr>
          <w:color w:val="333333"/>
          <w:spacing w:val="2"/>
        </w:rPr>
        <w:t>府采购</w:t>
      </w:r>
      <w:r>
        <w:rPr>
          <w:color w:val="333333"/>
        </w:rPr>
        <w:t>货物预算0万元,政府采购工程预算0万元,政府采购服务预算0万</w:t>
      </w:r>
      <w:r>
        <w:rPr>
          <w:color w:val="333333"/>
          <w:spacing w:val="-13"/>
        </w:rPr>
        <w:t>元。</w:t>
      </w:r>
    </w:p>
    <w:p w14:paraId="5C5739DA">
      <w:pPr>
        <w:pStyle w:val="2"/>
        <w:spacing w:before="132" w:line="222" w:lineRule="auto"/>
        <w:ind w:left="482"/>
      </w:pPr>
      <w:r>
        <w:rPr>
          <w:color w:val="333333"/>
          <w:spacing w:val="-5"/>
        </w:rPr>
        <w:t>（八）、国有资产占用情况</w:t>
      </w:r>
    </w:p>
    <w:p w14:paraId="031F307C">
      <w:pPr>
        <w:spacing w:line="327" w:lineRule="auto"/>
        <w:rPr>
          <w:rFonts w:ascii="Arial"/>
          <w:sz w:val="21"/>
        </w:rPr>
      </w:pPr>
    </w:p>
    <w:p w14:paraId="2EDA7983">
      <w:pPr>
        <w:pStyle w:val="2"/>
        <w:spacing w:before="98" w:line="384" w:lineRule="auto"/>
        <w:ind w:left="52" w:right="13" w:firstLine="413"/>
      </w:pPr>
      <w:r>
        <w:rPr>
          <w:color w:val="333333"/>
          <w:spacing w:val="4"/>
        </w:rPr>
        <w:t>截止2024年12月31</w:t>
      </w:r>
      <w:r>
        <w:rPr>
          <w:color w:val="333333"/>
          <w:spacing w:val="-61"/>
        </w:rPr>
        <w:t xml:space="preserve"> </w:t>
      </w:r>
      <w:r>
        <w:rPr>
          <w:color w:val="333333"/>
          <w:spacing w:val="4"/>
        </w:rPr>
        <w:t>日，</w:t>
      </w:r>
      <w:r>
        <w:rPr>
          <w:spacing w:val="4"/>
        </w:rPr>
        <w:t>珠山区新区发展中心</w:t>
      </w:r>
      <w:r>
        <w:rPr>
          <w:color w:val="333333"/>
          <w:spacing w:val="4"/>
        </w:rPr>
        <w:t>共</w:t>
      </w:r>
      <w:r>
        <w:rPr>
          <w:color w:val="333333"/>
          <w:spacing w:val="3"/>
        </w:rPr>
        <w:t>有车辆0辆；</w:t>
      </w:r>
      <w:r>
        <w:rPr>
          <w:color w:val="333333"/>
        </w:rPr>
        <w:t xml:space="preserve"> </w:t>
      </w:r>
      <w:r>
        <w:rPr>
          <w:color w:val="333333"/>
          <w:spacing w:val="11"/>
        </w:rPr>
        <w:t>2025年单位部门预算安排购置车辆0辆，未安排购置单位</w:t>
      </w:r>
      <w:r>
        <w:rPr>
          <w:color w:val="333333"/>
          <w:spacing w:val="10"/>
        </w:rPr>
        <w:t>价值</w:t>
      </w:r>
      <w:r>
        <w:rPr>
          <w:color w:val="333333"/>
          <w:spacing w:val="-1"/>
        </w:rPr>
        <w:t>200万元以上大型设备。</w:t>
      </w:r>
    </w:p>
    <w:p w14:paraId="51EC6B14">
      <w:pPr>
        <w:pStyle w:val="2"/>
        <w:spacing w:before="130" w:line="222" w:lineRule="auto"/>
        <w:ind w:left="511"/>
      </w:pPr>
      <w:r>
        <w:rPr>
          <w:color w:val="333333"/>
          <w:spacing w:val="-4"/>
        </w:rPr>
        <w:t>（九）、新区管理-2025年项目情况情况</w:t>
      </w:r>
    </w:p>
    <w:p w14:paraId="3E4EF2BA">
      <w:pPr>
        <w:pStyle w:val="2"/>
        <w:spacing w:before="244" w:line="312" w:lineRule="auto"/>
        <w:ind w:left="43" w:right="39" w:firstLine="1156"/>
      </w:pPr>
      <w:r>
        <w:rPr>
          <w:spacing w:val="15"/>
        </w:rPr>
        <w:t>1）项目概述：积极做好中心工作与日常工作，</w:t>
      </w:r>
      <w:r>
        <w:rPr>
          <w:spacing w:val="14"/>
        </w:rPr>
        <w:t>努力</w:t>
      </w:r>
      <w:r>
        <w:rPr>
          <w:spacing w:val="16"/>
        </w:rPr>
        <w:t>与市自规局、住建局、市政等相关部门对接，做好市政</w:t>
      </w:r>
      <w:r>
        <w:rPr>
          <w:spacing w:val="15"/>
        </w:rPr>
        <w:t>道路</w:t>
      </w:r>
      <w:r>
        <w:rPr>
          <w:spacing w:val="16"/>
        </w:rPr>
        <w:t>交付工作，移交相关档案资料，搞好项目决算，工程资</w:t>
      </w:r>
      <w:r>
        <w:rPr>
          <w:spacing w:val="15"/>
        </w:rPr>
        <w:t>料归</w:t>
      </w:r>
      <w:r>
        <w:rPr>
          <w:spacing w:val="14"/>
        </w:rPr>
        <w:t>档完成，工程整体竣工验收完成。</w:t>
      </w:r>
    </w:p>
    <w:p w14:paraId="291D809E">
      <w:pPr>
        <w:spacing w:line="315" w:lineRule="auto"/>
        <w:rPr>
          <w:rFonts w:ascii="Arial"/>
          <w:sz w:val="21"/>
        </w:rPr>
      </w:pPr>
    </w:p>
    <w:p w14:paraId="553AA4A1">
      <w:pPr>
        <w:pStyle w:val="2"/>
        <w:spacing w:before="98" w:line="280" w:lineRule="auto"/>
        <w:ind w:left="38" w:right="94" w:firstLine="1135"/>
      </w:pPr>
      <w:r>
        <w:rPr>
          <w:spacing w:val="13"/>
        </w:rPr>
        <w:t>2）立项依据：立足新发展阶段，贯彻新发展理念，</w:t>
      </w:r>
      <w:r>
        <w:rPr>
          <w:spacing w:val="16"/>
        </w:rPr>
        <w:t>服务新发展格局，聚焦经济社会发展。</w:t>
      </w:r>
    </w:p>
    <w:p w14:paraId="129C3382">
      <w:pPr>
        <w:spacing w:line="277" w:lineRule="auto"/>
        <w:rPr>
          <w:rFonts w:ascii="Arial"/>
          <w:sz w:val="21"/>
        </w:rPr>
      </w:pPr>
    </w:p>
    <w:p w14:paraId="014232EF">
      <w:pPr>
        <w:pStyle w:val="2"/>
        <w:spacing w:before="97" w:line="229" w:lineRule="auto"/>
        <w:ind w:left="1187"/>
      </w:pPr>
      <w:r>
        <w:rPr>
          <w:spacing w:val="14"/>
        </w:rPr>
        <w:t>3）实施主体：珠山区新区发展中心</w:t>
      </w:r>
    </w:p>
    <w:p w14:paraId="614301FD">
      <w:pPr>
        <w:pStyle w:val="2"/>
        <w:spacing w:before="242" w:line="273" w:lineRule="auto"/>
        <w:ind w:left="51" w:right="181" w:firstLine="1114"/>
      </w:pPr>
      <w:r>
        <w:rPr>
          <w:spacing w:val="16"/>
        </w:rPr>
        <w:t>4）实施方案：一做好2个项目的决算，二维护经一</w:t>
      </w:r>
      <w:r>
        <w:rPr>
          <w:spacing w:val="15"/>
        </w:rPr>
        <w:t>路、经二路等道路，三保障部门正常运转。</w:t>
      </w:r>
    </w:p>
    <w:p w14:paraId="405ADE95">
      <w:pPr>
        <w:spacing w:line="261" w:lineRule="auto"/>
        <w:rPr>
          <w:rFonts w:ascii="Arial"/>
          <w:sz w:val="21"/>
        </w:rPr>
      </w:pPr>
    </w:p>
    <w:p w14:paraId="29573EE8">
      <w:pPr>
        <w:pStyle w:val="2"/>
        <w:spacing w:before="99" w:line="229" w:lineRule="auto"/>
        <w:ind w:left="1178"/>
      </w:pPr>
      <w:r>
        <w:rPr>
          <w:spacing w:val="6"/>
        </w:rPr>
        <w:t>5）实施周期：2025 年度</w:t>
      </w:r>
    </w:p>
    <w:p w14:paraId="678A0A4A">
      <w:pPr>
        <w:pStyle w:val="2"/>
        <w:spacing w:before="226" w:line="228" w:lineRule="auto"/>
        <w:ind w:left="1174"/>
      </w:pPr>
      <w:r>
        <w:rPr>
          <w:spacing w:val="11"/>
        </w:rPr>
        <w:t>6）年度预算安排：9万元</w:t>
      </w:r>
    </w:p>
    <w:p w14:paraId="49D932BB">
      <w:pPr>
        <w:spacing w:line="228" w:lineRule="auto"/>
        <w:sectPr>
          <w:pgSz w:w="11906" w:h="16840"/>
          <w:pgMar w:top="400" w:right="1785" w:bottom="0" w:left="1785" w:header="0" w:footer="0" w:gutter="0"/>
          <w:cols w:space="720" w:num="1"/>
        </w:sectPr>
      </w:pPr>
    </w:p>
    <w:p w14:paraId="33AC296B">
      <w:pPr>
        <w:spacing w:line="242" w:lineRule="auto"/>
        <w:rPr>
          <w:rFonts w:ascii="Arial"/>
          <w:sz w:val="21"/>
        </w:rPr>
      </w:pPr>
    </w:p>
    <w:p w14:paraId="08467DED">
      <w:pPr>
        <w:spacing w:line="243" w:lineRule="auto"/>
        <w:rPr>
          <w:rFonts w:ascii="Arial"/>
          <w:sz w:val="21"/>
        </w:rPr>
      </w:pPr>
    </w:p>
    <w:p w14:paraId="5D06347F">
      <w:pPr>
        <w:spacing w:line="243" w:lineRule="auto"/>
        <w:rPr>
          <w:rFonts w:ascii="Arial"/>
          <w:sz w:val="21"/>
        </w:rPr>
      </w:pPr>
    </w:p>
    <w:p w14:paraId="2D7B98D7">
      <w:pPr>
        <w:spacing w:line="243" w:lineRule="auto"/>
        <w:rPr>
          <w:rFonts w:ascii="Arial"/>
          <w:sz w:val="21"/>
        </w:rPr>
      </w:pPr>
    </w:p>
    <w:p w14:paraId="61C2F291">
      <w:pPr>
        <w:pStyle w:val="2"/>
        <w:spacing w:before="98" w:line="222" w:lineRule="auto"/>
        <w:ind w:left="475"/>
      </w:pPr>
      <w:r>
        <w:rPr>
          <w:color w:val="333333"/>
          <w:spacing w:val="-5"/>
        </w:rPr>
        <w:t>二、2025年财政拨款“三公</w:t>
      </w:r>
      <w:r>
        <w:rPr>
          <w:color w:val="333333"/>
          <w:spacing w:val="-109"/>
        </w:rPr>
        <w:t xml:space="preserve"> </w:t>
      </w:r>
      <w:r>
        <w:rPr>
          <w:color w:val="333333"/>
          <w:spacing w:val="-5"/>
        </w:rPr>
        <w:t>”经费预算情况说明</w:t>
      </w:r>
    </w:p>
    <w:p w14:paraId="2BEE4846">
      <w:pPr>
        <w:spacing w:line="372" w:lineRule="auto"/>
        <w:rPr>
          <w:rFonts w:ascii="Arial"/>
          <w:sz w:val="21"/>
        </w:rPr>
      </w:pPr>
    </w:p>
    <w:p w14:paraId="31883471">
      <w:pPr>
        <w:pStyle w:val="2"/>
        <w:spacing w:before="97" w:line="368" w:lineRule="auto"/>
        <w:ind w:left="78" w:right="158" w:firstLine="615"/>
      </w:pPr>
      <w:r>
        <w:rPr>
          <w:spacing w:val="18"/>
        </w:rPr>
        <w:t>2025年珠山区新区发展中心拨款"三公</w:t>
      </w:r>
      <w:r>
        <w:rPr>
          <w:spacing w:val="17"/>
        </w:rPr>
        <w:t>"经费安排0万元</w:t>
      </w:r>
      <w:r>
        <w:t xml:space="preserve"> </w:t>
      </w:r>
      <w:r>
        <w:rPr>
          <w:spacing w:val="-26"/>
        </w:rPr>
        <w:t>,</w:t>
      </w:r>
      <w:r>
        <w:rPr>
          <w:spacing w:val="96"/>
        </w:rPr>
        <w:t xml:space="preserve"> </w:t>
      </w:r>
      <w:r>
        <w:rPr>
          <w:spacing w:val="-26"/>
        </w:rPr>
        <w:t>其中：</w:t>
      </w:r>
    </w:p>
    <w:p w14:paraId="21E4AA92">
      <w:pPr>
        <w:pStyle w:val="2"/>
        <w:spacing w:line="368" w:lineRule="auto"/>
        <w:ind w:left="72" w:firstLine="682"/>
      </w:pPr>
      <w:r>
        <w:rPr>
          <w:spacing w:val="10"/>
        </w:rPr>
        <w:t>因公出国0万元,比上年减0万元，主要原因是：无因公出</w:t>
      </w:r>
      <w:r>
        <w:rPr>
          <w:spacing w:val="-5"/>
        </w:rPr>
        <w:t>国预算。</w:t>
      </w:r>
    </w:p>
    <w:p w14:paraId="0877581F">
      <w:pPr>
        <w:pStyle w:val="2"/>
        <w:spacing w:before="2" w:line="366" w:lineRule="auto"/>
        <w:ind w:left="81" w:right="199" w:firstLine="609"/>
      </w:pPr>
      <w:r>
        <w:rPr>
          <w:spacing w:val="11"/>
        </w:rPr>
        <w:t>公务接待0万元,比上年减0.86万元，</w:t>
      </w:r>
      <w:r>
        <w:rPr>
          <w:spacing w:val="10"/>
        </w:rPr>
        <w:t>主要原因是：部门</w:t>
      </w:r>
      <w:r>
        <w:rPr>
          <w:rFonts w:hint="eastAsia"/>
          <w:spacing w:val="14"/>
        </w:rPr>
        <w:t>厉行节约</w:t>
      </w:r>
      <w:r>
        <w:rPr>
          <w:spacing w:val="14"/>
        </w:rPr>
        <w:t>，减少了公务接待预算。</w:t>
      </w:r>
      <w:bookmarkStart w:id="0" w:name="_GoBack"/>
      <w:bookmarkEnd w:id="0"/>
    </w:p>
    <w:p w14:paraId="1306956B">
      <w:pPr>
        <w:pStyle w:val="2"/>
        <w:spacing w:before="7" w:line="367" w:lineRule="auto"/>
        <w:ind w:left="54" w:right="4" w:firstLine="636"/>
      </w:pPr>
      <w:r>
        <w:rPr>
          <w:spacing w:val="10"/>
        </w:rPr>
        <w:t>公务用车运行0万元,</w:t>
      </w:r>
      <w:r>
        <w:rPr>
          <w:spacing w:val="-77"/>
        </w:rPr>
        <w:t xml:space="preserve"> </w:t>
      </w:r>
      <w:r>
        <w:rPr>
          <w:spacing w:val="10"/>
        </w:rPr>
        <w:t>比上年减0万元，主要原因是：本单</w:t>
      </w:r>
      <w:r>
        <w:rPr>
          <w:spacing w:val="11"/>
        </w:rPr>
        <w:t>位未购置公车。</w:t>
      </w:r>
    </w:p>
    <w:p w14:paraId="163F4076">
      <w:pPr>
        <w:pStyle w:val="2"/>
        <w:spacing w:before="3" w:line="309" w:lineRule="auto"/>
        <w:ind w:left="22" w:right="148" w:firstLine="646"/>
      </w:pPr>
      <w:r>
        <w:rPr>
          <w:spacing w:val="14"/>
        </w:rPr>
        <w:t>公务用车购置0万元,与上年持平，主要原因是：本单位</w:t>
      </w:r>
      <w:r>
        <w:rPr>
          <w:spacing w:val="11"/>
        </w:rPr>
        <w:t>未安排购置公车。</w:t>
      </w:r>
    </w:p>
    <w:p w14:paraId="2914BF75">
      <w:pPr>
        <w:spacing w:line="309" w:lineRule="auto"/>
        <w:sectPr>
          <w:pgSz w:w="11906" w:h="16840"/>
          <w:pgMar w:top="400" w:right="1739" w:bottom="0" w:left="1785" w:header="0" w:footer="0" w:gutter="0"/>
          <w:cols w:space="720" w:num="1"/>
        </w:sectPr>
      </w:pPr>
    </w:p>
    <w:p w14:paraId="34CF9581">
      <w:pPr>
        <w:spacing w:line="265" w:lineRule="auto"/>
        <w:rPr>
          <w:rFonts w:ascii="Arial"/>
          <w:sz w:val="21"/>
        </w:rPr>
      </w:pPr>
    </w:p>
    <w:p w14:paraId="2189E3AD">
      <w:pPr>
        <w:spacing w:line="265" w:lineRule="auto"/>
        <w:rPr>
          <w:rFonts w:ascii="Arial"/>
          <w:sz w:val="21"/>
        </w:rPr>
      </w:pPr>
    </w:p>
    <w:p w14:paraId="1B9898AD">
      <w:pPr>
        <w:spacing w:line="266" w:lineRule="auto"/>
        <w:rPr>
          <w:rFonts w:ascii="Arial"/>
          <w:sz w:val="21"/>
        </w:rPr>
      </w:pPr>
    </w:p>
    <w:p w14:paraId="24086738">
      <w:pPr>
        <w:spacing w:line="266" w:lineRule="auto"/>
        <w:rPr>
          <w:rFonts w:ascii="Arial"/>
          <w:sz w:val="21"/>
        </w:rPr>
      </w:pPr>
    </w:p>
    <w:p w14:paraId="51BFC645">
      <w:pPr>
        <w:spacing w:line="266" w:lineRule="auto"/>
        <w:rPr>
          <w:rFonts w:ascii="Arial"/>
          <w:sz w:val="21"/>
        </w:rPr>
      </w:pPr>
    </w:p>
    <w:p w14:paraId="3CF1CCF0">
      <w:pPr>
        <w:pStyle w:val="2"/>
        <w:spacing w:before="98" w:line="222" w:lineRule="auto"/>
        <w:ind w:left="3536"/>
        <w:outlineLvl w:val="0"/>
      </w:pPr>
      <w:r>
        <w:rPr>
          <w:b/>
          <w:bCs/>
          <w:color w:val="333333"/>
          <w:spacing w:val="-12"/>
        </w:rPr>
        <w:t>第四部分名词解释</w:t>
      </w:r>
    </w:p>
    <w:p w14:paraId="44702D1A">
      <w:pPr>
        <w:spacing w:before="217" w:line="234" w:lineRule="auto"/>
        <w:ind w:left="688"/>
        <w:outlineLvl w:val="1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b/>
          <w:bCs/>
          <w:spacing w:val="8"/>
          <w:sz w:val="30"/>
          <w:szCs w:val="30"/>
        </w:rPr>
        <w:t>一、收入科目</w:t>
      </w:r>
    </w:p>
    <w:p w14:paraId="24589FFB">
      <w:pPr>
        <w:pStyle w:val="2"/>
        <w:spacing w:before="186" w:line="229" w:lineRule="auto"/>
        <w:ind w:left="682"/>
      </w:pPr>
      <w:r>
        <w:rPr>
          <w:spacing w:val="12"/>
        </w:rPr>
        <w:t>（一）财政拨款：指省级财政当年拨付的资金。</w:t>
      </w:r>
    </w:p>
    <w:p w14:paraId="2A2F93AC">
      <w:pPr>
        <w:pStyle w:val="2"/>
        <w:spacing w:before="224" w:line="262" w:lineRule="auto"/>
        <w:ind w:left="53" w:right="230" w:firstLine="628"/>
      </w:pPr>
      <w:r>
        <w:rPr>
          <w:spacing w:val="14"/>
        </w:rPr>
        <w:t>（二）其他收入：指除财政拨款、事业收入、事业单位</w:t>
      </w:r>
      <w:r>
        <w:rPr>
          <w:spacing w:val="13"/>
        </w:rPr>
        <w:t>经营收入等以外的各项收入。</w:t>
      </w:r>
    </w:p>
    <w:p w14:paraId="7FBFF8ED">
      <w:pPr>
        <w:pStyle w:val="2"/>
        <w:spacing w:before="313" w:line="288" w:lineRule="auto"/>
        <w:ind w:left="48" w:right="182" w:firstLine="633"/>
      </w:pPr>
      <w:r>
        <w:rPr>
          <w:spacing w:val="17"/>
        </w:rPr>
        <w:t>（三）上年结转和结余：填列2025年全部</w:t>
      </w:r>
      <w:r>
        <w:rPr>
          <w:spacing w:val="16"/>
        </w:rPr>
        <w:t>结转和结余</w:t>
      </w:r>
      <w:r>
        <w:rPr>
          <w:spacing w:val="24"/>
        </w:rPr>
        <w:t>的资金数</w:t>
      </w:r>
      <w:r>
        <w:rPr>
          <w:spacing w:val="-79"/>
        </w:rPr>
        <w:t xml:space="preserve"> </w:t>
      </w:r>
      <w:r>
        <w:rPr>
          <w:spacing w:val="24"/>
        </w:rPr>
        <w:t>，</w:t>
      </w:r>
      <w:r>
        <w:rPr>
          <w:spacing w:val="-89"/>
        </w:rPr>
        <w:t xml:space="preserve"> </w:t>
      </w:r>
      <w:r>
        <w:rPr>
          <w:spacing w:val="24"/>
        </w:rPr>
        <w:t>包括当年结转结余资金和历年滚存结转结余资</w:t>
      </w:r>
      <w:r>
        <w:rPr>
          <w:spacing w:val="-6"/>
        </w:rPr>
        <w:t>金。</w:t>
      </w:r>
    </w:p>
    <w:p w14:paraId="6774AF9D">
      <w:pPr>
        <w:spacing w:before="319" w:line="234" w:lineRule="auto"/>
        <w:ind w:left="680"/>
        <w:outlineLvl w:val="1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b/>
          <w:bCs/>
          <w:spacing w:val="9"/>
          <w:sz w:val="30"/>
          <w:szCs w:val="30"/>
        </w:rPr>
        <w:t>二、支出科目</w:t>
      </w:r>
    </w:p>
    <w:p w14:paraId="3A573E9B">
      <w:pPr>
        <w:pStyle w:val="2"/>
        <w:spacing w:before="205" w:line="286" w:lineRule="auto"/>
        <w:ind w:left="47" w:right="160" w:firstLine="634"/>
      </w:pPr>
      <w:r>
        <w:rPr>
          <w:spacing w:val="21"/>
        </w:rPr>
        <w:t>（一）</w:t>
      </w:r>
      <w:r>
        <w:rPr>
          <w:spacing w:val="-63"/>
        </w:rPr>
        <w:t xml:space="preserve"> </w:t>
      </w:r>
      <w:r>
        <w:rPr>
          <w:spacing w:val="21"/>
        </w:rPr>
        <w:t>一般公共服务支出(类)财政事务(款)行政运行(项):反映行政单位(包括实行公务员管理的事业单位)的基</w:t>
      </w:r>
      <w:r>
        <w:rPr>
          <w:spacing w:val="4"/>
        </w:rPr>
        <w:t>本支出。</w:t>
      </w:r>
    </w:p>
    <w:p w14:paraId="17E6B938">
      <w:pPr>
        <w:spacing w:line="249" w:lineRule="auto"/>
        <w:rPr>
          <w:rFonts w:ascii="Arial"/>
          <w:sz w:val="21"/>
        </w:rPr>
      </w:pPr>
    </w:p>
    <w:p w14:paraId="02278F0A">
      <w:pPr>
        <w:pStyle w:val="2"/>
        <w:spacing w:before="98" w:line="284" w:lineRule="auto"/>
        <w:ind w:left="40" w:right="175" w:firstLine="642"/>
      </w:pPr>
      <w:r>
        <w:rPr>
          <w:spacing w:val="13"/>
        </w:rPr>
        <w:t>（二）一般公共服务支出(类)财政事务(款)一般行政管</w:t>
      </w:r>
      <w:r>
        <w:rPr>
          <w:spacing w:val="28"/>
        </w:rPr>
        <w:t>理事务(项):反映行政单位(包括实行公</w:t>
      </w:r>
      <w:r>
        <w:rPr>
          <w:spacing w:val="27"/>
        </w:rPr>
        <w:t>务员管理的事业单</w:t>
      </w:r>
      <w:r>
        <w:rPr>
          <w:spacing w:val="15"/>
        </w:rPr>
        <w:t>位)未单独设置项级科目的其他项目支出。</w:t>
      </w:r>
    </w:p>
    <w:p w14:paraId="36B19041">
      <w:pPr>
        <w:spacing w:line="248" w:lineRule="auto"/>
        <w:rPr>
          <w:rFonts w:ascii="Arial"/>
          <w:sz w:val="21"/>
        </w:rPr>
      </w:pPr>
    </w:p>
    <w:p w14:paraId="0FEDD3F7">
      <w:pPr>
        <w:pStyle w:val="2"/>
        <w:spacing w:before="98" w:line="301" w:lineRule="auto"/>
        <w:ind w:left="36" w:firstLine="590"/>
      </w:pPr>
      <w:r>
        <w:rPr>
          <w:spacing w:val="17"/>
        </w:rPr>
        <w:t>（三）</w:t>
      </w:r>
      <w:r>
        <w:rPr>
          <w:spacing w:val="-66"/>
        </w:rPr>
        <w:t xml:space="preserve"> </w:t>
      </w:r>
      <w:r>
        <w:rPr>
          <w:spacing w:val="17"/>
        </w:rPr>
        <w:t>一般公共服务支出(类)财政事务(款)机关服务 (</w:t>
      </w:r>
      <w:r>
        <w:rPr>
          <w:spacing w:val="14"/>
        </w:rPr>
        <w:t>项</w:t>
      </w:r>
      <w:r>
        <w:rPr>
          <w:spacing w:val="-9"/>
        </w:rPr>
        <w:t>）：</w:t>
      </w:r>
      <w:r>
        <w:rPr>
          <w:spacing w:val="14"/>
        </w:rPr>
        <w:t>反映为行政单位（包括实行公务员管理的</w:t>
      </w:r>
      <w:r>
        <w:rPr>
          <w:spacing w:val="13"/>
        </w:rPr>
        <w:t>事业单位）提</w:t>
      </w:r>
      <w:r>
        <w:rPr>
          <w:spacing w:val="15"/>
        </w:rPr>
        <w:t>供后勤服务的各类后勤服务中心、</w:t>
      </w:r>
      <w:r>
        <w:rPr>
          <w:spacing w:val="-77"/>
        </w:rPr>
        <w:t xml:space="preserve"> </w:t>
      </w:r>
      <w:r>
        <w:rPr>
          <w:spacing w:val="15"/>
        </w:rPr>
        <w:t>医务室等附属事业单位的</w:t>
      </w:r>
      <w:r>
        <w:rPr>
          <w:spacing w:val="2"/>
        </w:rPr>
        <w:t>支出。</w:t>
      </w:r>
    </w:p>
    <w:p w14:paraId="12457CFD">
      <w:pPr>
        <w:spacing w:line="259" w:lineRule="auto"/>
        <w:rPr>
          <w:rFonts w:ascii="Arial"/>
          <w:sz w:val="21"/>
        </w:rPr>
      </w:pPr>
    </w:p>
    <w:p w14:paraId="1B61FCE4">
      <w:pPr>
        <w:pStyle w:val="2"/>
        <w:spacing w:before="98" w:line="261" w:lineRule="auto"/>
        <w:ind w:left="41" w:right="708" w:firstLine="585"/>
      </w:pPr>
      <w:r>
        <w:rPr>
          <w:spacing w:val="6"/>
        </w:rPr>
        <w:t>（</w:t>
      </w:r>
      <w:r>
        <w:rPr>
          <w:spacing w:val="-72"/>
        </w:rPr>
        <w:t xml:space="preserve"> </w:t>
      </w:r>
      <w:r>
        <w:rPr>
          <w:spacing w:val="6"/>
        </w:rPr>
        <w:t>四）一般公共服务支出(类)财政事务(款)财政监察</w:t>
      </w:r>
      <w:r>
        <w:rPr>
          <w:spacing w:val="13"/>
        </w:rPr>
        <w:t>（项</w:t>
      </w:r>
      <w:r>
        <w:rPr>
          <w:spacing w:val="6"/>
        </w:rPr>
        <w:t>）</w:t>
      </w:r>
      <w:r>
        <w:rPr>
          <w:spacing w:val="-67"/>
        </w:rPr>
        <w:t xml:space="preserve"> </w:t>
      </w:r>
      <w:r>
        <w:rPr>
          <w:spacing w:val="6"/>
        </w:rPr>
        <w:t>：</w:t>
      </w:r>
      <w:r>
        <w:rPr>
          <w:spacing w:val="13"/>
        </w:rPr>
        <w:t>反映财政监察方面的专项业务支出。</w:t>
      </w:r>
    </w:p>
    <w:p w14:paraId="12B14E37">
      <w:pPr>
        <w:pStyle w:val="2"/>
        <w:spacing w:before="307" w:line="261" w:lineRule="auto"/>
        <w:ind w:left="156" w:right="223" w:firstLine="526"/>
      </w:pPr>
      <w:r>
        <w:rPr>
          <w:spacing w:val="14"/>
        </w:rPr>
        <w:t>（五）一般公共服务支出(类)财政事务(</w:t>
      </w:r>
      <w:r>
        <w:rPr>
          <w:spacing w:val="13"/>
        </w:rPr>
        <w:t>款)信息化建设</w:t>
      </w:r>
      <w:r>
        <w:rPr>
          <w:spacing w:val="10"/>
        </w:rPr>
        <w:t>(项):反映财政部门用于信息化建设方面的支出。</w:t>
      </w:r>
    </w:p>
    <w:p w14:paraId="5701E1BD">
      <w:pPr>
        <w:pStyle w:val="2"/>
        <w:spacing w:before="289" w:line="229" w:lineRule="auto"/>
        <w:ind w:left="682"/>
      </w:pPr>
      <w:r>
        <w:rPr>
          <w:spacing w:val="13"/>
        </w:rPr>
        <w:t>（六）一般公共服务支出(类)财政事务(款)财政委托业</w:t>
      </w:r>
    </w:p>
    <w:p w14:paraId="4536E45D">
      <w:pPr>
        <w:spacing w:line="229" w:lineRule="auto"/>
        <w:sectPr>
          <w:pgSz w:w="11906" w:h="16840"/>
          <w:pgMar w:top="400" w:right="1655" w:bottom="0" w:left="1785" w:header="0" w:footer="0" w:gutter="0"/>
          <w:cols w:space="720" w:num="1"/>
        </w:sectPr>
      </w:pPr>
    </w:p>
    <w:p w14:paraId="33494E67">
      <w:pPr>
        <w:spacing w:line="292" w:lineRule="auto"/>
        <w:rPr>
          <w:rFonts w:ascii="Arial"/>
          <w:sz w:val="21"/>
        </w:rPr>
      </w:pPr>
    </w:p>
    <w:p w14:paraId="4F5D64C3">
      <w:pPr>
        <w:spacing w:line="292" w:lineRule="auto"/>
        <w:rPr>
          <w:rFonts w:ascii="Arial"/>
          <w:sz w:val="21"/>
        </w:rPr>
      </w:pPr>
    </w:p>
    <w:p w14:paraId="67732868">
      <w:pPr>
        <w:spacing w:line="293" w:lineRule="auto"/>
        <w:rPr>
          <w:rFonts w:ascii="Arial"/>
          <w:sz w:val="21"/>
        </w:rPr>
      </w:pPr>
    </w:p>
    <w:p w14:paraId="1A40E210">
      <w:pPr>
        <w:spacing w:line="293" w:lineRule="auto"/>
        <w:rPr>
          <w:rFonts w:ascii="Arial"/>
          <w:sz w:val="21"/>
        </w:rPr>
      </w:pPr>
    </w:p>
    <w:p w14:paraId="40D46ADC">
      <w:pPr>
        <w:pStyle w:val="2"/>
        <w:spacing w:before="98" w:line="356" w:lineRule="auto"/>
        <w:ind w:left="41" w:right="34" w:firstLine="18"/>
      </w:pPr>
      <w:r>
        <w:rPr>
          <w:spacing w:val="22"/>
        </w:rPr>
        <w:t>务支出(项):反映财政委托评审机构进行财政</w:t>
      </w:r>
      <w:r>
        <w:rPr>
          <w:spacing w:val="21"/>
        </w:rPr>
        <w:t>投资评审和委</w:t>
      </w:r>
      <w:r>
        <w:rPr>
          <w:spacing w:val="15"/>
        </w:rPr>
        <w:t>托建设银行等机构代理业务发生的支出。</w:t>
      </w:r>
    </w:p>
    <w:p w14:paraId="76A9CD96">
      <w:pPr>
        <w:pStyle w:val="2"/>
        <w:spacing w:before="3" w:line="259" w:lineRule="auto"/>
        <w:ind w:left="156" w:right="114" w:firstLine="526"/>
      </w:pPr>
      <w:r>
        <w:rPr>
          <w:spacing w:val="22"/>
        </w:rPr>
        <w:t>（七）</w:t>
      </w:r>
      <w:r>
        <w:rPr>
          <w:spacing w:val="-64"/>
        </w:rPr>
        <w:t xml:space="preserve"> </w:t>
      </w:r>
      <w:r>
        <w:rPr>
          <w:spacing w:val="22"/>
        </w:rPr>
        <w:t>一般公共服务支出(类)财政事务(款)事业运行</w:t>
      </w:r>
      <w:r>
        <w:rPr>
          <w:spacing w:val="6"/>
        </w:rPr>
        <w:t>(项):反映事业单位的基本支出。</w:t>
      </w:r>
    </w:p>
    <w:p w14:paraId="43E5EB97">
      <w:pPr>
        <w:pStyle w:val="2"/>
        <w:spacing w:before="312" w:line="288" w:lineRule="auto"/>
        <w:ind w:left="60" w:right="87" w:firstLine="622"/>
      </w:pPr>
      <w:r>
        <w:rPr>
          <w:spacing w:val="14"/>
        </w:rPr>
        <w:t>（八）一般公共服务支出(类)财政事务(款)其他财</w:t>
      </w:r>
      <w:r>
        <w:rPr>
          <w:spacing w:val="13"/>
        </w:rPr>
        <w:t>政事</w:t>
      </w:r>
      <w:r>
        <w:rPr>
          <w:spacing w:val="21"/>
        </w:rPr>
        <w:t>务支出(项):反映除上述项</w:t>
      </w:r>
      <w:r>
        <w:rPr>
          <w:spacing w:val="-54"/>
        </w:rPr>
        <w:t xml:space="preserve"> </w:t>
      </w:r>
      <w:r>
        <w:rPr>
          <w:spacing w:val="21"/>
        </w:rPr>
        <w:t>目</w:t>
      </w:r>
      <w:r>
        <w:rPr>
          <w:spacing w:val="-79"/>
        </w:rPr>
        <w:t xml:space="preserve"> </w:t>
      </w:r>
      <w:r>
        <w:rPr>
          <w:spacing w:val="21"/>
        </w:rPr>
        <w:t>以外其他财政事务方</w:t>
      </w:r>
      <w:r>
        <w:rPr>
          <w:spacing w:val="20"/>
        </w:rPr>
        <w:t>面的支</w:t>
      </w:r>
      <w:r>
        <w:rPr>
          <w:spacing w:val="-10"/>
        </w:rPr>
        <w:t>出。</w:t>
      </w:r>
    </w:p>
    <w:p w14:paraId="78086E18">
      <w:pPr>
        <w:pStyle w:val="2"/>
        <w:spacing w:before="329" w:line="303" w:lineRule="auto"/>
        <w:ind w:left="58" w:right="39" w:firstLine="624"/>
      </w:pPr>
      <w:r>
        <w:rPr>
          <w:spacing w:val="16"/>
        </w:rPr>
        <w:t>（九）社会保障和就业支出(类)行政事业单位养老支出</w:t>
      </w:r>
      <w:r>
        <w:rPr>
          <w:spacing w:val="21"/>
        </w:rPr>
        <w:t>(款)机关事业单位基本养老保险缴费支出(项):反</w:t>
      </w:r>
      <w:r>
        <w:rPr>
          <w:spacing w:val="20"/>
        </w:rPr>
        <w:t>映机关事</w:t>
      </w:r>
      <w:r>
        <w:rPr>
          <w:spacing w:val="29"/>
        </w:rPr>
        <w:t>业单位实施养老保险制度由单位缴纳的基本养老保险费支</w:t>
      </w:r>
      <w:r>
        <w:rPr>
          <w:spacing w:val="-6"/>
        </w:rPr>
        <w:t>出。</w:t>
      </w:r>
    </w:p>
    <w:p w14:paraId="5A180A16">
      <w:pPr>
        <w:spacing w:line="251" w:lineRule="auto"/>
        <w:rPr>
          <w:rFonts w:ascii="Arial"/>
          <w:sz w:val="21"/>
        </w:rPr>
      </w:pPr>
    </w:p>
    <w:p w14:paraId="147B3C04">
      <w:pPr>
        <w:pStyle w:val="2"/>
        <w:spacing w:before="98" w:line="309" w:lineRule="auto"/>
        <w:ind w:left="47" w:right="25" w:firstLine="634"/>
      </w:pPr>
      <w:r>
        <w:rPr>
          <w:spacing w:val="17"/>
        </w:rPr>
        <w:t>（十）卫生健康支出（类）行政事业单位医疗（款）行</w:t>
      </w:r>
      <w:r>
        <w:rPr>
          <w:spacing w:val="20"/>
        </w:rPr>
        <w:t>政单位医疗(项</w:t>
      </w:r>
      <w:r>
        <w:rPr>
          <w:spacing w:val="14"/>
        </w:rPr>
        <w:t>）</w:t>
      </w:r>
      <w:r>
        <w:rPr>
          <w:spacing w:val="-56"/>
        </w:rPr>
        <w:t xml:space="preserve"> </w:t>
      </w:r>
      <w:r>
        <w:rPr>
          <w:spacing w:val="14"/>
        </w:rPr>
        <w:t>：</w:t>
      </w:r>
      <w:r>
        <w:rPr>
          <w:spacing w:val="20"/>
        </w:rPr>
        <w:t>反映财政部门安排的行政单位（包括实</w:t>
      </w:r>
      <w:r>
        <w:rPr>
          <w:spacing w:val="17"/>
        </w:rPr>
        <w:t>行公务员管理的事业单位，下同）基本医疗保险缴费经费，未参加医疗保险的行政单位的公费医疗经费，按国家规定享</w:t>
      </w:r>
      <w:r>
        <w:rPr>
          <w:spacing w:val="15"/>
        </w:rPr>
        <w:t>受离休人员、红军老战士待遇人员的医疗经费。</w:t>
      </w:r>
    </w:p>
    <w:p w14:paraId="5A95E8D2">
      <w:pPr>
        <w:spacing w:line="278" w:lineRule="auto"/>
        <w:rPr>
          <w:rFonts w:ascii="Arial"/>
          <w:sz w:val="21"/>
        </w:rPr>
      </w:pPr>
    </w:p>
    <w:p w14:paraId="043C1F6E">
      <w:pPr>
        <w:pStyle w:val="2"/>
        <w:spacing w:before="98" w:line="300" w:lineRule="auto"/>
        <w:ind w:left="46" w:right="25" w:firstLine="636"/>
      </w:pPr>
      <w:r>
        <w:rPr>
          <w:spacing w:val="16"/>
        </w:rPr>
        <w:t>（十一）卫生健康支出（类）行政事业单位医疗（款）</w:t>
      </w:r>
      <w:r>
        <w:rPr>
          <w:spacing w:val="20"/>
        </w:rPr>
        <w:t>事业单位医疗(项</w:t>
      </w:r>
      <w:r>
        <w:rPr>
          <w:spacing w:val="15"/>
        </w:rPr>
        <w:t>）</w:t>
      </w:r>
      <w:r>
        <w:rPr>
          <w:spacing w:val="-56"/>
        </w:rPr>
        <w:t xml:space="preserve"> </w:t>
      </w:r>
      <w:r>
        <w:rPr>
          <w:spacing w:val="15"/>
        </w:rPr>
        <w:t>：</w:t>
      </w:r>
      <w:r>
        <w:rPr>
          <w:spacing w:val="20"/>
        </w:rPr>
        <w:t>反映财政部门安排的事业单位基本医</w:t>
      </w:r>
      <w:r>
        <w:rPr>
          <w:spacing w:val="18"/>
        </w:rPr>
        <w:t>疗保险缴费经费，未参加医疗保险的事业单</w:t>
      </w:r>
      <w:r>
        <w:rPr>
          <w:spacing w:val="17"/>
        </w:rPr>
        <w:t>位的公费医疗经</w:t>
      </w:r>
      <w:r>
        <w:rPr>
          <w:spacing w:val="15"/>
        </w:rPr>
        <w:t>费，按国家规定享受离休人员待遇的医疗经费。</w:t>
      </w:r>
    </w:p>
    <w:p w14:paraId="7AA58F9D">
      <w:pPr>
        <w:spacing w:line="266" w:lineRule="auto"/>
        <w:rPr>
          <w:rFonts w:ascii="Arial"/>
          <w:sz w:val="21"/>
        </w:rPr>
      </w:pPr>
    </w:p>
    <w:p w14:paraId="40D4EC36">
      <w:pPr>
        <w:pStyle w:val="2"/>
        <w:spacing w:before="98" w:line="300" w:lineRule="auto"/>
        <w:ind w:left="41" w:right="27" w:firstLine="640"/>
      </w:pPr>
      <w:r>
        <w:rPr>
          <w:spacing w:val="17"/>
        </w:rPr>
        <w:t>（十二）住房保障支出（类）住房改革支出（款）购房</w:t>
      </w:r>
      <w:r>
        <w:rPr>
          <w:spacing w:val="15"/>
        </w:rPr>
        <w:t>补贴（项</w:t>
      </w:r>
      <w:r>
        <w:rPr>
          <w:spacing w:val="9"/>
        </w:rPr>
        <w:t>）</w:t>
      </w:r>
      <w:r>
        <w:rPr>
          <w:spacing w:val="-65"/>
        </w:rPr>
        <w:t xml:space="preserve"> </w:t>
      </w:r>
      <w:r>
        <w:rPr>
          <w:spacing w:val="9"/>
        </w:rPr>
        <w:t>：</w:t>
      </w:r>
      <w:r>
        <w:rPr>
          <w:spacing w:val="15"/>
        </w:rPr>
        <w:t>反映按房改政策规定，行政事业单位向符合条</w:t>
      </w:r>
      <w:r>
        <w:rPr>
          <w:spacing w:val="11"/>
        </w:rPr>
        <w:t>件职工（含离退休人员）</w:t>
      </w:r>
      <w:r>
        <w:rPr>
          <w:spacing w:val="-59"/>
        </w:rPr>
        <w:t xml:space="preserve"> </w:t>
      </w:r>
      <w:r>
        <w:rPr>
          <w:spacing w:val="11"/>
        </w:rPr>
        <w:t>、军队（含武警）</w:t>
      </w:r>
      <w:r>
        <w:rPr>
          <w:spacing w:val="-64"/>
        </w:rPr>
        <w:t xml:space="preserve"> </w:t>
      </w:r>
      <w:r>
        <w:rPr>
          <w:spacing w:val="11"/>
        </w:rPr>
        <w:t>向转役复员离退</w:t>
      </w:r>
      <w:r>
        <w:rPr>
          <w:spacing w:val="15"/>
        </w:rPr>
        <w:t>休人员发放的用于购买住房的补贴。</w:t>
      </w:r>
    </w:p>
    <w:p w14:paraId="397CD7AE">
      <w:pPr>
        <w:spacing w:line="300" w:lineRule="auto"/>
        <w:sectPr>
          <w:pgSz w:w="11906" w:h="16840"/>
          <w:pgMar w:top="400" w:right="1785" w:bottom="0" w:left="1785" w:header="0" w:footer="0" w:gutter="0"/>
          <w:cols w:space="720" w:num="1"/>
        </w:sectPr>
      </w:pPr>
    </w:p>
    <w:p w14:paraId="23D836D4">
      <w:pPr>
        <w:spacing w:line="289" w:lineRule="auto"/>
        <w:rPr>
          <w:rFonts w:ascii="Arial"/>
          <w:sz w:val="21"/>
        </w:rPr>
      </w:pPr>
    </w:p>
    <w:p w14:paraId="089F7672">
      <w:pPr>
        <w:spacing w:line="289" w:lineRule="auto"/>
        <w:rPr>
          <w:rFonts w:ascii="Arial"/>
          <w:sz w:val="21"/>
        </w:rPr>
      </w:pPr>
    </w:p>
    <w:p w14:paraId="1848DAD4">
      <w:pPr>
        <w:spacing w:line="289" w:lineRule="auto"/>
        <w:rPr>
          <w:rFonts w:ascii="Arial"/>
          <w:sz w:val="21"/>
        </w:rPr>
      </w:pPr>
    </w:p>
    <w:p w14:paraId="4454CCBD">
      <w:pPr>
        <w:spacing w:line="289" w:lineRule="auto"/>
        <w:rPr>
          <w:rFonts w:ascii="Arial"/>
          <w:sz w:val="21"/>
        </w:rPr>
      </w:pPr>
    </w:p>
    <w:p w14:paraId="726E1ACD">
      <w:pPr>
        <w:spacing w:before="97" w:line="232" w:lineRule="auto"/>
        <w:ind w:left="669"/>
        <w:outlineLvl w:val="1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b/>
          <w:bCs/>
          <w:spacing w:val="12"/>
          <w:sz w:val="30"/>
          <w:szCs w:val="30"/>
        </w:rPr>
        <w:t>三、相关专业名词</w:t>
      </w:r>
    </w:p>
    <w:p w14:paraId="57AE2138">
      <w:pPr>
        <w:pStyle w:val="2"/>
        <w:spacing w:before="219" w:line="334" w:lineRule="auto"/>
        <w:ind w:left="48" w:right="130" w:firstLine="633"/>
      </w:pPr>
      <w:r>
        <w:rPr>
          <w:spacing w:val="14"/>
        </w:rPr>
        <w:t>（一）机关运行费：指用一般公共预算财政拨款安排的</w:t>
      </w:r>
      <w:r>
        <w:rPr>
          <w:spacing w:val="17"/>
        </w:rPr>
        <w:t>为保障行政单位（包括实行公务员管理的事业单位）运行</w:t>
      </w:r>
      <w:r>
        <w:rPr>
          <w:spacing w:val="16"/>
        </w:rPr>
        <w:t>用于购买货物和服务的各项资金，包括办公费、印刷费、</w:t>
      </w:r>
    </w:p>
    <w:p w14:paraId="311F653A">
      <w:pPr>
        <w:pStyle w:val="2"/>
        <w:spacing w:line="334" w:lineRule="auto"/>
        <w:ind w:left="52" w:right="144" w:firstLine="19"/>
      </w:pPr>
      <w:r>
        <w:rPr>
          <w:spacing w:val="9"/>
        </w:rPr>
        <w:t>邮电费、差旅费、会议费、福利费、</w:t>
      </w:r>
      <w:r>
        <w:rPr>
          <w:spacing w:val="-38"/>
        </w:rPr>
        <w:t xml:space="preserve"> </w:t>
      </w:r>
      <w:r>
        <w:rPr>
          <w:spacing w:val="9"/>
        </w:rPr>
        <w:t>日常维修费、专用材料</w:t>
      </w:r>
      <w:r>
        <w:rPr>
          <w:spacing w:val="15"/>
        </w:rPr>
        <w:t>及一般设备购置费、办公用房水电费、办公用房取暖费、</w:t>
      </w:r>
    </w:p>
    <w:p w14:paraId="0305BDB6">
      <w:pPr>
        <w:pStyle w:val="2"/>
        <w:spacing w:before="1" w:line="225" w:lineRule="auto"/>
        <w:ind w:left="58"/>
      </w:pPr>
      <w:r>
        <w:rPr>
          <w:spacing w:val="16"/>
        </w:rPr>
        <w:t>办公用房物业管理费、公务用车运行维护费以及其他费用</w:t>
      </w:r>
    </w:p>
    <w:p w14:paraId="0430B6A1">
      <w:pPr>
        <w:spacing w:line="286" w:lineRule="auto"/>
        <w:rPr>
          <w:rFonts w:ascii="Arial"/>
          <w:sz w:val="21"/>
        </w:rPr>
      </w:pPr>
    </w:p>
    <w:p w14:paraId="4D4E3DA0">
      <w:pPr>
        <w:pStyle w:val="2"/>
        <w:spacing w:before="97" w:line="146" w:lineRule="exact"/>
        <w:ind w:left="72"/>
      </w:pPr>
      <w:r>
        <w:rPr>
          <w:position w:val="2"/>
        </w:rPr>
        <w:t>。</w:t>
      </w:r>
    </w:p>
    <w:p w14:paraId="599E8FA0">
      <w:pPr>
        <w:spacing w:line="305" w:lineRule="auto"/>
        <w:rPr>
          <w:rFonts w:ascii="Arial"/>
          <w:sz w:val="21"/>
        </w:rPr>
      </w:pPr>
    </w:p>
    <w:p w14:paraId="49398060">
      <w:pPr>
        <w:pStyle w:val="2"/>
        <w:spacing w:before="98" w:line="329" w:lineRule="auto"/>
        <w:ind w:left="60" w:firstLine="622"/>
        <w:jc w:val="both"/>
      </w:pPr>
      <w:r>
        <w:rPr>
          <w:spacing w:val="-5"/>
        </w:rPr>
        <w:t>（二）“三公”经费：指用财政拨款安排的因公出国（境）</w:t>
      </w:r>
      <w:r>
        <w:rPr>
          <w:spacing w:val="14"/>
        </w:rPr>
        <w:t>费、公务用车购置及运行维护费和公务接待费。其</w:t>
      </w:r>
      <w:r>
        <w:rPr>
          <w:spacing w:val="13"/>
        </w:rPr>
        <w:t>中，</w:t>
      </w:r>
      <w:r>
        <w:rPr>
          <w:spacing w:val="-82"/>
        </w:rPr>
        <w:t xml:space="preserve"> </w:t>
      </w:r>
      <w:r>
        <w:rPr>
          <w:spacing w:val="13"/>
        </w:rPr>
        <w:t>因公</w:t>
      </w:r>
      <w:r>
        <w:rPr>
          <w:spacing w:val="11"/>
        </w:rPr>
        <w:t>出国（境）费反映单位公务出国（境）</w:t>
      </w:r>
      <w:r>
        <w:rPr>
          <w:spacing w:val="-77"/>
        </w:rPr>
        <w:t xml:space="preserve"> </w:t>
      </w:r>
      <w:r>
        <w:rPr>
          <w:spacing w:val="11"/>
        </w:rPr>
        <w:t>的国际旅费、</w:t>
      </w:r>
      <w:r>
        <w:rPr>
          <w:spacing w:val="-81"/>
        </w:rPr>
        <w:t xml:space="preserve"> </w:t>
      </w:r>
      <w:r>
        <w:rPr>
          <w:spacing w:val="11"/>
        </w:rPr>
        <w:t>国外城</w:t>
      </w:r>
      <w:r>
        <w:rPr>
          <w:spacing w:val="16"/>
        </w:rPr>
        <w:t>市间交通费、住宿费、伙食费、培训费、公杂费等支出；公</w:t>
      </w:r>
      <w:r>
        <w:rPr>
          <w:spacing w:val="17"/>
        </w:rPr>
        <w:t>务用车购置及运行维护费反映单位公务用车车辆购置支出</w:t>
      </w:r>
    </w:p>
    <w:p w14:paraId="20BD1FE0">
      <w:pPr>
        <w:pStyle w:val="2"/>
        <w:spacing w:before="216" w:line="324" w:lineRule="auto"/>
        <w:ind w:left="46" w:right="58" w:hanging="5"/>
        <w:jc w:val="both"/>
      </w:pPr>
      <w:r>
        <w:rPr>
          <w:spacing w:val="11"/>
        </w:rPr>
        <w:t>（含车辆购置税、牌照费</w:t>
      </w:r>
      <w:r>
        <w:rPr>
          <w:spacing w:val="-8"/>
        </w:rPr>
        <w:t>），</w:t>
      </w:r>
      <w:r>
        <w:rPr>
          <w:spacing w:val="11"/>
        </w:rPr>
        <w:t>按规定保留的公务用车燃料费</w:t>
      </w:r>
      <w:r>
        <w:t xml:space="preserve">  </w:t>
      </w:r>
      <w:r>
        <w:rPr>
          <w:spacing w:val="17"/>
        </w:rPr>
        <w:t>、新能源汽车充电费、维修费、过桥过路费、保险费、安全奖励费用等支出；公务接待费反映单位按规定开支的各类公</w:t>
      </w:r>
      <w:r>
        <w:rPr>
          <w:spacing w:val="13"/>
        </w:rPr>
        <w:t>务接待（含外宾接待）支出。</w:t>
      </w:r>
    </w:p>
    <w:sectPr>
      <w:pgSz w:w="11906" w:h="16840"/>
      <w:pgMar w:top="400" w:right="175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0F63E8">
    <w:pPr>
      <w:pStyle w:val="2"/>
      <w:spacing w:before="76" w:line="201" w:lineRule="auto"/>
      <w:ind w:left="463"/>
      <w:outlineLvl w:val="1"/>
    </w:pPr>
    <w:r>
      <w:rPr>
        <w:color w:val="333333"/>
        <w:spacing w:val="-4"/>
      </w:rPr>
      <w:t>六、《一般公共预算基本支出表》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317F7D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38F38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3520</Words>
  <Characters>3723</Characters>
  <TotalTime>2</TotalTime>
  <ScaleCrop>false</ScaleCrop>
  <LinksUpToDate>false</LinksUpToDate>
  <CharactersWithSpaces>3805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2025-07-01T09:48:00Z</dcterms:created>
  <dc:creator>Administrator</dc:creator>
  <cp:lastModifiedBy>Administrator</cp:lastModifiedBy>
  <dcterms:modified xsi:type="dcterms:W3CDTF">2025-10-20T09:07:00Z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2025-10-20T17:04:32Z</vt:filetime>
  </property>
  <property fmtid="{D5CDD505-2E9C-101B-9397-08002B2CF9AE}" pid="4" name="KSOTemplateDocerSaveRecord">
    <vt:lpwstr>eyJoZGlkIjoiMTRkOTA5Mzg1NTY0OWZkMDdjNTQwYjRmMWY5MjE2MGEiLCJ1c2VySWQiOiIyMzE0OTM0ODUifQ==</vt:lpwstr>
  </property>
  <property fmtid="{D5CDD505-2E9C-101B-9397-08002B2CF9AE}" pid="5" name="KSOProductBuildVer">
    <vt:lpwstr>2052-12.1.0.23125</vt:lpwstr>
  </property>
  <property fmtid="{D5CDD505-2E9C-101B-9397-08002B2CF9AE}" pid="6" name="ICV">
    <vt:lpwstr>55ABFAD5CECA406D82496E38847C2B80_12</vt:lpwstr>
  </property>
</Properties>
</file>