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9" w:line="226" w:lineRule="auto"/>
        <w:ind w:left="1348"/>
        <w:jc w:val="center"/>
        <w:outlineLvl w:val="0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7"/>
          <w:sz w:val="43"/>
          <w:szCs w:val="43"/>
          <w:lang w:eastAsia="zh-CN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rFonts w:ascii="黑体" w:hAnsi="黑体" w:eastAsia="黑体" w:cs="黑体"/>
          <w:spacing w:val="-92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黑体" w:hAnsi="黑体" w:eastAsia="黑体" w:cs="黑体"/>
          <w:spacing w:val="-85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7"/>
          <w:sz w:val="43"/>
          <w:szCs w:val="43"/>
          <w14:textOutline w14:w="5587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</w:t>
      </w:r>
    </w:p>
    <w:p>
      <w:pPr>
        <w:spacing w:line="338" w:lineRule="auto"/>
        <w:jc w:val="center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1" w:line="228" w:lineRule="auto"/>
        <w:ind w:left="35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目</w:t>
      </w:r>
      <w:r>
        <w:rPr>
          <w:rFonts w:ascii="黑体" w:hAnsi="黑体" w:eastAsia="黑体" w:cs="黑体"/>
          <w:spacing w:val="8"/>
          <w:sz w:val="31"/>
          <w:szCs w:val="31"/>
        </w:rPr>
        <w:t xml:space="preserve">    </w:t>
      </w:r>
      <w:r>
        <w:rPr>
          <w:rFonts w:ascii="黑体" w:hAnsi="黑体" w:eastAsia="黑体" w:cs="黑体"/>
          <w:spacing w:val="-22"/>
          <w:sz w:val="31"/>
          <w:szCs w:val="31"/>
        </w:rPr>
        <w:t>录</w:t>
      </w:r>
    </w:p>
    <w:p>
      <w:pPr>
        <w:spacing w:line="450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>
      <w:pPr>
        <w:pStyle w:val="2"/>
        <w:spacing w:before="239" w:line="228" w:lineRule="auto"/>
        <w:ind w:left="1319"/>
      </w:pPr>
      <w:r>
        <w:rPr>
          <w:spacing w:val="2"/>
        </w:rPr>
        <w:t>一、部门主要职责</w:t>
      </w:r>
    </w:p>
    <w:p>
      <w:pPr>
        <w:pStyle w:val="2"/>
        <w:spacing w:before="242" w:line="228" w:lineRule="auto"/>
        <w:ind w:left="1324"/>
      </w:pPr>
      <w:r>
        <w:rPr>
          <w:spacing w:val="6"/>
        </w:rPr>
        <w:t>二、机构设置及人员情况</w:t>
      </w:r>
    </w:p>
    <w:p>
      <w:pPr>
        <w:pStyle w:val="2"/>
        <w:spacing w:before="240" w:line="228" w:lineRule="auto"/>
        <w:ind w:left="687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6"/>
        </w:rPr>
        <w:t xml:space="preserve">  </w:t>
      </w:r>
      <w:r>
        <w:rPr>
          <w:rFonts w:hint="eastAsia"/>
          <w:spacing w:val="6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spacing w:val="-53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>
      <w:pPr>
        <w:pStyle w:val="2"/>
        <w:spacing w:before="242" w:line="624" w:lineRule="exact"/>
        <w:ind w:left="1319"/>
      </w:pPr>
      <w:r>
        <w:rPr>
          <w:spacing w:val="5"/>
          <w:position w:val="22"/>
        </w:rPr>
        <w:t>一、《收支预算总表》</w:t>
      </w:r>
    </w:p>
    <w:p>
      <w:pPr>
        <w:pStyle w:val="2"/>
        <w:spacing w:before="1" w:line="227" w:lineRule="auto"/>
        <w:ind w:left="1324"/>
      </w:pPr>
      <w:r>
        <w:rPr>
          <w:spacing w:val="4"/>
        </w:rPr>
        <w:t>二、《部门收入总表》</w:t>
      </w:r>
    </w:p>
    <w:p>
      <w:pPr>
        <w:pStyle w:val="2"/>
        <w:spacing w:before="241" w:line="228" w:lineRule="auto"/>
        <w:ind w:left="1323"/>
      </w:pPr>
      <w:r>
        <w:rPr>
          <w:spacing w:val="4"/>
        </w:rPr>
        <w:t>三、《部门支出总表》</w:t>
      </w:r>
    </w:p>
    <w:p>
      <w:pPr>
        <w:pStyle w:val="2"/>
        <w:spacing w:before="242" w:line="229" w:lineRule="auto"/>
        <w:ind w:left="1352"/>
      </w:pPr>
      <w:r>
        <w:rPr>
          <w:spacing w:val="3"/>
        </w:rPr>
        <w:t>四、《财政拨款收支总表》</w:t>
      </w:r>
    </w:p>
    <w:p>
      <w:pPr>
        <w:pStyle w:val="2"/>
        <w:spacing w:before="239" w:line="228" w:lineRule="auto"/>
        <w:ind w:left="1319"/>
      </w:pPr>
      <w:r>
        <w:rPr>
          <w:spacing w:val="6"/>
        </w:rPr>
        <w:t>五、《一般公共预算支出表》</w:t>
      </w:r>
    </w:p>
    <w:p>
      <w:pPr>
        <w:pStyle w:val="2"/>
        <w:spacing w:before="241" w:line="228" w:lineRule="auto"/>
        <w:ind w:left="1317"/>
      </w:pPr>
      <w:r>
        <w:rPr>
          <w:spacing w:val="6"/>
        </w:rPr>
        <w:t>六、《一般公共预算基本支出表》</w:t>
      </w:r>
    </w:p>
    <w:p>
      <w:pPr>
        <w:pStyle w:val="2"/>
        <w:spacing w:before="242" w:line="229" w:lineRule="auto"/>
        <w:ind w:left="1321"/>
      </w:pPr>
      <w:r>
        <w:rPr>
          <w:spacing w:val="7"/>
        </w:rPr>
        <w:t>七、《财政拨款“三公”经费支出表》</w:t>
      </w:r>
    </w:p>
    <w:p>
      <w:pPr>
        <w:pStyle w:val="2"/>
        <w:spacing w:before="239" w:line="226" w:lineRule="auto"/>
        <w:ind w:left="1313"/>
      </w:pPr>
      <w:r>
        <w:rPr>
          <w:spacing w:val="6"/>
        </w:rPr>
        <w:t>八、《政府性基金预算支出表》</w:t>
      </w:r>
    </w:p>
    <w:p>
      <w:pPr>
        <w:pStyle w:val="2"/>
        <w:spacing w:before="244" w:line="624" w:lineRule="exact"/>
        <w:ind w:left="1326"/>
      </w:pPr>
      <w:r>
        <w:rPr>
          <w:spacing w:val="7"/>
          <w:position w:val="22"/>
        </w:rPr>
        <w:t>九、《国有资本经营预算支出表》</w:t>
      </w:r>
    </w:p>
    <w:p>
      <w:pPr>
        <w:pStyle w:val="2"/>
        <w:spacing w:before="2" w:line="227" w:lineRule="auto"/>
        <w:ind w:left="1323"/>
      </w:pPr>
      <w:r>
        <w:rPr>
          <w:spacing w:val="7"/>
        </w:rPr>
        <w:t>十、《部门整体支出绩效目标表》</w:t>
      </w:r>
    </w:p>
    <w:p>
      <w:pPr>
        <w:pStyle w:val="2"/>
        <w:spacing w:before="242" w:line="228" w:lineRule="auto"/>
        <w:ind w:left="1323"/>
      </w:pPr>
      <w:r>
        <w:rPr>
          <w:spacing w:val="6"/>
        </w:rPr>
        <w:t>十一、《项目支出绩效目标表》</w:t>
      </w:r>
    </w:p>
    <w:p>
      <w:pPr>
        <w:pStyle w:val="2"/>
        <w:spacing w:before="240" w:line="228" w:lineRule="auto"/>
        <w:ind w:left="687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spacing w:val="7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36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>
      <w:pPr>
        <w:pStyle w:val="2"/>
        <w:spacing w:before="241" w:line="228" w:lineRule="auto"/>
        <w:ind w:left="1319"/>
      </w:pPr>
      <w:r>
        <w:rPr>
          <w:spacing w:val="2"/>
        </w:rPr>
        <w:t>一、2024</w:t>
      </w:r>
      <w:r>
        <w:rPr>
          <w:spacing w:val="-33"/>
        </w:rPr>
        <w:t xml:space="preserve"> </w:t>
      </w:r>
      <w:r>
        <w:rPr>
          <w:spacing w:val="2"/>
        </w:rPr>
        <w:t>年部门预算收支情况说明</w:t>
      </w:r>
    </w:p>
    <w:p>
      <w:pPr>
        <w:pStyle w:val="2"/>
        <w:spacing w:before="241" w:line="228" w:lineRule="auto"/>
        <w:ind w:left="1324"/>
        <w:rPr>
          <w:spacing w:val="5"/>
        </w:rPr>
      </w:pPr>
      <w:r>
        <w:rPr>
          <w:spacing w:val="5"/>
        </w:rPr>
        <w:t>二、2024</w:t>
      </w:r>
      <w:r>
        <w:rPr>
          <w:spacing w:val="-35"/>
        </w:rPr>
        <w:t xml:space="preserve"> </w:t>
      </w:r>
      <w:r>
        <w:rPr>
          <w:spacing w:val="5"/>
        </w:rPr>
        <w:t>年“三公”经费预算情况</w:t>
      </w:r>
    </w:p>
    <w:p>
      <w:pPr>
        <w:pStyle w:val="2"/>
        <w:spacing w:before="241" w:line="228" w:lineRule="auto"/>
        <w:ind w:left="1324"/>
      </w:pPr>
      <w:r>
        <w:rPr>
          <w:spacing w:val="5"/>
        </w:rPr>
        <w:t>说明</w:t>
      </w:r>
    </w:p>
    <w:p>
      <w:pPr>
        <w:spacing w:line="228" w:lineRule="auto"/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161" w:line="228" w:lineRule="auto"/>
        <w:ind w:left="687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20"/>
        </w:rPr>
        <w:t xml:space="preserve">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113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第一部分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概况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numPr>
          <w:ilvl w:val="0"/>
          <w:numId w:val="1"/>
        </w:numPr>
        <w:spacing w:before="101" w:line="231" w:lineRule="auto"/>
        <w:ind w:left="30"/>
        <w:outlineLvl w:val="0"/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部门主要职责</w:t>
      </w:r>
    </w:p>
    <w:p>
      <w:pPr>
        <w:pStyle w:val="2"/>
        <w:spacing w:before="154" w:line="624" w:lineRule="exact"/>
        <w:ind w:left="681"/>
        <w:rPr>
          <w:rFonts w:hint="eastAsia"/>
          <w:spacing w:val="22"/>
          <w:position w:val="23"/>
          <w:lang w:eastAsia="zh-CN"/>
        </w:rPr>
      </w:pPr>
      <w:r>
        <w:rPr>
          <w:rFonts w:hint="eastAsia"/>
          <w:spacing w:val="22"/>
          <w:position w:val="23"/>
          <w:lang w:eastAsia="zh-CN"/>
        </w:rPr>
        <w:t>1、拟定全区性统计工作规定，做好统计现代化信息化建设规划和区统计调查规划；建立健全区各项经济指标核算体系、统计指标体系、统计标准体系和基本统计报表制度；组织和综合协调各部门各单位、竟成镇、各街道的统计和核算工作；组织实施国家的统计方法制度改革方案；监督检查全区统计法律、法规的实施，查处统计违纪行为，加强统计执法工作。</w:t>
      </w:r>
    </w:p>
    <w:p>
      <w:pPr>
        <w:pStyle w:val="2"/>
        <w:spacing w:before="154" w:line="624" w:lineRule="exact"/>
        <w:ind w:left="681"/>
        <w:rPr>
          <w:rFonts w:hint="eastAsia"/>
          <w:spacing w:val="22"/>
          <w:position w:val="23"/>
          <w:lang w:eastAsia="zh-CN"/>
        </w:rPr>
      </w:pPr>
      <w:r>
        <w:rPr>
          <w:rFonts w:hint="eastAsia"/>
          <w:spacing w:val="22"/>
          <w:position w:val="23"/>
          <w:lang w:eastAsia="zh-CN"/>
        </w:rPr>
        <w:t>2、根据国家、省、市、区政府安排，组织全区各种专项统计调查；审查全区各部门各单位和竟成镇、各街道的统计调查计划、调查方案，组织管理全区统计报表工作。</w:t>
      </w:r>
    </w:p>
    <w:p>
      <w:pPr>
        <w:pStyle w:val="2"/>
        <w:spacing w:before="154" w:line="624" w:lineRule="exact"/>
        <w:ind w:left="681"/>
        <w:rPr>
          <w:rFonts w:hint="eastAsia"/>
          <w:spacing w:val="22"/>
          <w:position w:val="23"/>
          <w:lang w:eastAsia="zh-CN"/>
        </w:rPr>
      </w:pPr>
      <w:r>
        <w:rPr>
          <w:rFonts w:hint="eastAsia"/>
          <w:spacing w:val="22"/>
          <w:position w:val="23"/>
          <w:lang w:eastAsia="zh-CN"/>
        </w:rPr>
        <w:t>3、搜集、整理、提供地区性的统计资料，并对经济、社会发展和科技进一步情况进行统计分析、统计预测和统计监督，向各级政府及社会各界提供咨询建议。统一核定、整理公布、编辑出版地区性的基本统计资料，积极培育和发展信息咨询服务市场。</w:t>
      </w:r>
    </w:p>
    <w:p>
      <w:pPr>
        <w:pStyle w:val="2"/>
        <w:spacing w:before="154" w:line="624" w:lineRule="exact"/>
        <w:ind w:left="681"/>
        <w:rPr>
          <w:rFonts w:hint="eastAsia"/>
          <w:spacing w:val="22"/>
          <w:position w:val="23"/>
          <w:lang w:eastAsia="zh-CN"/>
        </w:rPr>
      </w:pPr>
      <w:r>
        <w:rPr>
          <w:rFonts w:hint="eastAsia"/>
          <w:spacing w:val="22"/>
          <w:position w:val="23"/>
          <w:lang w:eastAsia="zh-CN"/>
        </w:rPr>
        <w:t>4、建立健全和管理地区统计信息自动化系统和统计数据库体系。加强对区直各部门各单位、竟成镇、各街道统计工作的业务领导，组织管理地区宏观经济数据、统计科学研究、统计教育、统计人员持证上岗及培训，会同有关部门组织统计专业技术职务评聘及资格考试工作。</w:t>
      </w:r>
    </w:p>
    <w:p>
      <w:pPr>
        <w:pStyle w:val="2"/>
        <w:spacing w:before="154" w:line="624" w:lineRule="exact"/>
        <w:ind w:left="681"/>
        <w:rPr>
          <w:rFonts w:hint="eastAsia"/>
          <w:spacing w:val="22"/>
          <w:position w:val="23"/>
          <w:lang w:eastAsia="zh-CN"/>
        </w:rPr>
      </w:pPr>
      <w:r>
        <w:rPr>
          <w:rFonts w:hint="eastAsia"/>
          <w:spacing w:val="22"/>
          <w:position w:val="23"/>
          <w:lang w:eastAsia="zh-CN"/>
        </w:rPr>
        <w:t>5、承办市委、市政府、区委、区政府布置的各项主要经济指标统计考核和竟成镇、各街道综合实力统计调查任务。</w:t>
      </w:r>
    </w:p>
    <w:p>
      <w:pPr>
        <w:spacing w:before="277" w:line="227" w:lineRule="auto"/>
        <w:ind w:firstLine="632" w:firstLineChars="200"/>
        <w:outlineLvl w:val="0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2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二、机构设置及人员情况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eastAsia" w:ascii="仿宋" w:hAnsi="仿宋" w:eastAsia="仿宋" w:cs="仿宋"/>
          <w:snapToGrid w:val="0"/>
          <w:color w:val="000000"/>
          <w:spacing w:val="22"/>
          <w:kern w:val="0"/>
          <w:position w:val="23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22"/>
          <w:kern w:val="0"/>
          <w:position w:val="23"/>
          <w:sz w:val="31"/>
          <w:szCs w:val="31"/>
          <w:lang w:val="en-US" w:eastAsia="zh-CN" w:bidi="ar-SA"/>
        </w:rPr>
        <w:t>2024 年景德镇市珠山区统计局共有预算单位 1个，包括即部门本级。编制数为10人，其中：行政编制4人、参照公务员管理事业编制0人、全额补助事业编制6人。实有人数10人，其中：在职10人，包括行政4人、参照公务员管理0人、全额补助6人；退休4人。</w:t>
      </w:r>
    </w:p>
    <w:p>
      <w:pPr>
        <w:pStyle w:val="2"/>
        <w:spacing w:before="1" w:line="221" w:lineRule="auto"/>
        <w:ind w:left="48"/>
        <w:rPr>
          <w:sz w:val="32"/>
          <w:szCs w:val="32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pStyle w:val="2"/>
        <w:spacing w:before="104" w:line="222" w:lineRule="auto"/>
        <w:ind w:left="1064"/>
        <w:rPr>
          <w:sz w:val="32"/>
          <w:szCs w:val="32"/>
        </w:rPr>
      </w:pP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第二部分</w:t>
      </w:r>
      <w:r>
        <w:rPr>
          <w:spacing w:val="-4"/>
          <w:sz w:val="32"/>
          <w:szCs w:val="32"/>
        </w:rPr>
        <w:t xml:space="preserve">  </w:t>
      </w:r>
      <w:r>
        <w:rPr>
          <w:rFonts w:hint="eastAsia"/>
          <w:spacing w:val="-4"/>
          <w:sz w:val="32"/>
          <w:szCs w:val="32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spacing w:val="-59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>
      <w:pPr>
        <w:spacing w:line="222" w:lineRule="auto"/>
        <w:rPr>
          <w:sz w:val="32"/>
          <w:szCs w:val="32"/>
        </w:rPr>
        <w:sectPr>
          <w:pgSz w:w="11905" w:h="16840"/>
          <w:pgMar w:top="1431" w:right="1774" w:bottom="0" w:left="1785" w:header="0" w:footer="0" w:gutter="0"/>
          <w:cols w:space="720" w:num="1"/>
        </w:sectPr>
      </w:pPr>
    </w:p>
    <w:p>
      <w:pPr>
        <w:spacing w:before="183" w:line="221" w:lineRule="auto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  <w:t xml:space="preserve">                    </w:t>
      </w:r>
      <w:r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  <w:object>
          <v:shape id="_x0000_i1025" o:spt="75" type="#_x0000_t75" style="height:363pt;width:553.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8" ShapeID="_x0000_i1025" DrawAspect="Content" ObjectID="_1468075725" r:id="rId6">
            <o:LockedField>false</o:LockedField>
          </o:OLEObject>
        </w:object>
      </w: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  <w:object>
          <v:shape id="_x0000_i1026" o:spt="75" type="#_x0000_t75" style="height:489.3pt;width:741.1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Excel.Sheet.8" ShapeID="_x0000_i1026" DrawAspect="Content" ObjectID="_1468075726" r:id="rId8">
            <o:LockedField>false</o:LockedField>
          </o:OLEObject>
        </w:object>
      </w:r>
    </w:p>
    <w:p>
      <w:pPr>
        <w:spacing w:before="183" w:line="221" w:lineRule="auto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83" w:line="221" w:lineRule="auto"/>
        <w:ind w:left="68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  <w14:textOutline w14:w="1219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部门收入总表</w:t>
      </w:r>
    </w:p>
    <w:p>
      <w:pPr>
        <w:spacing w:line="104" w:lineRule="exact"/>
      </w:pPr>
    </w:p>
    <w:p>
      <w:pPr>
        <w:spacing w:line="104" w:lineRule="exact"/>
        <w:sectPr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>
      <w:pPr>
        <w:spacing w:before="28" w:line="190" w:lineRule="auto"/>
        <w:ind w:left="37"/>
        <w:rPr>
          <w:rFonts w:hint="eastAsia" w:ascii="宋体" w:hAnsi="宋体" w:eastAsia="宋体" w:cs="宋体"/>
          <w:sz w:val="14"/>
          <w:szCs w:val="14"/>
          <w:lang w:eastAsia="zh-CN"/>
        </w:rPr>
      </w:pPr>
      <w:r>
        <w:rPr>
          <w:rFonts w:ascii="宋体" w:hAnsi="宋体" w:eastAsia="宋体" w:cs="宋体"/>
          <w:spacing w:val="2"/>
          <w:sz w:val="14"/>
          <w:szCs w:val="14"/>
        </w:rPr>
        <w:t>填报单位:[117]</w:t>
      </w:r>
      <w:r>
        <w:rPr>
          <w:rFonts w:hint="eastAsia" w:ascii="宋体" w:hAnsi="宋体" w:eastAsia="宋体" w:cs="宋体"/>
          <w:spacing w:val="2"/>
          <w:sz w:val="14"/>
          <w:szCs w:val="14"/>
          <w:lang w:eastAsia="zh-CN"/>
        </w:rPr>
        <w:t>景德镇市珠山区统计局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7" w:line="190" w:lineRule="auto"/>
        <w:rPr>
          <w:rFonts w:ascii="宋体" w:hAnsi="宋体" w:eastAsia="宋体" w:cs="宋体"/>
          <w:sz w:val="14"/>
          <w:szCs w:val="14"/>
        </w:rPr>
      </w:pPr>
      <w:r>
        <w:rPr>
          <w:rFonts w:ascii="宋体" w:hAnsi="宋体" w:eastAsia="宋体" w:cs="宋体"/>
          <w:spacing w:val="2"/>
          <w:sz w:val="14"/>
          <w:szCs w:val="14"/>
        </w:rPr>
        <w:t>单位：万元</w:t>
      </w:r>
    </w:p>
    <w:p>
      <w:pPr>
        <w:spacing w:line="190" w:lineRule="auto"/>
        <w:rPr>
          <w:rFonts w:ascii="宋体" w:hAnsi="宋体" w:eastAsia="宋体" w:cs="宋体"/>
          <w:sz w:val="14"/>
          <w:szCs w:val="14"/>
        </w:rPr>
        <w:sectPr>
          <w:type w:val="continuous"/>
          <w:pgSz w:w="16839" w:h="11907"/>
          <w:pgMar w:top="1012" w:right="1008" w:bottom="0" w:left="996" w:header="0" w:footer="0" w:gutter="0"/>
          <w:cols w:equalWidth="0" w:num="2">
            <w:col w:w="14004" w:space="100"/>
            <w:col w:w="731"/>
          </w:cols>
        </w:sectPr>
      </w:pPr>
    </w:p>
    <w:p>
      <w:pPr>
        <w:spacing w:line="78" w:lineRule="exact"/>
      </w:pPr>
    </w:p>
    <w:tbl>
      <w:tblPr>
        <w:tblStyle w:val="6"/>
        <w:tblW w:w="1482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2336"/>
        <w:gridCol w:w="973"/>
        <w:gridCol w:w="1096"/>
        <w:gridCol w:w="974"/>
        <w:gridCol w:w="973"/>
        <w:gridCol w:w="974"/>
        <w:gridCol w:w="974"/>
        <w:gridCol w:w="974"/>
        <w:gridCol w:w="973"/>
        <w:gridCol w:w="806"/>
        <w:gridCol w:w="806"/>
        <w:gridCol w:w="607"/>
        <w:gridCol w:w="614"/>
        <w:gridCol w:w="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4" w:lineRule="auto"/>
              <w:ind w:left="4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功能科目编码</w:t>
            </w:r>
          </w:p>
        </w:tc>
        <w:tc>
          <w:tcPr>
            <w:tcW w:w="2336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4" w:lineRule="auto"/>
              <w:ind w:left="74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功能科目名称</w:t>
            </w:r>
          </w:p>
        </w:tc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6" w:lineRule="auto"/>
              <w:ind w:left="3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合计</w:t>
            </w:r>
          </w:p>
        </w:tc>
        <w:tc>
          <w:tcPr>
            <w:tcW w:w="1096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5" w:lineRule="auto"/>
              <w:ind w:left="26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上年结转</w:t>
            </w:r>
          </w:p>
        </w:tc>
        <w:tc>
          <w:tcPr>
            <w:tcW w:w="3895" w:type="dxa"/>
            <w:gridSpan w:val="4"/>
            <w:vAlign w:val="top"/>
          </w:tcPr>
          <w:p>
            <w:pPr>
              <w:pStyle w:val="7"/>
              <w:spacing w:before="34" w:line="205" w:lineRule="auto"/>
              <w:ind w:left="166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财政拨款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8" w:lineRule="auto"/>
              <w:ind w:left="357" w:right="40" w:hanging="291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教育收费资金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收入</w:t>
            </w:r>
          </w:p>
        </w:tc>
        <w:tc>
          <w:tcPr>
            <w:tcW w:w="973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5" w:lineRule="auto"/>
              <w:ind w:left="20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事业收入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8" w:lineRule="auto"/>
              <w:ind w:left="202" w:right="27" w:hanging="148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事业单位经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营收入</w:t>
            </w:r>
          </w:p>
        </w:tc>
        <w:tc>
          <w:tcPr>
            <w:tcW w:w="806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8" w:lineRule="auto"/>
              <w:ind w:left="197" w:right="26" w:hanging="13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附属单位上</w:t>
            </w:r>
            <w:r>
              <w:rPr>
                <w:spacing w:val="2"/>
                <w:sz w:val="14"/>
                <w:szCs w:val="14"/>
              </w:rPr>
              <w:t xml:space="preserve"> 缴收入</w:t>
            </w:r>
          </w:p>
        </w:tc>
        <w:tc>
          <w:tcPr>
            <w:tcW w:w="607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8" w:lineRule="auto"/>
              <w:ind w:left="98" w:right="71" w:firstLine="1"/>
              <w:rPr>
                <w:sz w:val="14"/>
                <w:szCs w:val="14"/>
              </w:rPr>
            </w:pPr>
            <w:r>
              <w:rPr>
                <w:spacing w:val="1"/>
                <w:sz w:val="14"/>
                <w:szCs w:val="14"/>
              </w:rPr>
              <w:t xml:space="preserve">上级补 </w:t>
            </w:r>
            <w:r>
              <w:rPr>
                <w:spacing w:val="2"/>
                <w:sz w:val="14"/>
                <w:szCs w:val="14"/>
              </w:rPr>
              <w:t>助收入</w:t>
            </w:r>
          </w:p>
        </w:tc>
        <w:tc>
          <w:tcPr>
            <w:tcW w:w="614" w:type="dxa"/>
            <w:vMerge w:val="restart"/>
            <w:tcBorders>
              <w:bottom w:val="nil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6" w:line="225" w:lineRule="auto"/>
              <w:ind w:right="1"/>
              <w:jc w:val="right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其他收入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45" w:line="225" w:lineRule="auto"/>
              <w:ind w:left="5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使用非财政</w:t>
            </w:r>
          </w:p>
          <w:p>
            <w:pPr>
              <w:pStyle w:val="7"/>
              <w:spacing w:before="4" w:line="225" w:lineRule="auto"/>
              <w:ind w:left="129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拨款结余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9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273" w:line="226" w:lineRule="auto"/>
              <w:ind w:left="35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小计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86" w:line="228" w:lineRule="auto"/>
              <w:ind w:left="206" w:right="42" w:hanging="142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一般公共预算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拨款收入</w:t>
            </w:r>
          </w:p>
        </w:tc>
        <w:tc>
          <w:tcPr>
            <w:tcW w:w="974" w:type="dxa"/>
            <w:vAlign w:val="top"/>
          </w:tcPr>
          <w:p>
            <w:pPr>
              <w:pStyle w:val="7"/>
              <w:spacing w:before="186" w:line="224" w:lineRule="auto"/>
              <w:ind w:left="62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政府性基金预</w:t>
            </w:r>
          </w:p>
          <w:p>
            <w:pPr>
              <w:pStyle w:val="7"/>
              <w:spacing w:before="4" w:line="225" w:lineRule="auto"/>
              <w:ind w:left="136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算拨款收入</w:t>
            </w:r>
          </w:p>
        </w:tc>
        <w:tc>
          <w:tcPr>
            <w:tcW w:w="974" w:type="dxa"/>
            <w:vAlign w:val="top"/>
          </w:tcPr>
          <w:p>
            <w:pPr>
              <w:pStyle w:val="7"/>
              <w:spacing w:before="186" w:line="228" w:lineRule="auto"/>
              <w:ind w:left="209" w:right="41" w:hanging="13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国有资本经营</w:t>
            </w:r>
            <w:r>
              <w:rPr>
                <w:spacing w:val="3"/>
                <w:sz w:val="14"/>
                <w:szCs w:val="14"/>
              </w:rPr>
              <w:t xml:space="preserve"> </w:t>
            </w:r>
            <w:r>
              <w:rPr>
                <w:spacing w:val="2"/>
                <w:sz w:val="14"/>
                <w:szCs w:val="14"/>
              </w:rPr>
              <w:t>预算收入</w:t>
            </w:r>
          </w:p>
        </w:tc>
        <w:tc>
          <w:tcPr>
            <w:tcW w:w="9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55" w:line="229" w:lineRule="auto"/>
              <w:ind w:left="39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**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55" w:line="229" w:lineRule="auto"/>
              <w:ind w:left="109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**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77" w:line="187" w:lineRule="auto"/>
              <w:ind w:left="46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096" w:type="dxa"/>
            <w:vAlign w:val="top"/>
          </w:tcPr>
          <w:p>
            <w:pPr>
              <w:pStyle w:val="7"/>
              <w:spacing w:before="77" w:line="187" w:lineRule="auto"/>
              <w:ind w:left="52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74" w:type="dxa"/>
            <w:vAlign w:val="top"/>
          </w:tcPr>
          <w:p>
            <w:pPr>
              <w:pStyle w:val="7"/>
              <w:spacing w:before="77" w:line="187" w:lineRule="auto"/>
              <w:ind w:left="4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77" w:line="187" w:lineRule="auto"/>
              <w:ind w:left="45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74" w:type="dxa"/>
            <w:vAlign w:val="top"/>
          </w:tcPr>
          <w:p>
            <w:pPr>
              <w:pStyle w:val="7"/>
              <w:spacing w:before="79" w:line="185" w:lineRule="auto"/>
              <w:ind w:left="46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74" w:type="dxa"/>
            <w:vAlign w:val="top"/>
          </w:tcPr>
          <w:p>
            <w:pPr>
              <w:pStyle w:val="7"/>
              <w:spacing w:before="77" w:line="187" w:lineRule="auto"/>
              <w:ind w:left="4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74" w:type="dxa"/>
            <w:vAlign w:val="top"/>
          </w:tcPr>
          <w:p>
            <w:pPr>
              <w:pStyle w:val="7"/>
              <w:spacing w:before="79" w:line="185" w:lineRule="auto"/>
              <w:ind w:left="46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77" w:line="187" w:lineRule="auto"/>
              <w:ind w:left="46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806" w:type="dxa"/>
            <w:vAlign w:val="top"/>
          </w:tcPr>
          <w:p>
            <w:pPr>
              <w:pStyle w:val="7"/>
              <w:spacing w:before="77" w:line="187" w:lineRule="auto"/>
              <w:ind w:left="37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806" w:type="dxa"/>
            <w:vAlign w:val="top"/>
          </w:tcPr>
          <w:p>
            <w:pPr>
              <w:pStyle w:val="7"/>
              <w:spacing w:before="77" w:line="187" w:lineRule="auto"/>
              <w:ind w:left="354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607" w:type="dxa"/>
            <w:vAlign w:val="top"/>
          </w:tcPr>
          <w:p>
            <w:pPr>
              <w:pStyle w:val="7"/>
              <w:spacing w:before="77" w:line="187" w:lineRule="auto"/>
              <w:ind w:left="25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614" w:type="dxa"/>
            <w:vAlign w:val="top"/>
          </w:tcPr>
          <w:p>
            <w:pPr>
              <w:pStyle w:val="7"/>
              <w:spacing w:before="77" w:line="187" w:lineRule="auto"/>
              <w:ind w:left="257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12</w:t>
            </w:r>
          </w:p>
        </w:tc>
        <w:tc>
          <w:tcPr>
            <w:tcW w:w="812" w:type="dxa"/>
            <w:vAlign w:val="top"/>
          </w:tcPr>
          <w:p>
            <w:pPr>
              <w:pStyle w:val="7"/>
              <w:spacing w:before="77" w:line="187" w:lineRule="auto"/>
              <w:ind w:left="355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1" w:line="187" w:lineRule="auto"/>
              <w:ind w:left="31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2101102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89" w:line="225" w:lineRule="auto"/>
              <w:ind w:left="308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事业单位医疗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0" w:line="188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132.53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0" w:line="188" w:lineRule="auto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132.53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0" w:line="188" w:lineRule="auto"/>
              <w:ind w:right="5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132.53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3" w:line="187" w:lineRule="auto"/>
              <w:ind w:left="2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211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90" w:line="225" w:lineRule="auto"/>
              <w:ind w:left="2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节能环保支出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2" w:line="188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2" w:line="188" w:lineRule="auto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2" w:line="188" w:lineRule="auto"/>
              <w:ind w:right="5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4" w:line="187" w:lineRule="auto"/>
              <w:ind w:left="181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10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91" w:line="225" w:lineRule="auto"/>
              <w:ind w:left="170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能源节约利用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3" w:line="188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3" w:line="188" w:lineRule="auto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3" w:line="188" w:lineRule="auto"/>
              <w:ind w:right="5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5" w:line="187" w:lineRule="auto"/>
              <w:ind w:left="31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2111001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93" w:line="225" w:lineRule="auto"/>
              <w:ind w:left="314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能源节约利用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4" w:line="188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4" w:line="188" w:lineRule="auto"/>
              <w:ind w:right="7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4" w:line="188" w:lineRule="auto"/>
              <w:ind w:right="5"/>
              <w:jc w:val="right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125.00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6" w:line="187" w:lineRule="auto"/>
              <w:ind w:left="28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221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93" w:line="225" w:lineRule="auto"/>
              <w:ind w:left="20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住房保障支出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6" w:line="18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6" w:line="18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6" w:line="187" w:lineRule="auto"/>
              <w:ind w:right="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7" w:line="187" w:lineRule="auto"/>
              <w:ind w:left="17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02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94" w:line="225" w:lineRule="auto"/>
              <w:ind w:left="164"/>
              <w:rPr>
                <w:sz w:val="14"/>
                <w:szCs w:val="14"/>
              </w:rPr>
            </w:pPr>
            <w:r>
              <w:rPr>
                <w:spacing w:val="3"/>
                <w:sz w:val="14"/>
                <w:szCs w:val="14"/>
              </w:rPr>
              <w:t>住房改革支出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7" w:line="18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7" w:line="18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7" w:line="187" w:lineRule="auto"/>
              <w:ind w:right="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932" w:type="dxa"/>
            <w:vAlign w:val="top"/>
          </w:tcPr>
          <w:p>
            <w:pPr>
              <w:pStyle w:val="7"/>
              <w:spacing w:before="119" w:line="187" w:lineRule="auto"/>
              <w:ind w:left="31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2210203</w:t>
            </w:r>
          </w:p>
        </w:tc>
        <w:tc>
          <w:tcPr>
            <w:tcW w:w="2336" w:type="dxa"/>
            <w:vAlign w:val="top"/>
          </w:tcPr>
          <w:p>
            <w:pPr>
              <w:pStyle w:val="7"/>
              <w:spacing w:before="96" w:line="225" w:lineRule="auto"/>
              <w:ind w:left="307"/>
              <w:rPr>
                <w:sz w:val="14"/>
                <w:szCs w:val="14"/>
              </w:rPr>
            </w:pPr>
            <w:r>
              <w:rPr>
                <w:spacing w:val="2"/>
                <w:sz w:val="14"/>
                <w:szCs w:val="14"/>
              </w:rPr>
              <w:t>购房补贴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9" w:line="18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1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pStyle w:val="7"/>
              <w:spacing w:before="119" w:line="187" w:lineRule="auto"/>
              <w:ind w:right="8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973" w:type="dxa"/>
            <w:vAlign w:val="top"/>
          </w:tcPr>
          <w:p>
            <w:pPr>
              <w:pStyle w:val="7"/>
              <w:spacing w:before="119" w:line="187" w:lineRule="auto"/>
              <w:ind w:right="6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64.80</w:t>
            </w: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</w:pPr>
    </w:p>
    <w:p>
      <w:pPr>
        <w:spacing w:line="14" w:lineRule="auto"/>
        <w:rPr>
          <w:rFonts w:ascii="Arial" w:hAnsi="Arial" w:eastAsia="Arial" w:cs="Arial"/>
          <w:sz w:val="24"/>
          <w:szCs w:val="24"/>
        </w:rPr>
      </w:pPr>
    </w:p>
    <w:p>
      <w:pPr>
        <w:spacing w:line="14" w:lineRule="auto"/>
        <w:rPr>
          <w:rFonts w:ascii="Arial" w:hAnsi="Arial" w:eastAsia="Arial" w:cs="Arial"/>
          <w:sz w:val="24"/>
          <w:szCs w:val="24"/>
        </w:rPr>
      </w:pPr>
    </w:p>
    <w:p>
      <w:pPr>
        <w:spacing w:line="14" w:lineRule="auto"/>
        <w:rPr>
          <w:rFonts w:ascii="Arial" w:hAnsi="Arial" w:eastAsia="Arial" w:cs="Arial"/>
          <w:sz w:val="24"/>
          <w:szCs w:val="24"/>
        </w:rPr>
      </w:pPr>
    </w:p>
    <w:p>
      <w:pPr>
        <w:spacing w:line="14" w:lineRule="auto"/>
        <w:rPr>
          <w:rFonts w:ascii="Arial" w:hAnsi="Arial" w:eastAsia="Arial" w:cs="Arial"/>
          <w:sz w:val="24"/>
          <w:szCs w:val="24"/>
        </w:rPr>
      </w:pPr>
    </w:p>
    <w:p>
      <w:pPr>
        <w:spacing w:line="14" w:lineRule="auto"/>
        <w:rPr>
          <w:rFonts w:ascii="Arial" w:hAnsi="Arial" w:eastAsia="Arial" w:cs="Arial"/>
          <w:sz w:val="24"/>
          <w:szCs w:val="24"/>
        </w:rPr>
      </w:pPr>
    </w:p>
    <w:p>
      <w:pPr>
        <w:spacing w:line="14" w:lineRule="auto"/>
        <w:rPr>
          <w:rFonts w:ascii="Arial" w:hAnsi="Arial" w:eastAsia="Arial" w:cs="Arial"/>
          <w:sz w:val="24"/>
          <w:szCs w:val="24"/>
        </w:rPr>
        <w:sectPr>
          <w:type w:val="continuous"/>
          <w:pgSz w:w="16839" w:h="11907"/>
          <w:pgMar w:top="1012" w:right="1008" w:bottom="0" w:left="996" w:header="0" w:footer="0" w:gutter="0"/>
          <w:cols w:equalWidth="0" w:num="1">
            <w:col w:w="14835"/>
          </w:cols>
        </w:sectPr>
      </w:pPr>
    </w:p>
    <w:p>
      <w:pPr>
        <w:spacing w:before="294" w:line="222" w:lineRule="auto"/>
        <w:jc w:val="left"/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  <w:object>
          <v:shape id="_x0000_i1027" o:spt="75" type="#_x0000_t75" style="height:493.5pt;width:58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Excel.Sheet.8" ShapeID="_x0000_i1027" DrawAspect="Content" ObjectID="_1468075727" r:id="rId10">
            <o:LockedField>false</o:LockedField>
          </o:OLEObject>
        </w:object>
      </w:r>
    </w:p>
    <w:p>
      <w:pPr>
        <w:spacing w:before="294" w:line="222" w:lineRule="auto"/>
        <w:ind w:left="6260"/>
        <w:rPr>
          <w:rFonts w:ascii="宋体" w:hAnsi="宋体" w:eastAsia="宋体" w:cs="宋体"/>
          <w:spacing w:val="3"/>
          <w:sz w:val="39"/>
          <w:szCs w:val="39"/>
          <w14:textOutline w14:w="2514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object>
          <v:shape id="_x0000_i1028" o:spt="75" type="#_x0000_t75" style="height:196.35pt;width:742.1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Excel.Sheet.8" ShapeID="_x0000_i1028" DrawAspect="Content" ObjectID="_1468075728" r:id="rId12">
            <o:LockedField>false</o:LockedField>
          </o:OLEObject>
        </w:object>
      </w: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>
      <w:pPr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</w:rPr>
        <w:object>
          <v:shape id="_x0000_i1029" o:spt="75" type="#_x0000_t75" style="height:535.65pt;width:742.4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Excel.Sheet.8" ShapeID="_x0000_i1029" DrawAspect="Content" ObjectID="_1468075729" r:id="rId14">
            <o:LockedField>false</o:LockedField>
          </o:OLEObject>
        </w:object>
      </w:r>
    </w:p>
    <w:p>
      <w:pPr>
        <w:rPr>
          <w:rFonts w:ascii="Arial" w:hAnsi="Arial" w:eastAsia="Arial" w:cs="Arial"/>
          <w:sz w:val="21"/>
          <w:szCs w:val="21"/>
        </w:rPr>
        <w:sectPr>
          <w:pgSz w:w="16839" w:h="11907"/>
          <w:pgMar w:top="1012" w:right="998" w:bottom="0" w:left="983" w:header="0" w:footer="0" w:gutter="0"/>
          <w:cols w:space="720" w:num="1"/>
        </w:sectPr>
      </w:pPr>
    </w:p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801" w:bottom="0" w:left="784" w:header="0" w:footer="0" w:gutter="0"/>
          <w:cols w:equalWidth="0" w:num="1">
            <w:col w:w="15252"/>
          </w:cols>
        </w:sectPr>
      </w:pPr>
    </w:p>
    <w:p>
      <w:pPr>
        <w:spacing w:before="242" w:line="223" w:lineRule="auto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242" w:line="223" w:lineRule="auto"/>
        <w:ind w:left="465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6"/>
          <w:sz w:val="32"/>
          <w:szCs w:val="32"/>
          <w14:textOutline w14:w="2070" w14:cap="flat" w14:cmpd="sng">
            <w14:solidFill>
              <w14:srgbClr w14:val="000000"/>
            </w14:solidFill>
            <w14:prstDash w14:val="solid"/>
            <w14:miter w14:val="0"/>
          </w14:textOutline>
        </w:rPr>
        <w:t>财政拨款“三公”经费支出表</w:t>
      </w:r>
    </w:p>
    <w:p>
      <w:pPr>
        <w:spacing w:line="223" w:lineRule="auto"/>
        <w:rPr>
          <w:rFonts w:ascii="宋体" w:hAnsi="宋体" w:eastAsia="宋体" w:cs="宋体"/>
          <w:sz w:val="32"/>
          <w:szCs w:val="32"/>
        </w:rPr>
        <w:sectPr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>
      <w:pPr>
        <w:spacing w:before="35" w:line="192" w:lineRule="auto"/>
        <w:ind w:left="44"/>
        <w:rPr>
          <w:rFonts w:hint="eastAsia" w:ascii="宋体" w:hAnsi="宋体" w:eastAsia="宋体" w:cs="宋体"/>
          <w:sz w:val="17"/>
          <w:szCs w:val="17"/>
          <w:lang w:eastAsia="zh-CN"/>
        </w:rPr>
      </w:pPr>
      <w:r>
        <w:rPr>
          <w:rFonts w:ascii="宋体" w:hAnsi="宋体" w:eastAsia="宋体" w:cs="宋体"/>
          <w:spacing w:val="5"/>
          <w:sz w:val="17"/>
          <w:szCs w:val="17"/>
        </w:rPr>
        <w:t>填报单位:[</w:t>
      </w:r>
      <w:r>
        <w:rPr>
          <w:rFonts w:hint="eastAsia" w:ascii="宋体" w:hAnsi="宋体" w:eastAsia="宋体" w:cs="宋体"/>
          <w:spacing w:val="5"/>
          <w:sz w:val="17"/>
          <w:szCs w:val="17"/>
          <w:lang w:val="en-US" w:eastAsia="zh-CN"/>
        </w:rPr>
        <w:t>121</w:t>
      </w:r>
      <w:r>
        <w:rPr>
          <w:rFonts w:ascii="宋体" w:hAnsi="宋体" w:eastAsia="宋体" w:cs="宋体"/>
          <w:spacing w:val="5"/>
          <w:sz w:val="17"/>
          <w:szCs w:val="17"/>
        </w:rPr>
        <w:t>]</w:t>
      </w:r>
      <w:r>
        <w:rPr>
          <w:rFonts w:hint="eastAsia" w:ascii="宋体" w:hAnsi="宋体" w:eastAsia="宋体" w:cs="宋体"/>
          <w:spacing w:val="5"/>
          <w:sz w:val="17"/>
          <w:szCs w:val="17"/>
          <w:lang w:eastAsia="zh-CN"/>
        </w:rPr>
        <w:t>景德镇市珠山区统计局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3" w:line="192" w:lineRule="auto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pacing w:val="4"/>
          <w:sz w:val="17"/>
          <w:szCs w:val="17"/>
        </w:rPr>
        <w:t>单位：万元</w:t>
      </w:r>
    </w:p>
    <w:p>
      <w:pPr>
        <w:spacing w:line="192" w:lineRule="auto"/>
        <w:rPr>
          <w:rFonts w:ascii="宋体" w:hAnsi="宋体" w:eastAsia="宋体" w:cs="宋体"/>
          <w:sz w:val="17"/>
          <w:szCs w:val="17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2">
            <w:col w:w="12529" w:space="100"/>
            <w:col w:w="904"/>
          </w:cols>
        </w:sectPr>
      </w:pPr>
    </w:p>
    <w:p>
      <w:pPr>
        <w:spacing w:line="25" w:lineRule="exact"/>
      </w:pPr>
    </w:p>
    <w:tbl>
      <w:tblPr>
        <w:tblStyle w:val="6"/>
        <w:tblW w:w="1351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2"/>
        <w:gridCol w:w="1796"/>
        <w:gridCol w:w="1513"/>
        <w:gridCol w:w="1239"/>
        <w:gridCol w:w="1261"/>
        <w:gridCol w:w="1527"/>
        <w:gridCol w:w="1165"/>
        <w:gridCol w:w="1165"/>
        <w:gridCol w:w="1201"/>
        <w:gridCol w:w="11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7" w:lineRule="auto"/>
              <w:ind w:left="3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部门编码</w:t>
            </w:r>
          </w:p>
        </w:tc>
        <w:tc>
          <w:tcPr>
            <w:tcW w:w="1796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7" w:lineRule="auto"/>
              <w:ind w:left="54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部门名称</w:t>
            </w:r>
          </w:p>
        </w:tc>
        <w:tc>
          <w:tcPr>
            <w:tcW w:w="1513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5" w:line="228" w:lineRule="auto"/>
              <w:ind w:left="581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合计</w:t>
            </w:r>
          </w:p>
        </w:tc>
        <w:tc>
          <w:tcPr>
            <w:tcW w:w="4027" w:type="dxa"/>
            <w:gridSpan w:val="3"/>
            <w:vAlign w:val="top"/>
          </w:tcPr>
          <w:p>
            <w:pPr>
              <w:pStyle w:val="7"/>
              <w:spacing w:before="144" w:line="228" w:lineRule="auto"/>
              <w:ind w:left="1412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因公出国(境)费</w:t>
            </w:r>
          </w:p>
        </w:tc>
        <w:tc>
          <w:tcPr>
            <w:tcW w:w="1165" w:type="dxa"/>
            <w:vMerge w:val="restart"/>
            <w:tcBorders>
              <w:bottom w:val="nil"/>
            </w:tcBorders>
            <w:vAlign w:val="top"/>
          </w:tcPr>
          <w:p>
            <w:pPr>
              <w:spacing w:line="42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6" w:line="227" w:lineRule="auto"/>
              <w:ind w:left="15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公务接待费</w:t>
            </w:r>
          </w:p>
        </w:tc>
        <w:tc>
          <w:tcPr>
            <w:tcW w:w="3553" w:type="dxa"/>
            <w:gridSpan w:val="3"/>
            <w:vAlign w:val="top"/>
          </w:tcPr>
          <w:p>
            <w:pPr>
              <w:pStyle w:val="7"/>
              <w:spacing w:before="145" w:line="227" w:lineRule="auto"/>
              <w:ind w:left="72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公务用车购置及运行维护费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9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>
            <w:pPr>
              <w:pStyle w:val="7"/>
              <w:spacing w:before="248" w:line="228" w:lineRule="auto"/>
              <w:ind w:left="45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61" w:type="dxa"/>
            <w:vAlign w:val="top"/>
          </w:tcPr>
          <w:p>
            <w:pPr>
              <w:pStyle w:val="7"/>
              <w:spacing w:before="139" w:line="231" w:lineRule="auto"/>
              <w:ind w:left="287" w:right="85" w:hanging="182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一般公务出国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（境）费</w:t>
            </w:r>
          </w:p>
        </w:tc>
        <w:tc>
          <w:tcPr>
            <w:tcW w:w="1527" w:type="dxa"/>
            <w:vAlign w:val="top"/>
          </w:tcPr>
          <w:p>
            <w:pPr>
              <w:pStyle w:val="7"/>
              <w:spacing w:before="31" w:line="226" w:lineRule="auto"/>
              <w:ind w:left="6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高等院校和科研院</w:t>
            </w:r>
          </w:p>
          <w:p>
            <w:pPr>
              <w:pStyle w:val="7"/>
              <w:spacing w:before="7" w:line="227" w:lineRule="auto"/>
              <w:ind w:left="60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所学术交流合作出</w:t>
            </w:r>
          </w:p>
          <w:p>
            <w:pPr>
              <w:pStyle w:val="7"/>
              <w:spacing w:before="6" w:line="191" w:lineRule="auto"/>
              <w:ind w:left="344"/>
              <w:rPr>
                <w:sz w:val="17"/>
                <w:szCs w:val="17"/>
              </w:rPr>
            </w:pPr>
            <w:r>
              <w:rPr>
                <w:spacing w:val="-14"/>
                <w:sz w:val="17"/>
                <w:szCs w:val="17"/>
              </w:rPr>
              <w:t>国（境）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4"/>
                <w:sz w:val="17"/>
                <w:szCs w:val="17"/>
              </w:rPr>
              <w:t>费</w:t>
            </w:r>
          </w:p>
        </w:tc>
        <w:tc>
          <w:tcPr>
            <w:tcW w:w="116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>
            <w:pPr>
              <w:pStyle w:val="7"/>
              <w:spacing w:before="248" w:line="228" w:lineRule="auto"/>
              <w:ind w:left="420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小计</w:t>
            </w:r>
          </w:p>
        </w:tc>
        <w:tc>
          <w:tcPr>
            <w:tcW w:w="1201" w:type="dxa"/>
            <w:vAlign w:val="top"/>
          </w:tcPr>
          <w:p>
            <w:pPr>
              <w:pStyle w:val="7"/>
              <w:spacing w:before="139" w:line="231" w:lineRule="auto"/>
              <w:ind w:left="348" w:right="48" w:hanging="263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公务用车运行</w:t>
            </w:r>
            <w:r>
              <w:rPr>
                <w:spacing w:val="1"/>
                <w:sz w:val="17"/>
                <w:szCs w:val="17"/>
              </w:rPr>
              <w:t xml:space="preserve"> </w:t>
            </w:r>
            <w:r>
              <w:rPr>
                <w:spacing w:val="4"/>
                <w:sz w:val="17"/>
                <w:szCs w:val="17"/>
              </w:rPr>
              <w:t>维护费</w:t>
            </w:r>
          </w:p>
        </w:tc>
        <w:tc>
          <w:tcPr>
            <w:tcW w:w="1187" w:type="dxa"/>
            <w:vAlign w:val="top"/>
          </w:tcPr>
          <w:p>
            <w:pPr>
              <w:pStyle w:val="7"/>
              <w:spacing w:before="247" w:line="227" w:lineRule="auto"/>
              <w:ind w:left="76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公务用车购置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462" w:type="dxa"/>
            <w:vAlign w:val="top"/>
          </w:tcPr>
          <w:p>
            <w:pPr>
              <w:pStyle w:val="7"/>
              <w:spacing w:before="75" w:line="232" w:lineRule="auto"/>
              <w:ind w:left="64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796" w:type="dxa"/>
            <w:vAlign w:val="top"/>
          </w:tcPr>
          <w:p>
            <w:pPr>
              <w:pStyle w:val="7"/>
              <w:spacing w:before="75" w:line="232" w:lineRule="auto"/>
              <w:ind w:left="80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**</w:t>
            </w:r>
          </w:p>
        </w:tc>
        <w:tc>
          <w:tcPr>
            <w:tcW w:w="1513" w:type="dxa"/>
            <w:vAlign w:val="top"/>
          </w:tcPr>
          <w:p>
            <w:pPr>
              <w:pStyle w:val="7"/>
              <w:spacing w:before="102" w:line="189" w:lineRule="auto"/>
              <w:ind w:left="72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239" w:type="dxa"/>
            <w:vAlign w:val="top"/>
          </w:tcPr>
          <w:p>
            <w:pPr>
              <w:pStyle w:val="7"/>
              <w:spacing w:before="103" w:line="188" w:lineRule="auto"/>
              <w:ind w:left="58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261" w:type="dxa"/>
            <w:vAlign w:val="top"/>
          </w:tcPr>
          <w:p>
            <w:pPr>
              <w:pStyle w:val="7"/>
              <w:spacing w:before="103" w:line="188" w:lineRule="auto"/>
              <w:ind w:left="59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27" w:type="dxa"/>
            <w:vAlign w:val="top"/>
          </w:tcPr>
          <w:p>
            <w:pPr>
              <w:pStyle w:val="7"/>
              <w:spacing w:before="103" w:line="188" w:lineRule="auto"/>
              <w:ind w:left="72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165" w:type="dxa"/>
            <w:vAlign w:val="top"/>
          </w:tcPr>
          <w:p>
            <w:pPr>
              <w:pStyle w:val="7"/>
              <w:spacing w:before="104" w:line="187" w:lineRule="auto"/>
              <w:ind w:left="55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165" w:type="dxa"/>
            <w:vAlign w:val="top"/>
          </w:tcPr>
          <w:p>
            <w:pPr>
              <w:pStyle w:val="7"/>
              <w:spacing w:before="103" w:line="188" w:lineRule="auto"/>
              <w:ind w:left="55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201" w:type="dxa"/>
            <w:vAlign w:val="top"/>
          </w:tcPr>
          <w:p>
            <w:pPr>
              <w:pStyle w:val="7"/>
              <w:spacing w:before="104" w:line="187" w:lineRule="auto"/>
              <w:ind w:left="57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187" w:type="dxa"/>
            <w:vAlign w:val="top"/>
          </w:tcPr>
          <w:p>
            <w:pPr>
              <w:pStyle w:val="7"/>
              <w:spacing w:before="103" w:line="188" w:lineRule="auto"/>
              <w:ind w:left="56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1462" w:type="dxa"/>
            <w:vAlign w:val="top"/>
          </w:tcPr>
          <w:p>
            <w:pPr>
              <w:pStyle w:val="7"/>
              <w:spacing w:before="173" w:line="189" w:lineRule="auto"/>
              <w:ind w:left="40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117</w:t>
            </w:r>
          </w:p>
        </w:tc>
        <w:tc>
          <w:tcPr>
            <w:tcW w:w="1796" w:type="dxa"/>
            <w:vAlign w:val="top"/>
          </w:tcPr>
          <w:p>
            <w:pPr>
              <w:pStyle w:val="7"/>
              <w:spacing w:before="145" w:line="227" w:lineRule="auto"/>
              <w:ind w:left="23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pacing w:val="6"/>
                <w:sz w:val="17"/>
                <w:szCs w:val="17"/>
                <w:lang w:eastAsia="zh-CN"/>
              </w:rPr>
              <w:t>景德镇市珠山区统计局</w:t>
            </w:r>
          </w:p>
        </w:tc>
        <w:tc>
          <w:tcPr>
            <w:tcW w:w="1513" w:type="dxa"/>
            <w:vAlign w:val="top"/>
          </w:tcPr>
          <w:p>
            <w:pPr>
              <w:pStyle w:val="7"/>
              <w:spacing w:before="173" w:line="189" w:lineRule="auto"/>
              <w:ind w:right="12"/>
              <w:jc w:val="right"/>
              <w:rPr>
                <w:sz w:val="17"/>
                <w:szCs w:val="17"/>
              </w:rPr>
            </w:pPr>
            <w:r>
              <w:rPr>
                <w:rFonts w:hint="eastAsia"/>
                <w:sz w:val="17"/>
                <w:szCs w:val="17"/>
                <w:lang w:val="en-US" w:eastAsia="zh-CN"/>
              </w:rPr>
              <w:t>1.98</w:t>
            </w:r>
          </w:p>
        </w:tc>
        <w:tc>
          <w:tcPr>
            <w:tcW w:w="1239" w:type="dxa"/>
            <w:vAlign w:val="top"/>
          </w:tcPr>
          <w:p>
            <w:pPr>
              <w:pStyle w:val="7"/>
              <w:spacing w:before="174" w:line="188" w:lineRule="auto"/>
              <w:ind w:right="10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1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1261" w:type="dxa"/>
            <w:vAlign w:val="top"/>
          </w:tcPr>
          <w:p>
            <w:pPr>
              <w:pStyle w:val="7"/>
              <w:spacing w:before="174" w:line="188" w:lineRule="auto"/>
              <w:ind w:right="8"/>
              <w:jc w:val="right"/>
              <w:rPr>
                <w:sz w:val="17"/>
                <w:szCs w:val="17"/>
              </w:rPr>
            </w:pPr>
          </w:p>
        </w:tc>
        <w:tc>
          <w:tcPr>
            <w:tcW w:w="152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>
            <w:pPr>
              <w:pStyle w:val="7"/>
              <w:spacing w:before="173" w:line="189" w:lineRule="auto"/>
              <w:ind w:right="5"/>
              <w:jc w:val="right"/>
              <w:rPr>
                <w:rFonts w:hint="default" w:eastAsia="宋体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-1"/>
                <w:sz w:val="17"/>
                <w:szCs w:val="17"/>
                <w:lang w:val="en-US" w:eastAsia="zh-CN"/>
              </w:rPr>
              <w:t>1.98</w:t>
            </w:r>
          </w:p>
        </w:tc>
        <w:tc>
          <w:tcPr>
            <w:tcW w:w="1165" w:type="dxa"/>
            <w:vAlign w:val="top"/>
          </w:tcPr>
          <w:p>
            <w:pPr>
              <w:pStyle w:val="7"/>
              <w:spacing w:before="174" w:line="188" w:lineRule="auto"/>
              <w:ind w:right="4"/>
              <w:jc w:val="righ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pacing w:val="1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1201" w:type="dxa"/>
            <w:vAlign w:val="top"/>
          </w:tcPr>
          <w:p>
            <w:pPr>
              <w:pStyle w:val="7"/>
              <w:spacing w:before="174" w:line="188" w:lineRule="auto"/>
              <w:ind w:right="2"/>
              <w:jc w:val="right"/>
              <w:rPr>
                <w:rFonts w:hint="eastAsia" w:eastAsia="宋体"/>
                <w:sz w:val="17"/>
                <w:szCs w:val="17"/>
                <w:lang w:eastAsia="zh-CN"/>
              </w:rPr>
            </w:pPr>
            <w:r>
              <w:rPr>
                <w:rFonts w:hint="eastAsia"/>
                <w:spacing w:val="1"/>
                <w:sz w:val="17"/>
                <w:szCs w:val="17"/>
                <w:lang w:val="en-US" w:eastAsia="zh-CN"/>
              </w:rPr>
              <w:t>0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1012" w:right="1660" w:bottom="0" w:left="1646" w:header="0" w:footer="0" w:gutter="0"/>
          <w:cols w:equalWidth="0" w:num="1">
            <w:col w:w="13532"/>
          </w:cols>
        </w:sectPr>
      </w:pPr>
    </w:p>
    <w:p>
      <w:pPr>
        <w:spacing w:line="359" w:lineRule="auto"/>
        <w:rPr>
          <w:rFonts w:ascii="Arial"/>
          <w:sz w:val="21"/>
        </w:rPr>
      </w:pPr>
    </w:p>
    <w:p>
      <w:pPr>
        <w:spacing w:before="127" w:line="221" w:lineRule="auto"/>
        <w:ind w:left="5685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6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政府性基金预算支出表</w:t>
      </w:r>
    </w:p>
    <w:p>
      <w:pPr>
        <w:spacing w:before="63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</w:t>
      </w:r>
      <w:r>
        <w:rPr>
          <w:rFonts w:hint="eastAsia" w:ascii="宋体" w:hAnsi="宋体" w:eastAsia="宋体" w:cs="宋体"/>
          <w:spacing w:val="4"/>
          <w:sz w:val="21"/>
          <w:szCs w:val="2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121</w: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7" w:line="224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注：若为空表，则为该部门（单位）无政府性基金支出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68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08" w:right="772" w:bottom="0" w:left="758" w:header="0" w:footer="0" w:gutter="0"/>
          <w:cols w:equalWidth="0" w:num="2">
            <w:col w:w="10001" w:space="100"/>
            <w:col w:w="5207"/>
          </w:cols>
        </w:sectPr>
      </w:pPr>
    </w:p>
    <w:p>
      <w:pPr>
        <w:spacing w:line="58" w:lineRule="exact"/>
      </w:pPr>
    </w:p>
    <w:tbl>
      <w:tblPr>
        <w:tblStyle w:val="6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pStyle w:val="7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>
            <w:pPr>
              <w:pStyle w:val="7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>
            <w:pPr>
              <w:pStyle w:val="7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>
            <w:pPr>
              <w:pStyle w:val="7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>
            <w:pPr>
              <w:pStyle w:val="7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>
            <w:pPr>
              <w:pStyle w:val="7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08" w:right="772" w:bottom="0" w:left="758" w:header="0" w:footer="0" w:gutter="0"/>
          <w:cols w:equalWidth="0" w:num="1">
            <w:col w:w="15308"/>
          </w:cols>
        </w:sect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68" w:line="190" w:lineRule="auto"/>
        <w:ind w:left="5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填报单位:[</w:t>
      </w:r>
      <w:r>
        <w:rPr>
          <w:rFonts w:hint="eastAsia" w:ascii="宋体" w:hAnsi="宋体" w:eastAsia="宋体" w:cs="宋体"/>
          <w:spacing w:val="4"/>
          <w:sz w:val="21"/>
          <w:szCs w:val="21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121</w:t>
      </w:r>
      <w:r>
        <w:rPr>
          <w:rFonts w:ascii="宋体" w:hAnsi="宋体" w:eastAsia="宋体" w:cs="宋体"/>
          <w:spacing w:val="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]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1" w:line="409" w:lineRule="exact"/>
        <w:ind w:right="30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5"/>
          <w:position w:val="14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注：若为空表，则为该部门（单位）无国有资本经营预算支出</w:t>
      </w:r>
    </w:p>
    <w:p>
      <w:pPr>
        <w:spacing w:line="221" w:lineRule="auto"/>
        <w:rPr>
          <w:rFonts w:ascii="宋体" w:hAnsi="宋体" w:eastAsia="宋体" w:cs="宋体"/>
          <w:sz w:val="39"/>
          <w:szCs w:val="39"/>
        </w:rPr>
      </w:pPr>
      <w:r>
        <w:rPr>
          <w:rFonts w:ascii="宋体" w:hAnsi="宋体" w:eastAsia="宋体" w:cs="宋体"/>
          <w:spacing w:val="2"/>
          <w:sz w:val="39"/>
          <w:szCs w:val="39"/>
          <w14:textOutline w14:w="2517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国有资本经营预算支出表</w:t>
      </w:r>
    </w:p>
    <w:p>
      <w:pPr>
        <w:spacing w:before="63" w:line="190" w:lineRule="auto"/>
        <w:ind w:right="29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3"/>
          <w:sz w:val="21"/>
          <w:szCs w:val="2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单位：万元</w:t>
      </w:r>
    </w:p>
    <w:p>
      <w:pPr>
        <w:spacing w:line="190" w:lineRule="auto"/>
        <w:rPr>
          <w:rFonts w:ascii="宋体" w:hAnsi="宋体" w:eastAsia="宋体" w:cs="宋体"/>
          <w:sz w:val="21"/>
          <w:szCs w:val="21"/>
        </w:rPr>
        <w:sectPr>
          <w:pgSz w:w="16839" w:h="11907"/>
          <w:pgMar w:top="944" w:right="772" w:bottom="0" w:left="758" w:header="0" w:footer="0" w:gutter="0"/>
          <w:cols w:equalWidth="0" w:num="2">
            <w:col w:w="5429" w:space="100"/>
            <w:col w:w="9779"/>
          </w:cols>
        </w:sectPr>
      </w:pPr>
    </w:p>
    <w:p>
      <w:pPr>
        <w:spacing w:line="58" w:lineRule="exact"/>
      </w:pPr>
    </w:p>
    <w:tbl>
      <w:tblPr>
        <w:tblStyle w:val="6"/>
        <w:tblW w:w="15287" w:type="dxa"/>
        <w:tblInd w:w="1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4880"/>
        <w:gridCol w:w="3176"/>
        <w:gridCol w:w="2778"/>
        <w:gridCol w:w="27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6547" w:type="dxa"/>
            <w:gridSpan w:val="2"/>
            <w:tcBorders>
              <w:top w:val="single" w:color="000000" w:sz="8" w:space="0"/>
              <w:left w:val="single" w:color="000000" w:sz="8" w:space="0"/>
            </w:tcBorders>
            <w:vAlign w:val="top"/>
          </w:tcPr>
          <w:p>
            <w:pPr>
              <w:pStyle w:val="7"/>
              <w:spacing w:before="120" w:line="224" w:lineRule="auto"/>
              <w:ind w:left="2413"/>
            </w:pPr>
            <w:r>
              <w:rPr>
                <w:spacing w:val="4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支出功能分类科目</w:t>
            </w:r>
          </w:p>
        </w:tc>
        <w:tc>
          <w:tcPr>
            <w:tcW w:w="8740" w:type="dxa"/>
            <w:gridSpan w:val="3"/>
            <w:tcBorders>
              <w:top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20" w:line="225" w:lineRule="auto"/>
              <w:ind w:left="3725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2024年预算数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667" w:type="dxa"/>
            <w:tcBorders>
              <w:left w:val="single" w:color="000000" w:sz="8" w:space="0"/>
            </w:tcBorders>
            <w:vAlign w:val="top"/>
          </w:tcPr>
          <w:p>
            <w:pPr>
              <w:pStyle w:val="7"/>
              <w:spacing w:before="136" w:line="224" w:lineRule="auto"/>
              <w:ind w:left="403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科目编码</w:t>
            </w:r>
          </w:p>
        </w:tc>
        <w:tc>
          <w:tcPr>
            <w:tcW w:w="4880" w:type="dxa"/>
            <w:vAlign w:val="top"/>
          </w:tcPr>
          <w:p>
            <w:pPr>
              <w:pStyle w:val="7"/>
              <w:spacing w:before="136" w:line="224" w:lineRule="auto"/>
              <w:ind w:left="1950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科目名称</w:t>
            </w:r>
          </w:p>
        </w:tc>
        <w:tc>
          <w:tcPr>
            <w:tcW w:w="3176" w:type="dxa"/>
            <w:vAlign w:val="top"/>
          </w:tcPr>
          <w:p>
            <w:pPr>
              <w:pStyle w:val="7"/>
              <w:spacing w:before="136" w:line="226" w:lineRule="auto"/>
              <w:ind w:left="1373"/>
            </w:pPr>
            <w:r>
              <w:rPr>
                <w:spacing w:val="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合计</w:t>
            </w:r>
          </w:p>
        </w:tc>
        <w:tc>
          <w:tcPr>
            <w:tcW w:w="2778" w:type="dxa"/>
            <w:vAlign w:val="top"/>
          </w:tcPr>
          <w:p>
            <w:pPr>
              <w:pStyle w:val="7"/>
              <w:spacing w:before="136" w:line="224" w:lineRule="auto"/>
              <w:ind w:left="961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基本支出</w:t>
            </w:r>
          </w:p>
        </w:tc>
        <w:tc>
          <w:tcPr>
            <w:tcW w:w="2786" w:type="dxa"/>
            <w:tcBorders>
              <w:right w:val="single" w:color="000000" w:sz="8" w:space="0"/>
            </w:tcBorders>
            <w:vAlign w:val="top"/>
          </w:tcPr>
          <w:p>
            <w:pPr>
              <w:pStyle w:val="7"/>
              <w:spacing w:before="137" w:line="225" w:lineRule="auto"/>
              <w:ind w:left="969"/>
            </w:pPr>
            <w:r>
              <w:rPr>
                <w:spacing w:val="3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项目支出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667" w:type="dxa"/>
            <w:tcBorders>
              <w:left w:val="single" w:color="000000" w:sz="8" w:space="0"/>
              <w:bottom w:val="single" w:color="000000" w:sz="8" w:space="0"/>
            </w:tcBorders>
            <w:vAlign w:val="top"/>
          </w:tcPr>
          <w:p>
            <w:pPr>
              <w:pStyle w:val="7"/>
              <w:spacing w:before="77" w:line="228" w:lineRule="auto"/>
              <w:ind w:left="726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4880" w:type="dxa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77" w:line="228" w:lineRule="auto"/>
              <w:ind w:left="2329"/>
            </w:pPr>
            <w:r>
              <w:rPr>
                <w:spacing w:val="-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**</w:t>
            </w:r>
          </w:p>
        </w:tc>
        <w:tc>
          <w:tcPr>
            <w:tcW w:w="3176" w:type="dxa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11" w:line="187" w:lineRule="auto"/>
              <w:ind w:left="1550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1</w:t>
            </w:r>
          </w:p>
        </w:tc>
        <w:tc>
          <w:tcPr>
            <w:tcW w:w="2778" w:type="dxa"/>
            <w:tcBorders>
              <w:bottom w:val="single" w:color="000000" w:sz="8" w:space="0"/>
            </w:tcBorders>
            <w:vAlign w:val="top"/>
          </w:tcPr>
          <w:p>
            <w:pPr>
              <w:pStyle w:val="7"/>
              <w:spacing w:before="111" w:line="187" w:lineRule="auto"/>
              <w:ind w:left="1342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2</w:t>
            </w:r>
          </w:p>
        </w:tc>
        <w:tc>
          <w:tcPr>
            <w:tcW w:w="2786" w:type="dxa"/>
            <w:tcBorders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Style w:val="7"/>
              <w:spacing w:before="111" w:line="187" w:lineRule="auto"/>
              <w:ind w:left="1348"/>
            </w:pPr>
            <w:r>
              <w:rPr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3</w: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6839" w:h="11907"/>
          <w:pgMar w:top="944" w:right="772" w:bottom="0" w:left="758" w:header="0" w:footer="0" w:gutter="0"/>
          <w:cols w:equalWidth="0" w:num="1">
            <w:col w:w="15308"/>
          </w:cols>
        </w:sectPr>
      </w:pPr>
    </w:p>
    <w:p>
      <w:pPr>
        <w:spacing w:before="178" w:line="220" w:lineRule="auto"/>
        <w:jc w:val="both"/>
        <w:rPr>
          <w:rFonts w:ascii="宋体" w:hAnsi="宋体" w:eastAsia="宋体" w:cs="宋体"/>
          <w:spacing w:val="-2"/>
          <w:sz w:val="36"/>
          <w:szCs w:val="36"/>
        </w:rPr>
      </w:pPr>
    </w:p>
    <w:p>
      <w:pPr>
        <w:spacing w:before="178" w:line="220" w:lineRule="auto"/>
        <w:rPr>
          <w:rFonts w:ascii="宋体" w:hAnsi="宋体" w:eastAsia="宋体" w:cs="宋体"/>
          <w:spacing w:val="-2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spacing w:val="-2"/>
          <w:sz w:val="36"/>
          <w:szCs w:val="36"/>
        </w:rPr>
        <w:object>
          <v:shape id="_x0000_i1030" o:spt="75" type="#_x0000_t75" style="height:557.8pt;width:468.3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Excel.Sheet.12" ShapeID="_x0000_i1030" DrawAspect="Content" ObjectID="_1468075730" r:id="rId16">
            <o:LockedField>false</o:LockedField>
          </o:OLEObject>
        </w:object>
      </w:r>
    </w:p>
    <w:p>
      <w:pPr>
        <w:spacing w:before="178" w:line="220" w:lineRule="auto"/>
        <w:ind w:left="3093"/>
        <w:rPr>
          <w:rFonts w:ascii="宋体" w:hAnsi="宋体" w:eastAsia="宋体" w:cs="宋体"/>
          <w:spacing w:val="-2"/>
          <w:sz w:val="36"/>
          <w:szCs w:val="36"/>
        </w:rPr>
      </w:pPr>
    </w:p>
    <w:p>
      <w:pPr>
        <w:spacing w:before="178" w:line="220" w:lineRule="auto"/>
        <w:ind w:left="3093"/>
        <w:rPr>
          <w:rFonts w:ascii="宋体" w:hAnsi="宋体" w:eastAsia="宋体" w:cs="宋体"/>
          <w:spacing w:val="-2"/>
          <w:sz w:val="36"/>
          <w:szCs w:val="36"/>
        </w:rPr>
      </w:pPr>
    </w:p>
    <w:p>
      <w:pPr>
        <w:spacing w:before="178" w:line="220" w:lineRule="auto"/>
        <w:ind w:left="3093"/>
        <w:rPr>
          <w:rFonts w:ascii="宋体" w:hAnsi="宋体" w:eastAsia="宋体" w:cs="宋体"/>
          <w:spacing w:val="-2"/>
          <w:sz w:val="36"/>
          <w:szCs w:val="36"/>
        </w:rPr>
      </w:pPr>
    </w:p>
    <w:p>
      <w:pPr>
        <w:spacing w:before="178" w:line="220" w:lineRule="auto"/>
        <w:ind w:left="3093"/>
        <w:rPr>
          <w:rFonts w:ascii="宋体" w:hAnsi="宋体" w:eastAsia="宋体" w:cs="宋体"/>
          <w:spacing w:val="-2"/>
          <w:sz w:val="36"/>
          <w:szCs w:val="36"/>
        </w:rPr>
      </w:pPr>
    </w:p>
    <w:p>
      <w:pPr>
        <w:spacing w:before="178" w:line="220" w:lineRule="auto"/>
        <w:ind w:left="3093"/>
        <w:rPr>
          <w:rFonts w:ascii="宋体" w:hAnsi="宋体" w:eastAsia="宋体" w:cs="宋体"/>
          <w:spacing w:val="-2"/>
          <w:sz w:val="36"/>
          <w:szCs w:val="36"/>
        </w:rPr>
      </w:pPr>
    </w:p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5" w:h="16840"/>
          <w:pgMar w:top="1431" w:right="1410" w:bottom="0" w:left="1124" w:header="0" w:footer="0" w:gutter="0"/>
          <w:cols w:space="720" w:num="1"/>
        </w:sectPr>
      </w:pPr>
      <w:r>
        <w:rPr>
          <w:rFonts w:ascii="Arial" w:hAnsi="Arial" w:eastAsia="Arial" w:cs="Arial"/>
          <w:sz w:val="21"/>
          <w:szCs w:val="21"/>
        </w:rPr>
        <w:object>
          <v:shape id="_x0000_i1031" o:spt="75" type="#_x0000_t75" style="height:739.65pt;width:468.1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Excel.Sheet.12" ShapeID="_x0000_i1031" DrawAspect="Content" ObjectID="_1468075731" r:id="rId18">
            <o:LockedField>false</o:LockedField>
          </o:OLEObject>
        </w:object>
      </w:r>
    </w:p>
    <w:p>
      <w:pPr>
        <w:spacing w:line="358" w:lineRule="auto"/>
        <w:rPr>
          <w:rFonts w:ascii="Arial"/>
          <w:sz w:val="21"/>
        </w:rPr>
      </w:pPr>
    </w:p>
    <w:p>
      <w:pPr>
        <w:spacing w:line="358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585"/>
      </w:pP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第三部分</w:t>
      </w:r>
      <w:r>
        <w:rPr>
          <w:spacing w:val="7"/>
        </w:rPr>
        <w:t xml:space="preserve">  </w:t>
      </w:r>
      <w:r>
        <w:rPr>
          <w:rFonts w:hint="eastAsia"/>
          <w:spacing w:val="7"/>
          <w:lang w:eastAsia="zh-CN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景德镇市珠山区统计局</w:t>
      </w:r>
      <w:r>
        <w:rPr>
          <w:spacing w:val="-62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spacing w:val="-49"/>
        </w:rPr>
        <w:t xml:space="preserve"> </w:t>
      </w:r>
      <w:r>
        <w:rPr>
          <w:spacing w:val="7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年部门预算情况说明</w:t>
      </w:r>
    </w:p>
    <w:p>
      <w:pPr>
        <w:spacing w:line="335" w:lineRule="auto"/>
        <w:rPr>
          <w:rFonts w:ascii="Arial"/>
          <w:sz w:val="21"/>
        </w:rPr>
      </w:pPr>
    </w:p>
    <w:p>
      <w:pPr>
        <w:spacing w:line="336" w:lineRule="auto"/>
        <w:rPr>
          <w:rFonts w:ascii="Arial"/>
          <w:sz w:val="21"/>
        </w:rPr>
      </w:pPr>
    </w:p>
    <w:p>
      <w:pPr>
        <w:spacing w:before="101" w:line="544" w:lineRule="exact"/>
        <w:ind w:left="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一、2024</w:t>
      </w:r>
      <w:r>
        <w:rPr>
          <w:rFonts w:ascii="楷体" w:hAnsi="楷体" w:eastAsia="楷体" w:cs="楷体"/>
          <w:spacing w:val="-54"/>
          <w:position w:val="1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position w:val="16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年部门预算收支情况说明</w:t>
      </w:r>
    </w:p>
    <w:p>
      <w:pPr>
        <w:pStyle w:val="2"/>
        <w:spacing w:before="1" w:line="227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(一)收入预算情况</w:t>
      </w:r>
    </w:p>
    <w:p>
      <w:pPr>
        <w:pStyle w:val="2"/>
        <w:spacing w:before="237" w:line="372" w:lineRule="auto"/>
        <w:ind w:left="34" w:right="12" w:firstLine="633"/>
        <w:jc w:val="both"/>
        <w:rPr>
          <w:spacing w:val="3"/>
        </w:rPr>
      </w:pPr>
      <w:r>
        <w:rPr>
          <w:spacing w:val="11"/>
        </w:rPr>
        <w:t>2024</w:t>
      </w:r>
      <w:r>
        <w:rPr>
          <w:spacing w:val="-19"/>
        </w:rPr>
        <w:t xml:space="preserve"> </w:t>
      </w:r>
      <w:r>
        <w:rPr>
          <w:spacing w:val="11"/>
        </w:rPr>
        <w:t>年</w:t>
      </w:r>
      <w:r>
        <w:rPr>
          <w:rFonts w:hint="eastAsia"/>
          <w:spacing w:val="11"/>
          <w:lang w:eastAsia="zh-CN"/>
        </w:rPr>
        <w:t>景德镇市珠山区统计局</w:t>
      </w:r>
      <w:r>
        <w:rPr>
          <w:spacing w:val="11"/>
        </w:rPr>
        <w:t>收入预算总额为</w:t>
      </w:r>
      <w:r>
        <w:rPr>
          <w:spacing w:val="-48"/>
        </w:rPr>
        <w:t xml:space="preserve"> </w:t>
      </w:r>
      <w:r>
        <w:rPr>
          <w:rFonts w:hint="eastAsia"/>
          <w:spacing w:val="11"/>
          <w:lang w:eastAsia="zh-CN"/>
        </w:rPr>
        <w:t>341.66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较上年预算安排增加</w:t>
      </w:r>
      <w:r>
        <w:rPr>
          <w:spacing w:val="-72"/>
        </w:rPr>
        <w:t xml:space="preserve"> </w:t>
      </w:r>
      <w:r>
        <w:rPr>
          <w:rFonts w:hint="eastAsia"/>
          <w:spacing w:val="5"/>
          <w:lang w:val="en-US" w:eastAsia="zh-CN"/>
        </w:rPr>
        <w:t>174.89</w:t>
      </w:r>
      <w:r>
        <w:rPr>
          <w:spacing w:val="5"/>
        </w:rPr>
        <w:t>万元;财政</w:t>
      </w:r>
      <w:r>
        <w:rPr>
          <w:spacing w:val="4"/>
        </w:rPr>
        <w:t>拨款收入</w:t>
      </w:r>
      <w:r>
        <w:rPr>
          <w:rFonts w:hint="eastAsia"/>
          <w:spacing w:val="11"/>
          <w:lang w:eastAsia="zh-CN"/>
        </w:rPr>
        <w:t>341.66</w:t>
      </w:r>
      <w:r>
        <w:rPr>
          <w:spacing w:val="10"/>
        </w:rPr>
        <w:t>万元,较上年预算安排增加</w:t>
      </w:r>
      <w:r>
        <w:rPr>
          <w:spacing w:val="-31"/>
        </w:rPr>
        <w:t xml:space="preserve"> </w:t>
      </w:r>
      <w:r>
        <w:rPr>
          <w:rFonts w:hint="eastAsia"/>
          <w:spacing w:val="5"/>
          <w:lang w:val="en-US" w:eastAsia="zh-CN"/>
        </w:rPr>
        <w:t>174.89</w:t>
      </w:r>
      <w:r>
        <w:rPr>
          <w:spacing w:val="-48"/>
        </w:rPr>
        <w:t xml:space="preserve"> </w:t>
      </w:r>
      <w:r>
        <w:rPr>
          <w:spacing w:val="10"/>
        </w:rPr>
        <w:t>万元;教育收费资金收</w:t>
      </w:r>
      <w:r>
        <w:t xml:space="preserve"> </w:t>
      </w:r>
      <w:r>
        <w:rPr>
          <w:spacing w:val="8"/>
        </w:rPr>
        <w:t>入</w:t>
      </w:r>
      <w:r>
        <w:rPr>
          <w:rFonts w:hint="eastAsia"/>
          <w:spacing w:val="-45"/>
          <w:lang w:val="en-US" w:eastAsia="zh-CN"/>
        </w:rPr>
        <w:t>0</w:t>
      </w:r>
      <w:r>
        <w:rPr>
          <w:spacing w:val="-47"/>
        </w:rPr>
        <w:t xml:space="preserve"> </w:t>
      </w:r>
      <w:r>
        <w:rPr>
          <w:spacing w:val="8"/>
        </w:rPr>
        <w:t>万元,较上年预算安排增加</w:t>
      </w:r>
      <w:r>
        <w:rPr>
          <w:spacing w:val="-58"/>
        </w:rPr>
        <w:t xml:space="preserve"> </w:t>
      </w:r>
      <w:r>
        <w:rPr>
          <w:rFonts w:hint="eastAsia"/>
          <w:spacing w:val="8"/>
          <w:lang w:val="en-US" w:eastAsia="zh-CN"/>
        </w:rPr>
        <w:t>0</w:t>
      </w:r>
      <w:r>
        <w:rPr>
          <w:spacing w:val="8"/>
        </w:rPr>
        <w:t>万元;事业</w:t>
      </w:r>
      <w:r>
        <w:t xml:space="preserve"> </w:t>
      </w:r>
      <w:r>
        <w:rPr>
          <w:spacing w:val="8"/>
        </w:rPr>
        <w:t>单位经营收入</w:t>
      </w:r>
      <w:r>
        <w:rPr>
          <w:rFonts w:hint="eastAsia"/>
          <w:spacing w:val="-16"/>
          <w:lang w:val="en-US" w:eastAsia="zh-CN"/>
        </w:rPr>
        <w:t>0</w:t>
      </w:r>
      <w:r>
        <w:rPr>
          <w:spacing w:val="8"/>
        </w:rPr>
        <w:t>万元;其他收入</w:t>
      </w:r>
      <w:r>
        <w:rPr>
          <w:rFonts w:hint="eastAsia"/>
          <w:spacing w:val="-53"/>
          <w:lang w:val="en-US" w:eastAsia="zh-CN"/>
        </w:rPr>
        <w:t>0</w:t>
      </w:r>
      <w:r>
        <w:rPr>
          <w:spacing w:val="8"/>
        </w:rPr>
        <w:t>万元,较</w:t>
      </w:r>
      <w:r>
        <w:t xml:space="preserve"> </w:t>
      </w:r>
      <w:r>
        <w:rPr>
          <w:spacing w:val="-3"/>
        </w:rPr>
        <w:t>上年预算安排增加</w:t>
      </w:r>
      <w:r>
        <w:rPr>
          <w:rFonts w:hint="eastAsia"/>
          <w:spacing w:val="-41"/>
          <w:lang w:val="en-US" w:eastAsia="zh-CN"/>
        </w:rPr>
        <w:t>0</w:t>
      </w:r>
      <w:r>
        <w:rPr>
          <w:spacing w:val="-3"/>
        </w:rPr>
        <w:t>万元;上年结转（结余）</w:t>
      </w:r>
      <w:r>
        <w:rPr>
          <w:rFonts w:hint="eastAsia"/>
          <w:spacing w:val="-3"/>
          <w:lang w:val="en-US" w:eastAsia="zh-CN"/>
        </w:rPr>
        <w:t>0</w:t>
      </w:r>
      <w:r>
        <w:rPr>
          <w:spacing w:val="-3"/>
        </w:rPr>
        <w:t>万元,</w:t>
      </w:r>
      <w:r>
        <w:rPr>
          <w:spacing w:val="3"/>
        </w:rPr>
        <w:t>较上年预算安排减少</w:t>
      </w:r>
      <w:r>
        <w:rPr>
          <w:spacing w:val="-57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3"/>
        </w:rPr>
        <w:t>万元。</w:t>
      </w:r>
    </w:p>
    <w:p>
      <w:pPr>
        <w:pStyle w:val="2"/>
        <w:spacing w:before="237" w:line="372" w:lineRule="auto"/>
        <w:ind w:left="34" w:right="12" w:firstLine="633"/>
        <w:jc w:val="both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(二)支出预算情况</w:t>
      </w:r>
    </w:p>
    <w:p>
      <w:pPr>
        <w:ind w:firstLine="624" w:firstLineChars="200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2024 年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景德镇市珠山区统计局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支出预算总额为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341.66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万元,较上年预算安排增加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174.89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万元。</w:t>
      </w:r>
    </w:p>
    <w:p>
      <w:pPr>
        <w:pStyle w:val="2"/>
        <w:spacing w:before="160" w:line="232" w:lineRule="auto"/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</w:pP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按支出项目类别划分：基本支出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140.36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万元,较上年 预算安排增加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39.39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万元;其中：工资福利支出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125.69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7.99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万元,对个人和家庭的补助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6.69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万元,资本性支出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万元。项目支出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201.3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万元,较上年预算安排增加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135.5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万元;其中： 工资福利支出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万元,商品和服务支出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万元,对个人和家庭的补助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 xml:space="preserve"> 万元,资本性支出 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0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万元,其他支</w:t>
      </w:r>
      <w:r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t>出0</w:t>
      </w:r>
      <w:r>
        <w:rPr>
          <w:rFonts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en-US" w:bidi="ar-SA"/>
        </w:rPr>
        <w:t>万元。</w:t>
      </w:r>
    </w:p>
    <w:p>
      <w:pPr>
        <w:ind w:firstLine="624" w:firstLineChars="200"/>
        <w:rPr>
          <w:rFonts w:hint="eastAsia" w:ascii="仿宋" w:hAnsi="仿宋" w:eastAsia="仿宋" w:cs="仿宋"/>
          <w:snapToGrid w:val="0"/>
          <w:color w:val="000000"/>
          <w:spacing w:val="1"/>
          <w:kern w:val="0"/>
          <w:sz w:val="31"/>
          <w:szCs w:val="31"/>
          <w:lang w:val="en-US" w:eastAsia="zh-CN" w:bidi="ar-SA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before="230" w:line="372" w:lineRule="auto"/>
        <w:ind w:left="34" w:right="12" w:firstLine="639"/>
        <w:jc w:val="both"/>
        <w:rPr>
          <w:rFonts w:hint="eastAsia" w:eastAsia="仿宋"/>
          <w:lang w:val="en-US" w:eastAsia="zh-CN"/>
        </w:rPr>
      </w:pPr>
      <w:r>
        <w:rPr>
          <w:spacing w:val="1"/>
        </w:rPr>
        <w:t>按支出功能科目划分：</w:t>
      </w:r>
      <w:r>
        <w:rPr>
          <w:spacing w:val="119"/>
        </w:rPr>
        <w:t xml:space="preserve"> </w:t>
      </w:r>
      <w:r>
        <w:rPr>
          <w:spacing w:val="1"/>
        </w:rPr>
        <w:t>一般公共服务支出</w:t>
      </w:r>
      <w:r>
        <w:rPr>
          <w:spacing w:val="-51"/>
        </w:rPr>
        <w:t xml:space="preserve"> </w:t>
      </w:r>
      <w:r>
        <w:rPr>
          <w:rFonts w:hint="eastAsia"/>
          <w:spacing w:val="1"/>
          <w:lang w:val="en-US" w:eastAsia="zh-CN"/>
        </w:rPr>
        <w:t>309.14</w:t>
      </w:r>
      <w:r>
        <w:rPr>
          <w:spacing w:val="1"/>
        </w:rPr>
        <w:t>万</w:t>
      </w:r>
      <w:r>
        <w:t xml:space="preserve"> </w:t>
      </w:r>
      <w:r>
        <w:rPr>
          <w:spacing w:val="4"/>
        </w:rPr>
        <w:t>元,较</w:t>
      </w:r>
      <w:r>
        <w:rPr>
          <w:rFonts w:hint="eastAsia"/>
          <w:spacing w:val="4"/>
          <w:lang w:eastAsia="zh-CN"/>
        </w:rPr>
        <w:t>，</w:t>
      </w:r>
      <w:r>
        <w:rPr>
          <w:spacing w:val="4"/>
        </w:rPr>
        <w:t>上年预算安排增加</w:t>
      </w:r>
      <w:r>
        <w:rPr>
          <w:rFonts w:hint="eastAsia"/>
          <w:spacing w:val="-23"/>
          <w:lang w:val="en-US" w:eastAsia="zh-CN"/>
        </w:rPr>
        <w:t>166.19</w:t>
      </w:r>
      <w:r>
        <w:rPr>
          <w:spacing w:val="4"/>
        </w:rPr>
        <w:t>万元;教育支出</w:t>
      </w:r>
      <w:r>
        <w:rPr>
          <w:spacing w:val="-56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6"/>
        </w:rPr>
        <w:t>万元,较上年预算安排减少</w:t>
      </w:r>
      <w:r>
        <w:rPr>
          <w:rFonts w:hint="eastAsia"/>
          <w:spacing w:val="-47"/>
          <w:lang w:val="en-US" w:eastAsia="zh-CN"/>
        </w:rPr>
        <w:t>0</w:t>
      </w:r>
      <w:r>
        <w:rPr>
          <w:spacing w:val="6"/>
        </w:rPr>
        <w:t>万元;社会</w:t>
      </w:r>
      <w:r>
        <w:rPr>
          <w:spacing w:val="5"/>
        </w:rPr>
        <w:t>保障和就业支</w:t>
      </w:r>
      <w:r>
        <w:t xml:space="preserve"> </w:t>
      </w:r>
      <w:r>
        <w:rPr>
          <w:spacing w:val="8"/>
        </w:rPr>
        <w:t>出</w:t>
      </w:r>
      <w:r>
        <w:rPr>
          <w:rFonts w:hint="eastAsia"/>
          <w:spacing w:val="-33"/>
          <w:lang w:val="en-US" w:eastAsia="zh-CN"/>
        </w:rPr>
        <w:t>14.26</w:t>
      </w:r>
      <w:r>
        <w:rPr>
          <w:spacing w:val="-47"/>
        </w:rPr>
        <w:t xml:space="preserve"> </w:t>
      </w:r>
      <w:r>
        <w:rPr>
          <w:spacing w:val="8"/>
        </w:rPr>
        <w:t>万元,较上年预算安排增加</w:t>
      </w:r>
      <w:r>
        <w:rPr>
          <w:rFonts w:hint="eastAsia"/>
          <w:spacing w:val="-59"/>
          <w:lang w:val="en-US" w:eastAsia="zh-CN"/>
        </w:rPr>
        <w:t>3. . 8 2</w:t>
      </w:r>
      <w:r>
        <w:rPr>
          <w:spacing w:val="8"/>
        </w:rPr>
        <w:t>万元;</w:t>
      </w:r>
      <w:r>
        <w:rPr>
          <w:spacing w:val="7"/>
        </w:rPr>
        <w:t>卫生健</w:t>
      </w:r>
      <w:r>
        <w:rPr>
          <w:spacing w:val="8"/>
        </w:rPr>
        <w:t>康支出</w:t>
      </w:r>
      <w:r>
        <w:rPr>
          <w:spacing w:val="-40"/>
        </w:rPr>
        <w:t xml:space="preserve"> </w:t>
      </w:r>
      <w:r>
        <w:rPr>
          <w:rFonts w:hint="eastAsia"/>
          <w:spacing w:val="8"/>
          <w:lang w:val="en-US" w:eastAsia="zh-CN"/>
        </w:rPr>
        <w:t>5.79</w:t>
      </w:r>
      <w:r>
        <w:rPr>
          <w:spacing w:val="8"/>
        </w:rPr>
        <w:t>万元,较上年预算安排</w:t>
      </w:r>
      <w:r>
        <w:rPr>
          <w:rFonts w:hint="eastAsia"/>
          <w:spacing w:val="8"/>
          <w:lang w:val="en-US" w:eastAsia="zh-CN"/>
        </w:rPr>
        <w:t>增加1.55</w:t>
      </w:r>
      <w:r>
        <w:rPr>
          <w:spacing w:val="8"/>
        </w:rPr>
        <w:t>万元;节能</w:t>
      </w:r>
      <w:r>
        <w:t xml:space="preserve"> </w:t>
      </w:r>
      <w:r>
        <w:rPr>
          <w:spacing w:val="4"/>
        </w:rPr>
        <w:t>环保支出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4"/>
        </w:rPr>
        <w:t>万元,较上年预算安排增加</w:t>
      </w:r>
      <w:r>
        <w:rPr>
          <w:spacing w:val="-44"/>
        </w:rPr>
        <w:t xml:space="preserve"> 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55"/>
        </w:rPr>
        <w:t xml:space="preserve"> </w:t>
      </w:r>
      <w:r>
        <w:rPr>
          <w:spacing w:val="4"/>
        </w:rPr>
        <w:t>万元;住</w:t>
      </w:r>
      <w:r>
        <w:rPr>
          <w:spacing w:val="3"/>
        </w:rPr>
        <w:t>房保障</w:t>
      </w:r>
      <w:r>
        <w:rPr>
          <w:spacing w:val="2"/>
        </w:rPr>
        <w:t>支出</w:t>
      </w:r>
      <w:r>
        <w:rPr>
          <w:rFonts w:hint="eastAsia"/>
          <w:spacing w:val="-62"/>
          <w:lang w:val="en-US" w:eastAsia="zh-CN"/>
        </w:rPr>
        <w:t xml:space="preserve">1 2 . .7  4  </w:t>
      </w:r>
      <w:r>
        <w:rPr>
          <w:spacing w:val="2"/>
        </w:rPr>
        <w:t>万元,较上年预算安排</w:t>
      </w:r>
      <w:r>
        <w:rPr>
          <w:rFonts w:hint="eastAsia"/>
          <w:spacing w:val="2"/>
          <w:lang w:val="en-US" w:eastAsia="zh-CN"/>
        </w:rPr>
        <w:t>增加3.33</w:t>
      </w:r>
      <w:r>
        <w:rPr>
          <w:spacing w:val="2"/>
        </w:rPr>
        <w:t>万</w:t>
      </w:r>
      <w:r>
        <w:rPr>
          <w:rFonts w:hint="eastAsia"/>
          <w:spacing w:val="2"/>
          <w:lang w:val="en-US" w:eastAsia="zh-CN"/>
        </w:rPr>
        <w:t>元。</w:t>
      </w:r>
    </w:p>
    <w:p>
      <w:pPr>
        <w:pStyle w:val="2"/>
        <w:spacing w:before="230" w:line="372" w:lineRule="auto"/>
        <w:ind w:left="34" w:right="12" w:firstLine="639"/>
        <w:jc w:val="both"/>
        <w:rPr>
          <w:spacing w:val="5"/>
        </w:rPr>
      </w:pPr>
      <w:r>
        <w:rPr>
          <w:spacing w:val="5"/>
        </w:rPr>
        <w:t>按支出经济分类划分：工资福利支出</w:t>
      </w:r>
      <w:r>
        <w:rPr>
          <w:rFonts w:hint="eastAsia"/>
          <w:spacing w:val="5"/>
          <w:lang w:val="en-US" w:eastAsia="zh-CN"/>
        </w:rPr>
        <w:t>1 2 5 . 6 9</w:t>
      </w:r>
      <w:r>
        <w:rPr>
          <w:spacing w:val="5"/>
        </w:rPr>
        <w:t xml:space="preserve"> 万元,较 上年预算安排增加</w:t>
      </w:r>
      <w:r>
        <w:rPr>
          <w:rFonts w:hint="eastAsia"/>
          <w:spacing w:val="5"/>
          <w:lang w:val="en-US" w:eastAsia="zh-CN"/>
        </w:rPr>
        <w:t>33.51</w:t>
      </w:r>
      <w:r>
        <w:rPr>
          <w:spacing w:val="5"/>
        </w:rPr>
        <w:t xml:space="preserve"> 万元;商品和服务支出</w:t>
      </w:r>
      <w:r>
        <w:rPr>
          <w:rFonts w:hint="eastAsia"/>
          <w:spacing w:val="5"/>
          <w:lang w:val="en-US" w:eastAsia="zh-CN"/>
        </w:rPr>
        <w:t>7.99</w:t>
      </w:r>
      <w:r>
        <w:rPr>
          <w:spacing w:val="5"/>
        </w:rPr>
        <w:t xml:space="preserve">万元,较上年预算安排减少 </w:t>
      </w:r>
      <w:r>
        <w:rPr>
          <w:rFonts w:hint="eastAsia"/>
          <w:spacing w:val="5"/>
          <w:lang w:val="en-US" w:eastAsia="zh-CN"/>
        </w:rPr>
        <w:t>0.8</w:t>
      </w:r>
      <w:r>
        <w:rPr>
          <w:spacing w:val="5"/>
        </w:rPr>
        <w:t xml:space="preserve"> 万元;对个人和家庭的补助</w:t>
      </w:r>
      <w:r>
        <w:rPr>
          <w:rFonts w:hint="eastAsia"/>
          <w:spacing w:val="5"/>
          <w:lang w:val="en-US" w:eastAsia="zh-CN"/>
        </w:rPr>
        <w:t>6 . 6 9</w:t>
      </w:r>
      <w:r>
        <w:rPr>
          <w:spacing w:val="5"/>
        </w:rPr>
        <w:t>万元,较上年预算安排增加</w:t>
      </w:r>
      <w:r>
        <w:rPr>
          <w:rFonts w:hint="eastAsia"/>
          <w:spacing w:val="5"/>
          <w:lang w:val="en-US" w:eastAsia="zh-CN"/>
        </w:rPr>
        <w:t>6 . 6 9</w:t>
      </w:r>
      <w:r>
        <w:rPr>
          <w:spacing w:val="5"/>
        </w:rPr>
        <w:t xml:space="preserve"> 万元;资本性 支出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 xml:space="preserve"> 万元,较上年预算安排增加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 xml:space="preserve">万元;其他支出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 xml:space="preserve">万元,较上年预算安排增加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 xml:space="preserve"> 万元。</w:t>
      </w:r>
    </w:p>
    <w:p>
      <w:pPr>
        <w:pStyle w:val="2"/>
        <w:spacing w:before="242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(三)财政拨款支出情况</w:t>
      </w:r>
    </w:p>
    <w:p>
      <w:pPr>
        <w:pStyle w:val="2"/>
        <w:spacing w:before="230" w:line="372" w:lineRule="auto"/>
        <w:ind w:left="34" w:right="12" w:firstLine="639"/>
        <w:jc w:val="both"/>
        <w:rPr>
          <w:spacing w:val="5"/>
        </w:rPr>
      </w:pPr>
      <w:r>
        <w:rPr>
          <w:spacing w:val="5"/>
        </w:rPr>
        <w:t>2024 年</w:t>
      </w:r>
      <w:r>
        <w:rPr>
          <w:rFonts w:hint="eastAsia"/>
          <w:spacing w:val="5"/>
          <w:lang w:eastAsia="zh-CN"/>
        </w:rPr>
        <w:t>景德镇市珠山区统计局</w:t>
      </w:r>
      <w:r>
        <w:rPr>
          <w:spacing w:val="5"/>
        </w:rPr>
        <w:t xml:space="preserve">财政拨款支出预算总额 </w:t>
      </w:r>
      <w:r>
        <w:rPr>
          <w:rFonts w:hint="eastAsia"/>
          <w:spacing w:val="5"/>
          <w:lang w:eastAsia="zh-CN"/>
        </w:rPr>
        <w:t>341.66</w:t>
      </w:r>
      <w:r>
        <w:rPr>
          <w:spacing w:val="5"/>
        </w:rPr>
        <w:t>万元,较上年预算安排增加</w:t>
      </w:r>
      <w:r>
        <w:rPr>
          <w:rFonts w:hint="eastAsia"/>
          <w:spacing w:val="5"/>
          <w:lang w:eastAsia="zh-CN"/>
        </w:rPr>
        <w:t>174.89</w:t>
      </w:r>
      <w:r>
        <w:rPr>
          <w:spacing w:val="5"/>
        </w:rPr>
        <w:t>万元。</w:t>
      </w:r>
    </w:p>
    <w:p>
      <w:pPr>
        <w:pStyle w:val="2"/>
        <w:spacing w:before="230" w:line="372" w:lineRule="auto"/>
        <w:ind w:left="34" w:right="12" w:firstLine="639"/>
        <w:jc w:val="both"/>
        <w:rPr>
          <w:rFonts w:hint="eastAsia"/>
          <w:spacing w:val="2"/>
          <w:lang w:eastAsia="zh-CN"/>
        </w:rPr>
      </w:pPr>
      <w:r>
        <w:rPr>
          <w:spacing w:val="5"/>
        </w:rPr>
        <w:t>按支出功能科目划分： 一般公共服务支出</w:t>
      </w:r>
      <w:r>
        <w:rPr>
          <w:rFonts w:hint="eastAsia"/>
          <w:spacing w:val="5"/>
          <w:lang w:val="en-US" w:eastAsia="zh-CN"/>
        </w:rPr>
        <w:t>309.14</w:t>
      </w:r>
      <w:r>
        <w:rPr>
          <w:spacing w:val="5"/>
        </w:rPr>
        <w:t>万 元,教育支出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 xml:space="preserve">万元,社会保障和就业支出 </w:t>
      </w:r>
      <w:r>
        <w:rPr>
          <w:rFonts w:hint="eastAsia"/>
          <w:spacing w:val="5"/>
          <w:lang w:val="en-US" w:eastAsia="zh-CN"/>
        </w:rPr>
        <w:t>14.26</w:t>
      </w:r>
      <w:r>
        <w:rPr>
          <w:spacing w:val="5"/>
        </w:rPr>
        <w:t>万元,卫生健康支出</w:t>
      </w:r>
      <w:r>
        <w:rPr>
          <w:rFonts w:hint="eastAsia"/>
          <w:spacing w:val="5"/>
          <w:lang w:val="en-US" w:eastAsia="zh-CN"/>
        </w:rPr>
        <w:t>5.79</w:t>
      </w:r>
      <w:r>
        <w:rPr>
          <w:spacing w:val="5"/>
        </w:rPr>
        <w:t xml:space="preserve"> 万元,节能环保支出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万元,住房保障支出</w:t>
      </w:r>
      <w:r>
        <w:rPr>
          <w:rFonts w:hint="eastAsia"/>
          <w:spacing w:val="5"/>
          <w:lang w:val="en-US" w:eastAsia="zh-CN"/>
        </w:rPr>
        <w:t>12.47</w:t>
      </w:r>
      <w:r>
        <w:rPr>
          <w:spacing w:val="5"/>
        </w:rPr>
        <w:t xml:space="preserve"> 万元</w:t>
      </w:r>
      <w:r>
        <w:rPr>
          <w:spacing w:val="6"/>
        </w:rPr>
        <w:t>按</w:t>
      </w:r>
      <w:r>
        <w:rPr>
          <w:rFonts w:hint="eastAsia"/>
          <w:spacing w:val="6"/>
          <w:lang w:val="en-US" w:eastAsia="zh-CN"/>
        </w:rPr>
        <w:t xml:space="preserve"> </w:t>
      </w:r>
      <w:r>
        <w:rPr>
          <w:spacing w:val="6"/>
        </w:rPr>
        <w:t>支出项目类别划分：基本支</w:t>
      </w:r>
      <w:r>
        <w:rPr>
          <w:spacing w:val="5"/>
        </w:rPr>
        <w:t>出</w:t>
      </w:r>
      <w:r>
        <w:rPr>
          <w:rFonts w:hint="eastAsia"/>
          <w:spacing w:val="5"/>
          <w:lang w:val="en-US" w:eastAsia="zh-CN"/>
        </w:rPr>
        <w:t>140.36</w:t>
      </w:r>
      <w:r>
        <w:rPr>
          <w:spacing w:val="5"/>
        </w:rPr>
        <w:t>万元,较上年</w:t>
      </w:r>
      <w:r>
        <w:rPr>
          <w:spacing w:val="-4"/>
        </w:rPr>
        <w:t>预算安排增加</w:t>
      </w:r>
      <w:r>
        <w:rPr>
          <w:spacing w:val="-38"/>
        </w:rPr>
        <w:t xml:space="preserve"> </w:t>
      </w:r>
      <w:r>
        <w:rPr>
          <w:rFonts w:hint="eastAsia"/>
          <w:spacing w:val="-4"/>
          <w:lang w:val="en-US" w:eastAsia="zh-CN"/>
        </w:rPr>
        <w:t>39.39</w:t>
      </w:r>
      <w:r>
        <w:rPr>
          <w:spacing w:val="-4"/>
        </w:rPr>
        <w:t>万元;其中：</w:t>
      </w:r>
      <w:r>
        <w:rPr>
          <w:spacing w:val="91"/>
        </w:rPr>
        <w:t xml:space="preserve"> </w:t>
      </w:r>
      <w:r>
        <w:rPr>
          <w:spacing w:val="-4"/>
        </w:rPr>
        <w:t>工资福利</w:t>
      </w:r>
      <w:r>
        <w:rPr>
          <w:spacing w:val="6"/>
        </w:rPr>
        <w:t>支出</w:t>
      </w:r>
      <w:r>
        <w:rPr>
          <w:rFonts w:hint="eastAsia"/>
          <w:spacing w:val="6"/>
          <w:lang w:val="en-US" w:eastAsia="zh-CN"/>
        </w:rPr>
        <w:t>125.69</w:t>
      </w:r>
      <w:r>
        <w:rPr>
          <w:spacing w:val="6"/>
        </w:rPr>
        <w:t>万 元</w:t>
      </w:r>
      <w:r>
        <w:rPr>
          <w:spacing w:val="26"/>
        </w:rPr>
        <w:t>,商品和服务支出</w:t>
      </w:r>
      <w:r>
        <w:rPr>
          <w:spacing w:val="-16"/>
        </w:rPr>
        <w:t xml:space="preserve"> </w:t>
      </w:r>
      <w:r>
        <w:rPr>
          <w:rFonts w:hint="eastAsia"/>
          <w:spacing w:val="26"/>
          <w:lang w:val="en-US" w:eastAsia="zh-CN"/>
        </w:rPr>
        <w:t>7.99</w:t>
      </w:r>
      <w:r>
        <w:rPr>
          <w:spacing w:val="26"/>
        </w:rPr>
        <w:t>万元,对个人和家庭的补助</w:t>
      </w:r>
      <w:r>
        <w:rPr>
          <w:rFonts w:hint="eastAsia"/>
          <w:lang w:val="en-US" w:eastAsia="zh-CN"/>
        </w:rPr>
        <w:t>6.69</w:t>
      </w:r>
      <w:r>
        <w:rPr>
          <w:spacing w:val="7"/>
        </w:rPr>
        <w:t>万元,资本性支出</w:t>
      </w:r>
      <w:r>
        <w:rPr>
          <w:spacing w:val="-54"/>
        </w:rPr>
        <w:t xml:space="preserve"> </w:t>
      </w:r>
      <w:r>
        <w:rPr>
          <w:rFonts w:hint="eastAsia"/>
          <w:spacing w:val="7"/>
          <w:lang w:val="en-US" w:eastAsia="zh-CN"/>
        </w:rPr>
        <w:t>0</w:t>
      </w:r>
      <w:r>
        <w:rPr>
          <w:spacing w:val="7"/>
        </w:rPr>
        <w:t>万元。项目支</w:t>
      </w:r>
      <w:r>
        <w:rPr>
          <w:spacing w:val="5"/>
        </w:rPr>
        <w:t>出</w:t>
      </w:r>
      <w:r>
        <w:rPr>
          <w:rFonts w:hint="eastAsia"/>
          <w:spacing w:val="5"/>
          <w:lang w:val="en-US" w:eastAsia="zh-CN"/>
        </w:rPr>
        <w:t>201.3</w:t>
      </w:r>
      <w:r>
        <w:rPr>
          <w:spacing w:val="5"/>
        </w:rPr>
        <w:t>万元,较上</w:t>
      </w:r>
      <w:r>
        <w:rPr>
          <w:spacing w:val="3"/>
        </w:rPr>
        <w:t>年预算安排增加</w:t>
      </w:r>
      <w:r>
        <w:rPr>
          <w:spacing w:val="-32"/>
        </w:rPr>
        <w:t xml:space="preserve"> </w:t>
      </w:r>
      <w:r>
        <w:rPr>
          <w:rFonts w:hint="eastAsia"/>
          <w:spacing w:val="3"/>
          <w:lang w:val="en-US" w:eastAsia="zh-CN"/>
        </w:rPr>
        <w:t>135.5</w:t>
      </w:r>
      <w:r>
        <w:rPr>
          <w:spacing w:val="2"/>
        </w:rPr>
        <w:t>万元;其中：</w:t>
      </w:r>
      <w:r>
        <w:rPr>
          <w:spacing w:val="66"/>
        </w:rPr>
        <w:t xml:space="preserve"> </w:t>
      </w:r>
      <w:r>
        <w:rPr>
          <w:spacing w:val="2"/>
        </w:rPr>
        <w:t>工资福利</w:t>
      </w:r>
      <w:r>
        <w:t xml:space="preserve"> </w:t>
      </w:r>
      <w:r>
        <w:rPr>
          <w:spacing w:val="8"/>
        </w:rPr>
        <w:t>支出</w:t>
      </w:r>
      <w:r>
        <w:rPr>
          <w:rFonts w:hint="eastAsia"/>
          <w:spacing w:val="-34"/>
          <w:lang w:val="en-US" w:eastAsia="zh-CN"/>
        </w:rPr>
        <w:t>0</w:t>
      </w:r>
      <w:r>
        <w:rPr>
          <w:spacing w:val="8"/>
        </w:rPr>
        <w:t>万元,商品和服务支出</w:t>
      </w:r>
      <w:r>
        <w:rPr>
          <w:rFonts w:hint="eastAsia"/>
          <w:spacing w:val="-55"/>
          <w:lang w:val="en-US" w:eastAsia="zh-CN"/>
        </w:rPr>
        <w:t>0</w:t>
      </w:r>
      <w:r>
        <w:rPr>
          <w:spacing w:val="8"/>
        </w:rPr>
        <w:t>万元,对个人和家</w:t>
      </w:r>
      <w:r>
        <w:rPr>
          <w:spacing w:val="3"/>
        </w:rPr>
        <w:t>庭的补助</w:t>
      </w:r>
      <w:r>
        <w:rPr>
          <w:rFonts w:hint="eastAsia"/>
          <w:spacing w:val="-59"/>
          <w:lang w:val="en-US" w:eastAsia="zh-CN"/>
        </w:rPr>
        <w:t>0</w:t>
      </w:r>
      <w:r>
        <w:rPr>
          <w:spacing w:val="3"/>
        </w:rPr>
        <w:t>万元,资本性支出</w:t>
      </w:r>
      <w:r>
        <w:rPr>
          <w:spacing w:val="-59"/>
        </w:rPr>
        <w:t xml:space="preserve"> </w:t>
      </w:r>
      <w:r>
        <w:rPr>
          <w:rFonts w:hint="eastAsia"/>
          <w:spacing w:val="3"/>
          <w:lang w:val="en-US" w:eastAsia="zh-CN"/>
        </w:rPr>
        <w:t>0</w:t>
      </w:r>
      <w:r>
        <w:rPr>
          <w:spacing w:val="2"/>
        </w:rPr>
        <w:t>万元</w:t>
      </w:r>
      <w:r>
        <w:rPr>
          <w:rFonts w:hint="eastAsia"/>
          <w:spacing w:val="2"/>
          <w:lang w:eastAsia="zh-CN"/>
        </w:rPr>
        <w:t>。</w:t>
      </w:r>
    </w:p>
    <w:p>
      <w:pPr>
        <w:pStyle w:val="2"/>
        <w:spacing w:before="244" w:line="226" w:lineRule="auto"/>
        <w:ind w:left="720"/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(四)政府性基金情况</w:t>
      </w:r>
    </w:p>
    <w:p>
      <w:pPr>
        <w:pStyle w:val="2"/>
        <w:spacing w:before="244" w:line="226" w:lineRule="auto"/>
        <w:ind w:left="675"/>
      </w:pPr>
      <w:r>
        <w:rPr>
          <w:spacing w:val="8"/>
        </w:rPr>
        <w:t>本部门没有使用政府性基金预算拨款安排的支出。</w:t>
      </w:r>
    </w:p>
    <w:p>
      <w:pPr>
        <w:pStyle w:val="2"/>
        <w:spacing w:before="244" w:line="228" w:lineRule="auto"/>
        <w:ind w:left="720"/>
      </w:pPr>
      <w:r>
        <w:rPr>
          <w:spacing w:val="4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(五)国有资本经营情况</w:t>
      </w:r>
    </w:p>
    <w:p>
      <w:pPr>
        <w:pStyle w:val="2"/>
        <w:spacing w:before="240" w:line="228" w:lineRule="auto"/>
        <w:ind w:left="675"/>
      </w:pPr>
      <w:r>
        <w:rPr>
          <w:spacing w:val="8"/>
        </w:rPr>
        <w:t>本部门没有使用国有资本经营预算拨款安排的支出。</w:t>
      </w:r>
    </w:p>
    <w:p>
      <w:pPr>
        <w:pStyle w:val="2"/>
        <w:spacing w:before="242" w:line="227" w:lineRule="auto"/>
        <w:ind w:left="720"/>
      </w:pPr>
      <w:r>
        <w:rPr>
          <w:spacing w:val="6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(六)机关运行经费等重要事项的说明</w:t>
      </w:r>
    </w:p>
    <w:p>
      <w:pPr>
        <w:pStyle w:val="2"/>
        <w:spacing w:before="280" w:line="579" w:lineRule="exact"/>
        <w:ind w:right="14"/>
        <w:jc w:val="right"/>
      </w:pPr>
      <w:r>
        <w:rPr>
          <w:spacing w:val="-3"/>
          <w:position w:val="19"/>
        </w:rPr>
        <w:t>2024</w:t>
      </w:r>
      <w:r>
        <w:rPr>
          <w:spacing w:val="-33"/>
          <w:position w:val="19"/>
        </w:rPr>
        <w:t xml:space="preserve"> </w:t>
      </w:r>
      <w:r>
        <w:rPr>
          <w:spacing w:val="-3"/>
          <w:position w:val="19"/>
        </w:rPr>
        <w:t>年部门机关运行费预算</w:t>
      </w:r>
      <w:r>
        <w:rPr>
          <w:spacing w:val="-61"/>
          <w:position w:val="19"/>
        </w:rPr>
        <w:t xml:space="preserve"> </w:t>
      </w:r>
      <w:r>
        <w:rPr>
          <w:rFonts w:hint="eastAsia"/>
          <w:spacing w:val="-3"/>
          <w:position w:val="19"/>
          <w:lang w:val="en-US" w:eastAsia="zh-CN"/>
        </w:rPr>
        <w:t>7.99</w:t>
      </w:r>
      <w:r>
        <w:rPr>
          <w:spacing w:val="-3"/>
          <w:position w:val="19"/>
        </w:rPr>
        <w:t>万元，</w:t>
      </w:r>
      <w:r>
        <w:rPr>
          <w:spacing w:val="-63"/>
          <w:position w:val="19"/>
        </w:rPr>
        <w:t xml:space="preserve"> </w:t>
      </w:r>
      <w:r>
        <w:rPr>
          <w:spacing w:val="-3"/>
          <w:position w:val="19"/>
        </w:rPr>
        <w:t>比</w:t>
      </w:r>
      <w:r>
        <w:rPr>
          <w:spacing w:val="-60"/>
          <w:position w:val="19"/>
        </w:rPr>
        <w:t xml:space="preserve"> </w:t>
      </w:r>
      <w:r>
        <w:rPr>
          <w:spacing w:val="-3"/>
          <w:position w:val="19"/>
        </w:rPr>
        <w:t>2023</w:t>
      </w:r>
      <w:r>
        <w:rPr>
          <w:spacing w:val="-49"/>
          <w:position w:val="19"/>
        </w:rPr>
        <w:t xml:space="preserve"> </w:t>
      </w:r>
      <w:r>
        <w:rPr>
          <w:spacing w:val="-3"/>
          <w:position w:val="19"/>
        </w:rPr>
        <w:t>年预</w:t>
      </w:r>
    </w:p>
    <w:p>
      <w:pPr>
        <w:pStyle w:val="2"/>
        <w:spacing w:before="2" w:line="227" w:lineRule="auto"/>
        <w:ind w:left="34"/>
      </w:pPr>
      <w:r>
        <w:rPr>
          <w:spacing w:val="-1"/>
        </w:rPr>
        <w:t>算</w:t>
      </w:r>
      <w:r>
        <w:rPr>
          <w:rFonts w:hint="eastAsia"/>
          <w:spacing w:val="-1"/>
          <w:lang w:eastAsia="zh-CN"/>
        </w:rPr>
        <w:t>减少</w:t>
      </w:r>
      <w:r>
        <w:rPr>
          <w:rFonts w:hint="eastAsia"/>
          <w:spacing w:val="-1"/>
          <w:lang w:val="en-US" w:eastAsia="zh-CN"/>
        </w:rPr>
        <w:t>0.8</w:t>
      </w:r>
      <w:r>
        <w:rPr>
          <w:spacing w:val="-1"/>
        </w:rPr>
        <w:t>万元，</w:t>
      </w:r>
      <w:r>
        <w:rPr>
          <w:rFonts w:hint="eastAsia"/>
          <w:spacing w:val="-1"/>
          <w:lang w:eastAsia="zh-CN"/>
        </w:rPr>
        <w:t>降低</w:t>
      </w:r>
      <w:r>
        <w:rPr>
          <w:rFonts w:hint="eastAsia"/>
          <w:spacing w:val="-1"/>
          <w:lang w:val="en-US" w:eastAsia="zh-CN"/>
        </w:rPr>
        <w:t>9.1</w:t>
      </w:r>
      <w:r>
        <w:rPr>
          <w:spacing w:val="-1"/>
        </w:rPr>
        <w:t>%。</w:t>
      </w:r>
    </w:p>
    <w:p>
      <w:pPr>
        <w:pStyle w:val="2"/>
        <w:spacing w:before="160" w:line="228" w:lineRule="auto"/>
        <w:ind w:left="720"/>
      </w:pPr>
      <w:r>
        <w:rPr>
          <w:spacing w:val="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(七)政府采购情况</w:t>
      </w:r>
    </w:p>
    <w:p>
      <w:pPr>
        <w:pStyle w:val="2"/>
        <w:spacing w:before="239" w:line="372" w:lineRule="auto"/>
        <w:ind w:left="37" w:right="12" w:firstLine="631"/>
        <w:jc w:val="both"/>
      </w:pPr>
      <w:r>
        <w:rPr>
          <w:spacing w:val="11"/>
        </w:rPr>
        <w:t>2024</w:t>
      </w:r>
      <w:r>
        <w:rPr>
          <w:spacing w:val="-26"/>
        </w:rPr>
        <w:t xml:space="preserve"> </w:t>
      </w:r>
      <w:r>
        <w:rPr>
          <w:spacing w:val="11"/>
        </w:rPr>
        <w:t>年部门所属各单位政府采购总额</w:t>
      </w:r>
      <w:r>
        <w:rPr>
          <w:rFonts w:hint="eastAsia"/>
          <w:spacing w:val="-41"/>
          <w:lang w:val="en-US" w:eastAsia="zh-CN"/>
        </w:rPr>
        <w:t>0</w:t>
      </w:r>
      <w:r>
        <w:rPr>
          <w:spacing w:val="11"/>
        </w:rPr>
        <w:t>万元,</w:t>
      </w:r>
      <w:r>
        <w:t xml:space="preserve"> </w:t>
      </w:r>
      <w:r>
        <w:rPr>
          <w:spacing w:val="5"/>
        </w:rPr>
        <w:t>其中: 政府采购货物预算</w:t>
      </w:r>
      <w:r>
        <w:rPr>
          <w:spacing w:val="-29"/>
        </w:rPr>
        <w:t xml:space="preserve"> </w:t>
      </w:r>
      <w:r>
        <w:rPr>
          <w:rFonts w:hint="eastAsia"/>
          <w:spacing w:val="5"/>
          <w:lang w:val="en-US" w:eastAsia="zh-CN"/>
        </w:rPr>
        <w:t>0</w:t>
      </w:r>
      <w:r>
        <w:rPr>
          <w:spacing w:val="5"/>
        </w:rPr>
        <w:t>万元, 政府采购工程预算</w:t>
      </w:r>
      <w:r>
        <w:rPr>
          <w:rFonts w:hint="eastAsia"/>
          <w:spacing w:val="4"/>
          <w:lang w:val="en-US" w:eastAsia="zh-CN"/>
        </w:rPr>
        <w:t>0</w:t>
      </w:r>
      <w:r>
        <w:rPr>
          <w:spacing w:val="-48"/>
        </w:rPr>
        <w:t xml:space="preserve"> </w:t>
      </w:r>
      <w:r>
        <w:rPr>
          <w:spacing w:val="4"/>
        </w:rPr>
        <w:t>万元, 政府采购服务预算</w:t>
      </w:r>
      <w:r>
        <w:rPr>
          <w:rFonts w:hint="eastAsia"/>
          <w:spacing w:val="-58"/>
          <w:lang w:val="en-US" w:eastAsia="zh-CN"/>
        </w:rPr>
        <w:t>0</w:t>
      </w:r>
      <w:r>
        <w:rPr>
          <w:spacing w:val="4"/>
        </w:rPr>
        <w:t>万元。</w:t>
      </w:r>
    </w:p>
    <w:p>
      <w:pPr>
        <w:pStyle w:val="2"/>
        <w:spacing w:before="242" w:line="228" w:lineRule="auto"/>
        <w:ind w:left="720"/>
      </w:pPr>
      <w:r>
        <w:rPr>
          <w:spacing w:val="5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(八)国有资产占有使用情况</w:t>
      </w:r>
    </w:p>
    <w:p>
      <w:pPr>
        <w:pStyle w:val="2"/>
        <w:spacing w:before="240" w:line="632" w:lineRule="exact"/>
        <w:jc w:val="right"/>
      </w:pPr>
      <w:r>
        <w:rPr>
          <w:spacing w:val="-11"/>
          <w:position w:val="23"/>
        </w:rPr>
        <w:t>截至</w:t>
      </w:r>
      <w:r>
        <w:rPr>
          <w:spacing w:val="-45"/>
          <w:position w:val="23"/>
        </w:rPr>
        <w:t xml:space="preserve"> </w:t>
      </w:r>
      <w:r>
        <w:rPr>
          <w:spacing w:val="-11"/>
          <w:position w:val="23"/>
        </w:rPr>
        <w:t>2023</w:t>
      </w:r>
      <w:r>
        <w:rPr>
          <w:spacing w:val="-49"/>
          <w:position w:val="23"/>
        </w:rPr>
        <w:t xml:space="preserve"> </w:t>
      </w:r>
      <w:r>
        <w:rPr>
          <w:spacing w:val="-11"/>
          <w:position w:val="23"/>
        </w:rPr>
        <w:t>年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7</w:t>
      </w:r>
      <w:r>
        <w:rPr>
          <w:spacing w:val="-39"/>
          <w:position w:val="23"/>
        </w:rPr>
        <w:t xml:space="preserve"> </w:t>
      </w:r>
      <w:r>
        <w:rPr>
          <w:spacing w:val="-11"/>
          <w:position w:val="23"/>
        </w:rPr>
        <w:t>月</w:t>
      </w:r>
      <w:r>
        <w:rPr>
          <w:spacing w:val="-57"/>
          <w:position w:val="23"/>
        </w:rPr>
        <w:t xml:space="preserve"> </w:t>
      </w:r>
      <w:r>
        <w:rPr>
          <w:spacing w:val="-11"/>
          <w:position w:val="23"/>
        </w:rPr>
        <w:t>31 日, 部门共有车辆</w:t>
      </w:r>
      <w:r>
        <w:rPr>
          <w:spacing w:val="-37"/>
          <w:position w:val="23"/>
        </w:rPr>
        <w:t xml:space="preserve"> </w:t>
      </w:r>
      <w:r>
        <w:rPr>
          <w:rFonts w:hint="eastAsia"/>
          <w:spacing w:val="-11"/>
          <w:position w:val="23"/>
          <w:lang w:val="en-US" w:eastAsia="zh-CN"/>
        </w:rPr>
        <w:t>0</w:t>
      </w:r>
      <w:r>
        <w:rPr>
          <w:spacing w:val="-56"/>
          <w:position w:val="23"/>
        </w:rPr>
        <w:t xml:space="preserve"> </w:t>
      </w:r>
      <w:r>
        <w:rPr>
          <w:spacing w:val="-11"/>
          <w:position w:val="23"/>
        </w:rPr>
        <w:t>辆,其中：</w:t>
      </w:r>
      <w:r>
        <w:rPr>
          <w:spacing w:val="87"/>
          <w:position w:val="23"/>
        </w:rPr>
        <w:t xml:space="preserve"> </w:t>
      </w:r>
      <w:r>
        <w:rPr>
          <w:spacing w:val="-11"/>
          <w:position w:val="23"/>
        </w:rPr>
        <w:t>一</w:t>
      </w:r>
    </w:p>
    <w:p>
      <w:pPr>
        <w:pStyle w:val="2"/>
        <w:spacing w:line="219" w:lineRule="auto"/>
        <w:ind w:left="35"/>
        <w:rPr>
          <w:sz w:val="32"/>
          <w:szCs w:val="32"/>
        </w:rPr>
      </w:pPr>
      <w:r>
        <w:rPr>
          <w:spacing w:val="-7"/>
          <w:sz w:val="32"/>
          <w:szCs w:val="32"/>
        </w:rPr>
        <w:t>般公务用车实有数</w:t>
      </w:r>
      <w:r>
        <w:rPr>
          <w:spacing w:val="-40"/>
          <w:sz w:val="32"/>
          <w:szCs w:val="32"/>
        </w:rPr>
        <w:t xml:space="preserve"> </w:t>
      </w:r>
      <w:r>
        <w:rPr>
          <w:rFonts w:hint="eastAsia"/>
          <w:spacing w:val="-7"/>
          <w:sz w:val="32"/>
          <w:szCs w:val="32"/>
          <w:lang w:val="en-US" w:eastAsia="zh-CN"/>
        </w:rPr>
        <w:t>0</w:t>
      </w:r>
      <w:r>
        <w:rPr>
          <w:spacing w:val="-61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辆。</w:t>
      </w:r>
    </w:p>
    <w:p>
      <w:pPr>
        <w:pStyle w:val="2"/>
        <w:spacing w:before="237" w:line="624" w:lineRule="exact"/>
        <w:ind w:right="16"/>
        <w:jc w:val="right"/>
        <w:rPr>
          <w:sz w:val="32"/>
          <w:szCs w:val="32"/>
        </w:rPr>
      </w:pPr>
      <w:r>
        <w:rPr>
          <w:spacing w:val="-7"/>
          <w:position w:val="22"/>
          <w:sz w:val="32"/>
          <w:szCs w:val="32"/>
        </w:rPr>
        <w:t>2024</w:t>
      </w:r>
      <w:r>
        <w:rPr>
          <w:spacing w:val="-5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年部门预算安排购置车辆</w:t>
      </w:r>
      <w:r>
        <w:rPr>
          <w:spacing w:val="-63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0</w:t>
      </w:r>
      <w:r>
        <w:rPr>
          <w:spacing w:val="-60"/>
          <w:position w:val="22"/>
          <w:sz w:val="32"/>
          <w:szCs w:val="32"/>
        </w:rPr>
        <w:t xml:space="preserve"> </w:t>
      </w:r>
      <w:r>
        <w:rPr>
          <w:spacing w:val="-7"/>
          <w:position w:val="22"/>
          <w:sz w:val="32"/>
          <w:szCs w:val="32"/>
        </w:rPr>
        <w:t>辆，未安排购置单位价</w:t>
      </w:r>
    </w:p>
    <w:p>
      <w:pPr>
        <w:pStyle w:val="2"/>
        <w:spacing w:line="223" w:lineRule="auto"/>
        <w:ind w:left="33"/>
        <w:rPr>
          <w:spacing w:val="-8"/>
          <w:sz w:val="32"/>
          <w:szCs w:val="32"/>
        </w:rPr>
      </w:pPr>
      <w:r>
        <w:rPr>
          <w:spacing w:val="-8"/>
          <w:sz w:val="32"/>
          <w:szCs w:val="32"/>
        </w:rPr>
        <w:t>值</w:t>
      </w:r>
      <w:r>
        <w:rPr>
          <w:spacing w:val="-60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200</w:t>
      </w:r>
      <w:r>
        <w:rPr>
          <w:spacing w:val="-57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万元以上大型设备。</w:t>
      </w:r>
    </w:p>
    <w:p>
      <w:pPr>
        <w:pStyle w:val="2"/>
        <w:spacing w:before="160" w:line="227" w:lineRule="auto"/>
        <w:ind w:left="720"/>
        <w:rPr>
          <w:rFonts w:hint="eastAsia"/>
          <w:spacing w:val="-7"/>
          <w:position w:val="22"/>
          <w:sz w:val="32"/>
          <w:szCs w:val="32"/>
          <w:lang w:val="en-US" w:eastAsia="zh-CN"/>
        </w:rPr>
      </w:pPr>
      <w:r>
        <w:rPr>
          <w:spacing w:val="8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(九)</w:t>
      </w:r>
      <w:r>
        <w:rPr>
          <w:rFonts w:hint="eastAsia" w:ascii="仿宋" w:hAnsi="仿宋" w:eastAsia="仿宋" w:cs="仿宋"/>
          <w:b/>
          <w:bCs/>
          <w:caps w:val="0"/>
          <w:color w:val="333333"/>
          <w:spacing w:val="0"/>
          <w:sz w:val="30"/>
          <w:szCs w:val="30"/>
          <w:shd w:val="clear" w:color="auto" w:fill="FFFFFF"/>
        </w:rPr>
        <w:t>整体绩效目标设置情况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 xml:space="preserve">   </w:t>
      </w:r>
    </w:p>
    <w:p>
      <w:pPr>
        <w:pStyle w:val="2"/>
        <w:spacing w:before="237" w:line="624" w:lineRule="exact"/>
        <w:ind w:right="16" w:firstLine="918" w:firstLineChars="300"/>
        <w:jc w:val="both"/>
        <w:rPr>
          <w:rFonts w:hint="eastAsia"/>
          <w:spacing w:val="-7"/>
          <w:position w:val="22"/>
          <w:sz w:val="32"/>
          <w:szCs w:val="32"/>
        </w:rPr>
      </w:pPr>
      <w:r>
        <w:rPr>
          <w:rFonts w:hint="eastAsia"/>
          <w:spacing w:val="-7"/>
          <w:position w:val="22"/>
          <w:sz w:val="32"/>
          <w:szCs w:val="32"/>
        </w:rPr>
        <w:t>202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4</w:t>
      </w:r>
      <w:r>
        <w:rPr>
          <w:rFonts w:hint="eastAsia"/>
          <w:spacing w:val="-7"/>
          <w:position w:val="22"/>
          <w:sz w:val="32"/>
          <w:szCs w:val="32"/>
        </w:rPr>
        <w:t>年部门整体绩效目标根据</w:t>
      </w:r>
      <w:r>
        <w:rPr>
          <w:rFonts w:hint="eastAsia"/>
          <w:spacing w:val="-7"/>
          <w:position w:val="22"/>
          <w:sz w:val="32"/>
          <w:szCs w:val="32"/>
          <w:lang w:eastAsia="zh-CN"/>
        </w:rPr>
        <w:t>市珠山区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统计局</w:t>
      </w:r>
      <w:r>
        <w:rPr>
          <w:rFonts w:hint="eastAsia"/>
          <w:spacing w:val="-7"/>
          <w:position w:val="22"/>
          <w:sz w:val="32"/>
          <w:szCs w:val="32"/>
        </w:rPr>
        <w:t>年初工作规划和重点性工作安排，围绕积极履职、强化管理的中心思想，通过加强预算收支管理，不断健全内部管理制度，梳理内部管理流程，部门整体支出绩效情况得到提升，较好地完成了年度工作目标。部门预算情况202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4</w:t>
      </w:r>
      <w:r>
        <w:rPr>
          <w:rFonts w:hint="eastAsia"/>
          <w:spacing w:val="-7"/>
          <w:position w:val="22"/>
          <w:sz w:val="32"/>
          <w:szCs w:val="32"/>
        </w:rPr>
        <w:t>年收入预算合计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341.66</w:t>
      </w:r>
      <w:r>
        <w:rPr>
          <w:rFonts w:hint="eastAsia"/>
          <w:spacing w:val="-7"/>
          <w:position w:val="22"/>
          <w:sz w:val="32"/>
          <w:szCs w:val="32"/>
        </w:rPr>
        <w:t>万元，其中本级财政安排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341.66</w:t>
      </w:r>
      <w:r>
        <w:rPr>
          <w:rFonts w:hint="eastAsia"/>
          <w:spacing w:val="-7"/>
          <w:position w:val="22"/>
          <w:sz w:val="32"/>
          <w:szCs w:val="32"/>
        </w:rPr>
        <w:t>万元，其他资金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0</w:t>
      </w:r>
      <w:r>
        <w:rPr>
          <w:rFonts w:hint="eastAsia"/>
          <w:spacing w:val="-7"/>
          <w:position w:val="22"/>
          <w:sz w:val="32"/>
          <w:szCs w:val="32"/>
        </w:rPr>
        <w:t>万元。2023年支出预算合计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341.66</w:t>
      </w:r>
      <w:r>
        <w:rPr>
          <w:rFonts w:hint="eastAsia"/>
          <w:spacing w:val="-7"/>
          <w:position w:val="22"/>
          <w:sz w:val="32"/>
          <w:szCs w:val="32"/>
        </w:rPr>
        <w:t>万元，其中人员经费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132.37</w:t>
      </w:r>
      <w:r>
        <w:rPr>
          <w:rFonts w:hint="eastAsia"/>
          <w:spacing w:val="-7"/>
          <w:position w:val="22"/>
          <w:sz w:val="32"/>
          <w:szCs w:val="32"/>
        </w:rPr>
        <w:t>万元，公用经费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7.99</w:t>
      </w:r>
      <w:r>
        <w:rPr>
          <w:rFonts w:hint="eastAsia"/>
          <w:spacing w:val="-7"/>
          <w:position w:val="22"/>
          <w:sz w:val="32"/>
          <w:szCs w:val="32"/>
        </w:rPr>
        <w:t>万元，项目经费</w:t>
      </w:r>
      <w:r>
        <w:rPr>
          <w:rFonts w:hint="eastAsia"/>
          <w:spacing w:val="-7"/>
          <w:position w:val="22"/>
          <w:sz w:val="32"/>
          <w:szCs w:val="32"/>
          <w:lang w:val="en-US" w:eastAsia="zh-CN"/>
        </w:rPr>
        <w:t>201.3</w:t>
      </w:r>
      <w:r>
        <w:rPr>
          <w:rFonts w:hint="eastAsia"/>
          <w:spacing w:val="-7"/>
          <w:position w:val="22"/>
          <w:sz w:val="32"/>
          <w:szCs w:val="32"/>
        </w:rPr>
        <w:t>万元。</w:t>
      </w:r>
    </w:p>
    <w:p>
      <w:pPr>
        <w:spacing w:before="277" w:line="232" w:lineRule="auto"/>
        <w:ind w:left="26"/>
        <w:outlineLvl w:val="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二、2024</w:t>
      </w:r>
      <w:r>
        <w:rPr>
          <w:rFonts w:ascii="楷体" w:hAnsi="楷体" w:eastAsia="楷体" w:cs="楷体"/>
          <w:spacing w:val="-6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年财政拨款“三公</w:t>
      </w:r>
      <w:r>
        <w:rPr>
          <w:rFonts w:ascii="Calibri" w:hAnsi="Calibri" w:eastAsia="Calibri" w:cs="Calibri"/>
          <w:b/>
          <w:bCs/>
          <w:spacing w:val="8"/>
          <w:sz w:val="31"/>
          <w:szCs w:val="31"/>
        </w:rPr>
        <w:t>”</w:t>
      </w:r>
      <w:r>
        <w:rPr>
          <w:rFonts w:ascii="Calibri" w:hAnsi="Calibri" w:eastAsia="Calibri" w:cs="Calibri"/>
          <w:b/>
          <w:bCs/>
          <w:spacing w:val="-4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经费预算情况</w:t>
      </w:r>
      <w:r>
        <w:rPr>
          <w:rFonts w:ascii="楷体" w:hAnsi="楷体" w:eastAsia="楷体" w:cs="楷体"/>
          <w:spacing w:val="7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说明</w:t>
      </w:r>
    </w:p>
    <w:p>
      <w:pPr>
        <w:pStyle w:val="2"/>
        <w:spacing w:before="153" w:line="624" w:lineRule="exact"/>
        <w:ind w:left="667"/>
        <w:rPr>
          <w:spacing w:val="5"/>
          <w:position w:val="23"/>
        </w:rPr>
      </w:pPr>
      <w:r>
        <w:rPr>
          <w:spacing w:val="5"/>
          <w:position w:val="23"/>
        </w:rPr>
        <w:t>2024 年</w:t>
      </w:r>
      <w:r>
        <w:rPr>
          <w:rFonts w:hint="eastAsia"/>
          <w:spacing w:val="5"/>
          <w:position w:val="23"/>
          <w:lang w:eastAsia="zh-CN"/>
        </w:rPr>
        <w:t>中共景德镇市珠山区委党史地志办公室</w:t>
      </w:r>
      <w:r>
        <w:rPr>
          <w:spacing w:val="5"/>
          <w:position w:val="23"/>
        </w:rPr>
        <w:t>财政拨</w:t>
      </w:r>
    </w:p>
    <w:p>
      <w:pPr>
        <w:pStyle w:val="2"/>
        <w:spacing w:before="153" w:line="624" w:lineRule="exact"/>
      </w:pPr>
      <w:r>
        <w:rPr>
          <w:spacing w:val="5"/>
          <w:position w:val="23"/>
        </w:rPr>
        <w:t>款"三公"经费安排</w:t>
      </w:r>
      <w:r>
        <w:rPr>
          <w:rFonts w:hint="eastAsia"/>
          <w:spacing w:val="5"/>
          <w:position w:val="23"/>
          <w:lang w:val="en-US" w:eastAsia="zh-CN"/>
        </w:rPr>
        <w:t>1.98</w:t>
      </w:r>
      <w:r>
        <w:rPr>
          <w:spacing w:val="5"/>
          <w:position w:val="23"/>
        </w:rPr>
        <w:t>万元，其中：</w:t>
      </w:r>
    </w:p>
    <w:p>
      <w:pPr>
        <w:pStyle w:val="2"/>
        <w:spacing w:before="2" w:line="226" w:lineRule="auto"/>
        <w:ind w:left="40" w:firstLine="640" w:firstLineChars="200"/>
        <w:rPr>
          <w:rFonts w:hint="eastAsia" w:eastAsia="仿宋"/>
          <w:lang w:eastAsia="zh-CN"/>
        </w:rPr>
      </w:pPr>
      <w:r>
        <w:rPr>
          <w:spacing w:val="5"/>
          <w:position w:val="23"/>
        </w:rPr>
        <w:t>因公出国</w:t>
      </w:r>
      <w:r>
        <w:rPr>
          <w:spacing w:val="-50"/>
          <w:position w:val="23"/>
        </w:rPr>
        <w:t xml:space="preserve"> 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-54"/>
          <w:position w:val="23"/>
        </w:rPr>
        <w:t xml:space="preserve"> </w:t>
      </w:r>
      <w:r>
        <w:rPr>
          <w:spacing w:val="5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无安排。</w:t>
      </w:r>
      <w:bookmarkStart w:id="0" w:name="_GoBack"/>
      <w:bookmarkEnd w:id="0"/>
    </w:p>
    <w:p>
      <w:pPr>
        <w:pStyle w:val="2"/>
        <w:spacing w:before="1" w:line="226" w:lineRule="auto"/>
        <w:ind w:left="40" w:firstLine="640" w:firstLineChars="200"/>
      </w:pPr>
      <w:r>
        <w:rPr>
          <w:spacing w:val="5"/>
          <w:position w:val="23"/>
        </w:rPr>
        <w:t>公务接待</w:t>
      </w:r>
      <w:r>
        <w:rPr>
          <w:spacing w:val="-24"/>
          <w:position w:val="23"/>
        </w:rPr>
        <w:t xml:space="preserve"> </w:t>
      </w:r>
      <w:r>
        <w:rPr>
          <w:rFonts w:hint="eastAsia"/>
          <w:spacing w:val="5"/>
          <w:position w:val="23"/>
          <w:lang w:val="en-US" w:eastAsia="zh-CN"/>
        </w:rPr>
        <w:t>1.98</w:t>
      </w:r>
      <w:r>
        <w:rPr>
          <w:spacing w:val="5"/>
          <w:position w:val="23"/>
        </w:rPr>
        <w:t>万元,</w:t>
      </w:r>
      <w:r>
        <w:rPr>
          <w:rFonts w:hint="eastAsia"/>
          <w:spacing w:val="5"/>
          <w:position w:val="23"/>
          <w:lang w:val="en-US" w:eastAsia="zh-CN"/>
        </w:rPr>
        <w:t>比上年减少0.02万元</w:t>
      </w:r>
      <w:r>
        <w:rPr>
          <w:spacing w:val="5"/>
          <w:position w:val="23"/>
        </w:rPr>
        <w:t>，主要原因是：</w:t>
      </w:r>
      <w:r>
        <w:rPr>
          <w:rFonts w:hint="eastAsia"/>
          <w:spacing w:val="5"/>
          <w:position w:val="23"/>
          <w:lang w:val="en-US" w:eastAsia="zh-CN"/>
        </w:rPr>
        <w:t>牢固树立过紧日子思想，厉行节约</w:t>
      </w:r>
      <w:r>
        <w:rPr>
          <w:rFonts w:hint="eastAsia"/>
          <w:spacing w:val="5"/>
          <w:position w:val="23"/>
          <w:lang w:eastAsia="zh-CN"/>
        </w:rPr>
        <w:t>。</w:t>
      </w:r>
    </w:p>
    <w:p>
      <w:pPr>
        <w:pStyle w:val="2"/>
        <w:spacing w:before="243" w:line="624" w:lineRule="exact"/>
        <w:ind w:left="680"/>
        <w:rPr>
          <w:spacing w:val="5"/>
          <w:position w:val="23"/>
        </w:rPr>
      </w:pPr>
      <w:r>
        <w:rPr>
          <w:spacing w:val="5"/>
          <w:position w:val="23"/>
        </w:rPr>
        <w:t>公务用车运行</w:t>
      </w:r>
      <w:r>
        <w:rPr>
          <w:rFonts w:hint="eastAsia"/>
          <w:spacing w:val="5"/>
          <w:position w:val="23"/>
          <w:lang w:val="en-US" w:eastAsia="zh-CN"/>
        </w:rPr>
        <w:t>0</w:t>
      </w:r>
      <w:r>
        <w:rPr>
          <w:spacing w:val="5"/>
          <w:position w:val="23"/>
        </w:rPr>
        <w:t>万元,与上年持平，主要原因是：</w:t>
      </w:r>
      <w:r>
        <w:rPr>
          <w:rFonts w:hint="eastAsia"/>
          <w:spacing w:val="5"/>
          <w:position w:val="23"/>
          <w:lang w:eastAsia="zh-CN"/>
        </w:rPr>
        <w:t>无公车</w:t>
      </w:r>
      <w:r>
        <w:rPr>
          <w:spacing w:val="5"/>
          <w:position w:val="23"/>
        </w:rPr>
        <w:t>。</w:t>
      </w:r>
    </w:p>
    <w:p>
      <w:pPr>
        <w:pStyle w:val="2"/>
        <w:spacing w:before="243" w:line="624" w:lineRule="exact"/>
        <w:ind w:left="680"/>
        <w:rPr>
          <w:spacing w:val="5"/>
          <w:position w:val="23"/>
        </w:rPr>
      </w:pPr>
      <w:r>
        <w:rPr>
          <w:spacing w:val="5"/>
          <w:position w:val="23"/>
        </w:rPr>
        <w:t>公务用车购置 0 万元,与上年持平，主要原因是：</w:t>
      </w:r>
      <w:r>
        <w:rPr>
          <w:rFonts w:hint="eastAsia"/>
          <w:spacing w:val="5"/>
          <w:position w:val="23"/>
          <w:lang w:eastAsia="zh-CN"/>
        </w:rPr>
        <w:t>无公车</w:t>
      </w:r>
      <w:r>
        <w:rPr>
          <w:spacing w:val="5"/>
          <w:position w:val="23"/>
        </w:rPr>
        <w:t>。</w:t>
      </w:r>
    </w:p>
    <w:p>
      <w:pPr>
        <w:spacing w:line="29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2995"/>
        <w:rPr>
          <w:rFonts w:ascii="Arial"/>
          <w:sz w:val="21"/>
        </w:rPr>
      </w:pP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第四部分</w:t>
      </w:r>
      <w:r>
        <w:rPr>
          <w:spacing w:val="15"/>
        </w:rPr>
        <w:t xml:space="preserve">   </w:t>
      </w:r>
      <w:r>
        <w:rPr>
          <w:spacing w:val="3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名词解释</w:t>
      </w:r>
    </w:p>
    <w:p>
      <w:pPr>
        <w:spacing w:before="102" w:line="234" w:lineRule="auto"/>
        <w:ind w:left="67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4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一、收入科目</w:t>
      </w:r>
    </w:p>
    <w:p>
      <w:pPr>
        <w:pStyle w:val="2"/>
        <w:spacing w:before="203" w:line="228" w:lineRule="auto"/>
        <w:ind w:left="678"/>
      </w:pPr>
      <w:r>
        <w:rPr>
          <w:spacing w:val="6"/>
        </w:rPr>
        <w:t>（一）财政拨款：指省级财政当年拨付的资金。</w:t>
      </w:r>
    </w:p>
    <w:p>
      <w:pPr>
        <w:pStyle w:val="2"/>
        <w:spacing w:before="218" w:line="357" w:lineRule="auto"/>
        <w:ind w:left="36" w:right="265" w:firstLine="642"/>
      </w:pPr>
      <w:r>
        <w:rPr>
          <w:spacing w:val="1"/>
        </w:rPr>
        <w:t>（二） 教育收费资金收入：反映实行专项管理的高中以</w:t>
      </w:r>
      <w:r>
        <w:rPr>
          <w:spacing w:val="14"/>
        </w:rPr>
        <w:t xml:space="preserve"> </w:t>
      </w:r>
      <w:r>
        <w:rPr>
          <w:spacing w:val="-1"/>
        </w:rPr>
        <w:t>上学费、住宿费，</w:t>
      </w:r>
      <w:r>
        <w:rPr>
          <w:spacing w:val="99"/>
        </w:rPr>
        <w:t xml:space="preserve"> </w:t>
      </w:r>
      <w:r>
        <w:rPr>
          <w:spacing w:val="-1"/>
        </w:rPr>
        <w:t>高校委托培养费，函大、</w:t>
      </w:r>
      <w:r>
        <w:rPr>
          <w:spacing w:val="-2"/>
        </w:rPr>
        <w:t>电大、夜大及短</w:t>
      </w:r>
      <w:r>
        <w:rPr>
          <w:spacing w:val="5"/>
        </w:rPr>
        <w:t>训班培训费等教育收费取得的收入。</w:t>
      </w:r>
    </w:p>
    <w:p>
      <w:pPr>
        <w:pStyle w:val="2"/>
        <w:spacing w:before="217" w:line="600" w:lineRule="exact"/>
        <w:ind w:left="675"/>
      </w:pPr>
      <w:r>
        <w:rPr>
          <w:position w:val="21"/>
        </w:rPr>
        <w:t>（三） 事业单位经营收入：指事业单位在专业业务活动</w:t>
      </w:r>
    </w:p>
    <w:p>
      <w:pPr>
        <w:pStyle w:val="2"/>
        <w:spacing w:before="1" w:line="226" w:lineRule="auto"/>
        <w:ind w:left="38"/>
      </w:pPr>
      <w:r>
        <w:rPr>
          <w:spacing w:val="6"/>
        </w:rPr>
        <w:t>及辅助活动之外开展非独立核算经营活动取得的收入。</w:t>
      </w:r>
    </w:p>
    <w:p>
      <w:pPr>
        <w:pStyle w:val="2"/>
        <w:spacing w:before="219" w:line="600" w:lineRule="exact"/>
        <w:ind w:left="675"/>
      </w:pPr>
      <w:r>
        <w:rPr>
          <w:spacing w:val="7"/>
          <w:position w:val="21"/>
        </w:rPr>
        <w:t>（四）其他收入：指除财政拨款、事业收入、事业单位</w:t>
      </w:r>
    </w:p>
    <w:p>
      <w:pPr>
        <w:pStyle w:val="2"/>
        <w:spacing w:before="1" w:line="229" w:lineRule="auto"/>
        <w:ind w:left="34"/>
      </w:pPr>
      <w:r>
        <w:rPr>
          <w:spacing w:val="4"/>
        </w:rPr>
        <w:t>经营收入等以外的各项收入。</w:t>
      </w:r>
    </w:p>
    <w:p>
      <w:pPr>
        <w:pStyle w:val="2"/>
        <w:spacing w:before="215" w:line="600" w:lineRule="exact"/>
        <w:ind w:left="678"/>
      </w:pPr>
      <w:r>
        <w:rPr>
          <w:spacing w:val="9"/>
          <w:position w:val="21"/>
        </w:rPr>
        <w:t>（五）上年结转和结余：填列 2023</w:t>
      </w:r>
      <w:r>
        <w:rPr>
          <w:spacing w:val="-36"/>
          <w:position w:val="21"/>
        </w:rPr>
        <w:t xml:space="preserve"> </w:t>
      </w:r>
      <w:r>
        <w:rPr>
          <w:spacing w:val="9"/>
          <w:position w:val="21"/>
        </w:rPr>
        <w:t>年全部结转和结余</w:t>
      </w:r>
    </w:p>
    <w:p>
      <w:pPr>
        <w:pStyle w:val="2"/>
        <w:spacing w:before="1" w:line="224" w:lineRule="auto"/>
        <w:jc w:val="right"/>
      </w:pPr>
      <w:r>
        <w:rPr>
          <w:spacing w:val="6"/>
        </w:rPr>
        <w:t>的资金数，包括当年结转结余资金和历年滚存结转结余资。</w:t>
      </w:r>
    </w:p>
    <w:p>
      <w:pPr>
        <w:spacing w:before="222" w:line="234" w:lineRule="auto"/>
        <w:ind w:left="666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二、支出科目</w:t>
      </w:r>
    </w:p>
    <w:p>
      <w:pPr>
        <w:pStyle w:val="2"/>
        <w:spacing w:before="209" w:line="357" w:lineRule="auto"/>
        <w:ind w:left="36" w:right="133" w:firstLine="642"/>
        <w:jc w:val="both"/>
      </w:pPr>
      <w:r>
        <w:rPr>
          <w:spacing w:val="-4"/>
        </w:rPr>
        <w:t>（一）一般公共服务支出（类） 财政事务（款</w:t>
      </w:r>
      <w:r>
        <w:rPr>
          <w:spacing w:val="-5"/>
        </w:rPr>
        <w:t xml:space="preserve">） 行政运 </w:t>
      </w:r>
      <w:r>
        <w:rPr>
          <w:spacing w:val="-1"/>
        </w:rPr>
        <w:t>行（项</w:t>
      </w:r>
      <w:r>
        <w:rPr>
          <w:spacing w:val="-3"/>
        </w:rPr>
        <w:t>）</w:t>
      </w:r>
      <w:r>
        <w:rPr>
          <w:spacing w:val="-80"/>
        </w:rPr>
        <w:t xml:space="preserve"> </w:t>
      </w:r>
      <w:r>
        <w:rPr>
          <w:spacing w:val="-3"/>
        </w:rPr>
        <w:t>：</w:t>
      </w:r>
      <w:r>
        <w:rPr>
          <w:spacing w:val="-1"/>
        </w:rPr>
        <w:t>反映行政单位（包括实行公务员管理的事业单位）</w:t>
      </w:r>
      <w:r>
        <w:rPr>
          <w:spacing w:val="-5"/>
        </w:rPr>
        <w:t>的基本支出。</w:t>
      </w:r>
    </w:p>
    <w:p>
      <w:pPr>
        <w:pStyle w:val="2"/>
        <w:spacing w:before="214" w:line="357" w:lineRule="auto"/>
        <w:ind w:left="35" w:right="133" w:firstLine="643"/>
      </w:pPr>
      <w:r>
        <w:rPr>
          <w:spacing w:val="-10"/>
        </w:rPr>
        <w:t>（二） 一般公共服务支出（类） 财政事务（款） 一般行</w:t>
      </w:r>
      <w:r>
        <w:rPr>
          <w:spacing w:val="4"/>
        </w:rPr>
        <w:t xml:space="preserve"> </w:t>
      </w:r>
      <w:r>
        <w:t>政管理事务（项</w:t>
      </w:r>
      <w:r>
        <w:rPr>
          <w:spacing w:val="-15"/>
        </w:rPr>
        <w:t>）：</w:t>
      </w:r>
      <w:r>
        <w:rPr>
          <w:spacing w:val="95"/>
        </w:rPr>
        <w:t xml:space="preserve"> </w:t>
      </w:r>
      <w:r>
        <w:t>反映行政单位（包括实行公务员管理的</w:t>
      </w:r>
      <w:r>
        <w:rPr>
          <w:spacing w:val="6"/>
        </w:rPr>
        <w:t>事业单位）未单独设置项级科目的其他项目支出。</w:t>
      </w:r>
    </w:p>
    <w:p>
      <w:pPr>
        <w:pStyle w:val="2"/>
        <w:spacing w:before="218" w:line="600" w:lineRule="exact"/>
        <w:ind w:left="678"/>
      </w:pPr>
      <w:r>
        <w:rPr>
          <w:spacing w:val="-10"/>
          <w:position w:val="21"/>
        </w:rPr>
        <w:t>（三） 一般公共服务支出（类） 财政事务（款） 信息化</w:t>
      </w:r>
    </w:p>
    <w:p>
      <w:pPr>
        <w:pStyle w:val="2"/>
        <w:spacing w:before="1" w:line="227" w:lineRule="auto"/>
        <w:ind w:left="34"/>
      </w:pPr>
      <w:r>
        <w:rPr>
          <w:spacing w:val="7"/>
        </w:rPr>
        <w:t>建设（项）：反映财政部门用于信息化建设方面的支</w:t>
      </w:r>
      <w:r>
        <w:rPr>
          <w:spacing w:val="6"/>
        </w:rPr>
        <w:t>出。</w:t>
      </w:r>
    </w:p>
    <w:p>
      <w:pPr>
        <w:pStyle w:val="2"/>
        <w:spacing w:before="218" w:line="600" w:lineRule="exact"/>
        <w:ind w:left="678"/>
      </w:pPr>
      <w:r>
        <w:rPr>
          <w:spacing w:val="-10"/>
          <w:position w:val="21"/>
        </w:rPr>
        <w:t>（四） 一般公共服务支出（类） 财政事务（款） 事业运</w:t>
      </w:r>
    </w:p>
    <w:p>
      <w:pPr>
        <w:pStyle w:val="2"/>
        <w:spacing w:before="1" w:line="226" w:lineRule="auto"/>
        <w:ind w:left="36"/>
      </w:pPr>
      <w:r>
        <w:rPr>
          <w:spacing w:val="5"/>
        </w:rPr>
        <w:t>行（项</w:t>
      </w:r>
      <w:r>
        <w:rPr>
          <w:spacing w:val="8"/>
        </w:rPr>
        <w:t>）：</w:t>
      </w:r>
      <w:r>
        <w:rPr>
          <w:spacing w:val="5"/>
        </w:rPr>
        <w:t>反映事业单位的基本支出。</w:t>
      </w:r>
    </w:p>
    <w:p>
      <w:pPr>
        <w:pStyle w:val="2"/>
        <w:spacing w:before="220" w:line="357" w:lineRule="auto"/>
        <w:ind w:left="35" w:right="133" w:firstLine="643"/>
      </w:pPr>
      <w:r>
        <w:rPr>
          <w:spacing w:val="-10"/>
        </w:rPr>
        <w:t>（五） 一般公共服务支出（类） 财政事务（款） 其他财</w:t>
      </w:r>
      <w:r>
        <w:rPr>
          <w:spacing w:val="4"/>
        </w:rPr>
        <w:t xml:space="preserve"> </w:t>
      </w:r>
      <w:r>
        <w:rPr>
          <w:spacing w:val="3"/>
        </w:rPr>
        <w:t>政事务支出（项</w:t>
      </w:r>
      <w:r>
        <w:rPr>
          <w:spacing w:val="-9"/>
        </w:rPr>
        <w:t>）</w:t>
      </w:r>
      <w:r>
        <w:rPr>
          <w:spacing w:val="8"/>
        </w:rPr>
        <w:t xml:space="preserve"> </w:t>
      </w:r>
      <w:r>
        <w:rPr>
          <w:spacing w:val="-9"/>
        </w:rPr>
        <w:t>：</w:t>
      </w:r>
      <w:r>
        <w:rPr>
          <w:spacing w:val="3"/>
        </w:rPr>
        <w:t>反映除上述项目以外其他财政事务方面</w:t>
      </w:r>
      <w:r>
        <w:rPr>
          <w:spacing w:val="-10"/>
        </w:rPr>
        <w:t>的支出。</w:t>
      </w:r>
    </w:p>
    <w:p>
      <w:pPr>
        <w:pStyle w:val="2"/>
        <w:spacing w:before="215" w:line="357" w:lineRule="auto"/>
        <w:ind w:left="34" w:right="137" w:firstLine="644"/>
      </w:pPr>
      <w:r>
        <w:rPr>
          <w:spacing w:val="-1"/>
        </w:rPr>
        <w:t>（六）社会保障和就业支出（类）</w:t>
      </w:r>
      <w:r>
        <w:rPr>
          <w:spacing w:val="64"/>
        </w:rPr>
        <w:t xml:space="preserve"> </w:t>
      </w:r>
      <w:r>
        <w:rPr>
          <w:spacing w:val="-1"/>
        </w:rPr>
        <w:t>行政事业单位养老支</w:t>
      </w:r>
      <w:r>
        <w:t xml:space="preserve"> </w:t>
      </w:r>
      <w:r>
        <w:rPr>
          <w:spacing w:val="-7"/>
        </w:rPr>
        <w:t>出（款）</w:t>
      </w:r>
      <w:r>
        <w:rPr>
          <w:spacing w:val="44"/>
        </w:rPr>
        <w:t xml:space="preserve"> </w:t>
      </w:r>
      <w:r>
        <w:rPr>
          <w:spacing w:val="-7"/>
        </w:rPr>
        <w:t>机关事业单位基本养老保险缴费支出（项</w:t>
      </w:r>
      <w:r>
        <w:rPr>
          <w:spacing w:val="-1"/>
        </w:rPr>
        <w:t>）</w:t>
      </w:r>
      <w:r>
        <w:rPr>
          <w:spacing w:val="18"/>
        </w:rPr>
        <w:t xml:space="preserve"> </w:t>
      </w:r>
      <w:r>
        <w:rPr>
          <w:spacing w:val="-1"/>
        </w:rPr>
        <w:t>：</w:t>
      </w:r>
      <w:r>
        <w:rPr>
          <w:spacing w:val="-7"/>
        </w:rPr>
        <w:t>反映</w:t>
      </w:r>
      <w:r>
        <w:t xml:space="preserve"> </w:t>
      </w:r>
      <w:r>
        <w:rPr>
          <w:spacing w:val="21"/>
        </w:rPr>
        <w:t>机关事业单位实施养老保险制度由单位缴纳的基本养老保</w:t>
      </w:r>
      <w:r>
        <w:rPr>
          <w:spacing w:val="-6"/>
        </w:rPr>
        <w:t>险费支出。</w:t>
      </w:r>
    </w:p>
    <w:p>
      <w:pPr>
        <w:spacing w:before="213" w:line="232" w:lineRule="auto"/>
        <w:ind w:left="660"/>
        <w:outlineLvl w:val="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0"/>
          <w:sz w:val="31"/>
          <w:szCs w:val="31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三、相关专业名词</w:t>
      </w:r>
    </w:p>
    <w:p>
      <w:pPr>
        <w:pStyle w:val="2"/>
        <w:spacing w:before="214" w:line="357" w:lineRule="auto"/>
        <w:ind w:left="35" w:right="133" w:firstLine="643"/>
        <w:jc w:val="both"/>
      </w:pPr>
      <w:r>
        <w:rPr>
          <w:spacing w:val="-2"/>
        </w:rPr>
        <w:t>（一）机关运行费：</w:t>
      </w:r>
      <w:r>
        <w:rPr>
          <w:spacing w:val="91"/>
        </w:rPr>
        <w:t xml:space="preserve"> </w:t>
      </w:r>
      <w:r>
        <w:rPr>
          <w:spacing w:val="-2"/>
        </w:rPr>
        <w:t>指用一般公共预算财政拨</w:t>
      </w:r>
      <w:r>
        <w:rPr>
          <w:spacing w:val="-3"/>
        </w:rPr>
        <w:t>款安排的</w:t>
      </w:r>
      <w:r>
        <w:t xml:space="preserve"> </w:t>
      </w:r>
      <w:r>
        <w:rPr>
          <w:spacing w:val="8"/>
        </w:rPr>
        <w:t>为保障行政单位（含参照公务员法管理的事业单位）运行用</w:t>
      </w:r>
      <w:r>
        <w:rPr>
          <w:spacing w:val="13"/>
        </w:rPr>
        <w:t xml:space="preserve"> </w:t>
      </w:r>
      <w:r>
        <w:rPr>
          <w:spacing w:val="8"/>
        </w:rPr>
        <w:t>于购买货物和服务的各项资金，包括办公费、印刷费、邮电</w:t>
      </w:r>
      <w:r>
        <w:rPr>
          <w:spacing w:val="13"/>
        </w:rPr>
        <w:t xml:space="preserve"> </w:t>
      </w:r>
      <w:r>
        <w:rPr>
          <w:spacing w:val="8"/>
        </w:rPr>
        <w:t>费、差旅费、会议费、福利费、日常维修费、专用材料及一</w:t>
      </w:r>
      <w:r>
        <w:rPr>
          <w:spacing w:val="14"/>
        </w:rPr>
        <w:t xml:space="preserve"> </w:t>
      </w:r>
      <w:r>
        <w:rPr>
          <w:spacing w:val="8"/>
        </w:rPr>
        <w:t>般设备购置费、办公用房水电费、办公用房取暖费、办公用</w:t>
      </w:r>
      <w:r>
        <w:rPr>
          <w:spacing w:val="6"/>
        </w:rPr>
        <w:t>房物业管理费、公务用车运行维护费以及其他费用。</w:t>
      </w:r>
    </w:p>
    <w:p>
      <w:pPr>
        <w:pStyle w:val="2"/>
        <w:spacing w:before="221" w:line="600" w:lineRule="exact"/>
        <w:jc w:val="right"/>
      </w:pPr>
      <w:r>
        <w:rPr>
          <w:spacing w:val="-11"/>
          <w:position w:val="21"/>
        </w:rPr>
        <w:t>（二）“三公”经费：指用财政拨款安排的因公出国（</w:t>
      </w:r>
      <w:r>
        <w:rPr>
          <w:spacing w:val="-12"/>
          <w:position w:val="21"/>
        </w:rPr>
        <w:t>境）</w:t>
      </w:r>
    </w:p>
    <w:p>
      <w:pPr>
        <w:pStyle w:val="2"/>
        <w:spacing w:before="1" w:line="225" w:lineRule="auto"/>
        <w:ind w:left="44"/>
      </w:pPr>
      <w:r>
        <w:rPr>
          <w:spacing w:val="3"/>
        </w:rPr>
        <w:t>费、公务用车购置及运行维护费和公务接待</w:t>
      </w:r>
      <w:r>
        <w:rPr>
          <w:spacing w:val="2"/>
        </w:rPr>
        <w:t>费。其中， 因公</w:t>
      </w:r>
    </w:p>
    <w:p>
      <w:pPr>
        <w:pStyle w:val="2"/>
        <w:tabs>
          <w:tab w:val="left" w:pos="8609"/>
        </w:tabs>
        <w:spacing w:before="216" w:line="357" w:lineRule="auto"/>
        <w:ind w:left="39" w:firstLine="27"/>
        <w:jc w:val="both"/>
      </w:pPr>
      <w:r>
        <w:rPr>
          <w:spacing w:val="-7"/>
        </w:rPr>
        <w:t>出国（境） 费反映单位公务出国（境）</w:t>
      </w:r>
      <w:r>
        <w:rPr>
          <w:spacing w:val="68"/>
        </w:rPr>
        <w:t xml:space="preserve"> </w:t>
      </w:r>
      <w:r>
        <w:rPr>
          <w:spacing w:val="-7"/>
        </w:rPr>
        <w:t>的国际旅费、国外城</w:t>
      </w:r>
      <w:r>
        <w:t xml:space="preserve">   </w:t>
      </w:r>
      <w:r>
        <w:rPr>
          <w:spacing w:val="7"/>
        </w:rPr>
        <w:t>市间交通费、住宿费、伙食费、培训费、公杂费等支出；公</w:t>
      </w:r>
      <w:r>
        <w:rPr>
          <w:spacing w:val="19"/>
        </w:rPr>
        <w:t xml:space="preserve">务用车购置及运行维护费反映单位公务用车车辆购置支出  </w:t>
      </w:r>
      <w:r>
        <w:rPr>
          <w:spacing w:val="-4"/>
        </w:rPr>
        <w:t>（含车辆购置税、牌照费</w:t>
      </w:r>
      <w:r>
        <w:rPr>
          <w:spacing w:val="-6"/>
        </w:rPr>
        <w:t>）</w:t>
      </w:r>
      <w:r>
        <w:rPr>
          <w:spacing w:val="-31"/>
        </w:rPr>
        <w:t xml:space="preserve"> </w:t>
      </w:r>
      <w:r>
        <w:rPr>
          <w:spacing w:val="-6"/>
        </w:rPr>
        <w:t>，</w:t>
      </w:r>
      <w:r>
        <w:rPr>
          <w:spacing w:val="-4"/>
        </w:rPr>
        <w:t>按规定保留的公务用车燃料费、</w:t>
      </w:r>
      <w:r>
        <w:t xml:space="preserve">  </w:t>
      </w:r>
      <w:r>
        <w:rPr>
          <w:spacing w:val="13"/>
        </w:rPr>
        <w:t xml:space="preserve">维修费、过桥过路费、保险费、安全奖励费 用等支出；公  </w:t>
      </w:r>
      <w:r>
        <w:rPr>
          <w:spacing w:val="7"/>
        </w:rPr>
        <w:t>务接待费反映单位按规定开支的各类公务接待（含外宾接待）</w:t>
      </w:r>
      <w:r>
        <w:rPr>
          <w:spacing w:val="-9"/>
        </w:rPr>
        <w:t>支出。</w:t>
      </w:r>
    </w:p>
    <w:p>
      <w:pPr>
        <w:pStyle w:val="2"/>
        <w:spacing w:before="216" w:line="357" w:lineRule="auto"/>
        <w:ind w:left="33" w:right="290" w:firstLine="645"/>
        <w:jc w:val="both"/>
      </w:pPr>
      <w:r>
        <w:rPr>
          <w:spacing w:val="5"/>
        </w:rPr>
        <w:t>（三）</w:t>
      </w:r>
      <w:r>
        <w:rPr>
          <w:spacing w:val="-76"/>
        </w:rPr>
        <w:t xml:space="preserve"> </w:t>
      </w:r>
      <w:r>
        <w:rPr>
          <w:spacing w:val="5"/>
        </w:rPr>
        <w:t>会计专业技术资格考试：为科学、客观、公正地</w:t>
      </w:r>
      <w:r>
        <w:t xml:space="preserve"> </w:t>
      </w:r>
      <w:r>
        <w:rPr>
          <w:spacing w:val="8"/>
        </w:rPr>
        <w:t>评价会计专业人员的学识水平和业务能力，完善会计专业技</w:t>
      </w:r>
      <w:r>
        <w:rPr>
          <w:spacing w:val="16"/>
        </w:rPr>
        <w:t xml:space="preserve"> </w:t>
      </w:r>
      <w:r>
        <w:rPr>
          <w:spacing w:val="8"/>
        </w:rPr>
        <w:t>术人才选拔机制，根据《中华人民共和国会计法》等有关法</w:t>
      </w:r>
      <w:r>
        <w:rPr>
          <w:spacing w:val="15"/>
        </w:rPr>
        <w:t xml:space="preserve"> </w:t>
      </w:r>
      <w:r>
        <w:rPr>
          <w:spacing w:val="1"/>
        </w:rPr>
        <w:t>规要求，</w:t>
      </w:r>
      <w:r>
        <w:rPr>
          <w:spacing w:val="44"/>
        </w:rPr>
        <w:t xml:space="preserve"> </w:t>
      </w:r>
      <w:r>
        <w:rPr>
          <w:spacing w:val="1"/>
        </w:rPr>
        <w:t>会计专业技术资格实行全国统一组织、统一考试时</w:t>
      </w:r>
      <w:r>
        <w:t xml:space="preserve"> </w:t>
      </w:r>
      <w:r>
        <w:rPr>
          <w:spacing w:val="8"/>
        </w:rPr>
        <w:t>间、统一考试大纲、统一考试命题、统一合格标准的考试制</w:t>
      </w:r>
      <w:r>
        <w:rPr>
          <w:spacing w:val="-13"/>
        </w:rPr>
        <w:t>度。</w:t>
      </w:r>
    </w:p>
    <w:p>
      <w:pPr>
        <w:pStyle w:val="2"/>
        <w:spacing w:before="230" w:line="372" w:lineRule="auto"/>
        <w:ind w:right="12"/>
        <w:jc w:val="both"/>
        <w:rPr>
          <w:rFonts w:hint="eastAsia"/>
          <w:spacing w:val="2"/>
          <w:lang w:eastAsia="zh-CN"/>
        </w:rPr>
        <w:sectPr>
          <w:pgSz w:w="11905" w:h="16840"/>
          <w:pgMar w:top="1431" w:right="1785" w:bottom="0" w:left="1785" w:header="0" w:footer="0" w:gutter="0"/>
          <w:cols w:space="720" w:num="1"/>
        </w:sectPr>
      </w:pPr>
    </w:p>
    <w:p>
      <w:pPr>
        <w:pStyle w:val="2"/>
        <w:spacing w:line="229" w:lineRule="auto"/>
      </w:pPr>
    </w:p>
    <w:sectPr>
      <w:pgSz w:w="11905" w:h="16840"/>
      <w:pgMar w:top="1431" w:right="150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671ECA"/>
    <w:multiLevelType w:val="singleLevel"/>
    <w:tmpl w:val="24671E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JiMGIyOTYwNTRlYmQxN2EwZTJlNjYyMzc0NzBiNjQifQ=="/>
  </w:docVars>
  <w:rsids>
    <w:rsidRoot w:val="00000000"/>
    <w:rsid w:val="1E801CA8"/>
    <w:rsid w:val="1EA567A6"/>
    <w:rsid w:val="483401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Normal (Web)"/>
    <w:basedOn w:val="1"/>
    <w:autoRedefine/>
    <w:qFormat/>
    <w:uiPriority w:val="0"/>
    <w:rPr>
      <w:sz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emf"/><Relationship Id="rId18" Type="http://schemas.openxmlformats.org/officeDocument/2006/relationships/oleObject" Target="embeddings/oleObject7.bin"/><Relationship Id="rId17" Type="http://schemas.openxmlformats.org/officeDocument/2006/relationships/image" Target="media/image6.emf"/><Relationship Id="rId16" Type="http://schemas.openxmlformats.org/officeDocument/2006/relationships/oleObject" Target="embeddings/oleObject6.bin"/><Relationship Id="rId15" Type="http://schemas.openxmlformats.org/officeDocument/2006/relationships/image" Target="media/image5.emf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2024-02-06T11:06:00Z</dcterms:created>
  <dc:creator>&lt;BEC9C8CBB2BBB8B2&gt;</dc:creator>
  <cp:lastModifiedBy>Yu.</cp:lastModifiedBy>
  <dcterms:modified xsi:type="dcterms:W3CDTF">2024-03-08T07:10:28Z</dcterms:modified>
  <dc:title>&lt;A1BE33363030A1BFB9ABBFAACBB5C3F7A3A8B2BFC3C5A3A9313137BDADCEF7CAA1B2C6D5FECCFC2E646F6378&gt;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2024-02-26T10:49:18Z</vt:filetime>
  </property>
  <property fmtid="{D5CDD505-2E9C-101B-9397-08002B2CF9AE}" pid="4" name="KSOProductBuildVer">
    <vt:lpwstr>2052-12.1.0.16399</vt:lpwstr>
  </property>
  <property fmtid="{D5CDD505-2E9C-101B-9397-08002B2CF9AE}" pid="5" name="ICV">
    <vt:lpwstr>03017A48A007483A80A10B238F425FD7_13</vt:lpwstr>
  </property>
</Properties>
</file>