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9" w:line="226" w:lineRule="auto"/>
        <w:ind w:left="3122" w:leftChars="641" w:hanging="1776" w:hangingChars="400"/>
        <w:outlineLvl w:val="0"/>
        <w:rPr>
          <w:rFonts w:ascii="黑体" w:hAnsi="黑体" w:eastAsia="黑体" w:cs="黑体"/>
          <w:sz w:val="43"/>
          <w:szCs w:val="43"/>
        </w:rPr>
      </w:pPr>
      <w:r>
        <w:rPr>
          <w:rFonts w:hint="eastAsia" w:ascii="黑体" w:hAnsi="黑体" w:eastAsia="黑体" w:cs="黑体"/>
          <w:spacing w:val="7"/>
          <w:sz w:val="43"/>
          <w:szCs w:val="43"/>
          <w:lang w:eastAsia="zh-CN"/>
          <w14:textOutline w14:w="5587" w14:cap="flat" w14:cmpd="sng">
            <w14:solidFill>
              <w14:srgbClr w14:val="000000"/>
            </w14:solidFill>
            <w14:prstDash w14:val="solid"/>
            <w14:miter w14:val="0"/>
          </w14:textOutline>
        </w:rPr>
        <w:t>景德镇市珠山区文联</w:t>
      </w:r>
      <w:r>
        <w:rPr>
          <w:rFonts w:ascii="黑体" w:hAnsi="黑体" w:eastAsia="黑体" w:cs="黑体"/>
          <w:spacing w:val="7"/>
          <w:sz w:val="43"/>
          <w:szCs w:val="43"/>
          <w14:textOutline w14:w="5587" w14:cap="flat" w14:cmpd="sng">
            <w14:solidFill>
              <w14:srgbClr w14:val="000000"/>
            </w14:solidFill>
            <w14:prstDash w14:val="solid"/>
            <w14:miter w14:val="0"/>
          </w14:textOutline>
        </w:rPr>
        <w:t>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w:t>
      </w:r>
      <w:r>
        <w:rPr>
          <w:rFonts w:hint="eastAsia" w:ascii="黑体" w:hAnsi="黑体" w:eastAsia="黑体" w:cs="黑体"/>
          <w:spacing w:val="7"/>
          <w:sz w:val="43"/>
          <w:szCs w:val="43"/>
          <w:lang w:val="en-US" w:eastAsia="zh-CN"/>
          <w14:textOutline w14:w="5587" w14:cap="flat" w14:cmpd="sng">
            <w14:solidFill>
              <w14:srgbClr w14:val="000000"/>
            </w14:solidFill>
            <w14:prstDash w14:val="solid"/>
            <w14:miter w14:val="0"/>
          </w14:textOutline>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部门预算</w:t>
      </w:r>
    </w:p>
    <w:p>
      <w:pPr>
        <w:spacing w:line="338" w:lineRule="auto"/>
        <w:rPr>
          <w:rFonts w:ascii="Arial"/>
          <w:sz w:val="21"/>
        </w:rPr>
      </w:pPr>
    </w:p>
    <w:p>
      <w:pPr>
        <w:spacing w:line="339" w:lineRule="auto"/>
        <w:rPr>
          <w:rFonts w:ascii="Arial"/>
          <w:sz w:val="21"/>
        </w:rPr>
      </w:pPr>
    </w:p>
    <w:p>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pPr>
        <w:spacing w:line="450" w:lineRule="auto"/>
        <w:rPr>
          <w:rFonts w:ascii="Arial"/>
          <w:sz w:val="21"/>
        </w:rPr>
      </w:pPr>
    </w:p>
    <w:p>
      <w:pPr>
        <w:pStyle w:val="8"/>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文联</w:t>
      </w:r>
      <w:r>
        <w:rPr>
          <w:spacing w:val="7"/>
          <w14:textOutline w14:w="4064" w14:cap="flat" w14:cmpd="sng">
            <w14:solidFill>
              <w14:srgbClr w14:val="000000"/>
            </w14:solidFill>
            <w14:prstDash w14:val="solid"/>
            <w14:miter w14:val="0"/>
          </w14:textOutline>
        </w:rPr>
        <w:t>概况</w:t>
      </w:r>
    </w:p>
    <w:p>
      <w:pPr>
        <w:pStyle w:val="8"/>
        <w:spacing w:before="239" w:line="228" w:lineRule="auto"/>
        <w:ind w:left="1319"/>
      </w:pPr>
      <w:r>
        <w:rPr>
          <w:spacing w:val="2"/>
        </w:rPr>
        <w:t>一、部门主要职责</w:t>
      </w:r>
    </w:p>
    <w:p>
      <w:pPr>
        <w:pStyle w:val="8"/>
        <w:spacing w:before="242" w:line="228" w:lineRule="auto"/>
        <w:ind w:left="1324"/>
      </w:pPr>
      <w:r>
        <w:rPr>
          <w:spacing w:val="6"/>
        </w:rPr>
        <w:t>二、机构设置及人员情况</w:t>
      </w:r>
    </w:p>
    <w:p>
      <w:pPr>
        <w:pStyle w:val="8"/>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6"/>
          <w:lang w:eastAsia="zh-CN"/>
          <w14:textOutline w14:w="4064" w14:cap="flat" w14:cmpd="sng">
            <w14:solidFill>
              <w14:srgbClr w14:val="000000"/>
            </w14:solidFill>
            <w14:prstDash w14:val="solid"/>
            <w14:miter w14:val="0"/>
          </w14:textOutline>
        </w:rPr>
        <w:t>文联</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pPr>
        <w:pStyle w:val="8"/>
        <w:spacing w:before="242" w:line="624" w:lineRule="exact"/>
        <w:ind w:left="1319"/>
      </w:pPr>
      <w:r>
        <w:rPr>
          <w:spacing w:val="5"/>
          <w:position w:val="22"/>
        </w:rPr>
        <w:t>一、《收支预算总表》</w:t>
      </w:r>
    </w:p>
    <w:p>
      <w:pPr>
        <w:pStyle w:val="8"/>
        <w:spacing w:before="1" w:line="227" w:lineRule="auto"/>
        <w:ind w:left="1324"/>
      </w:pPr>
      <w:r>
        <w:rPr>
          <w:spacing w:val="4"/>
        </w:rPr>
        <w:t>二、《部门收入总表》</w:t>
      </w:r>
    </w:p>
    <w:p>
      <w:pPr>
        <w:pStyle w:val="8"/>
        <w:spacing w:before="241" w:line="228" w:lineRule="auto"/>
        <w:ind w:left="1323"/>
      </w:pPr>
      <w:r>
        <w:rPr>
          <w:spacing w:val="4"/>
        </w:rPr>
        <w:t>三、《部门支出总表》</w:t>
      </w:r>
    </w:p>
    <w:p>
      <w:pPr>
        <w:pStyle w:val="8"/>
        <w:spacing w:before="242" w:line="229" w:lineRule="auto"/>
        <w:ind w:left="1352"/>
      </w:pPr>
      <w:r>
        <w:rPr>
          <w:spacing w:val="3"/>
        </w:rPr>
        <w:t>四、《财政拨款收支总表》</w:t>
      </w:r>
    </w:p>
    <w:p>
      <w:pPr>
        <w:pStyle w:val="8"/>
        <w:spacing w:before="239" w:line="228" w:lineRule="auto"/>
        <w:ind w:left="1319"/>
      </w:pPr>
      <w:r>
        <w:rPr>
          <w:spacing w:val="6"/>
        </w:rPr>
        <w:t>五、《一般公共预算支出表》</w:t>
      </w:r>
    </w:p>
    <w:p>
      <w:pPr>
        <w:pStyle w:val="8"/>
        <w:spacing w:before="241" w:line="228" w:lineRule="auto"/>
        <w:ind w:left="1317"/>
      </w:pPr>
      <w:r>
        <w:rPr>
          <w:spacing w:val="6"/>
        </w:rPr>
        <w:t>六、《一般公共预算基本支出表》</w:t>
      </w:r>
    </w:p>
    <w:p>
      <w:pPr>
        <w:pStyle w:val="8"/>
        <w:spacing w:before="242" w:line="229" w:lineRule="auto"/>
        <w:ind w:left="1321"/>
      </w:pPr>
      <w:r>
        <w:rPr>
          <w:spacing w:val="7"/>
        </w:rPr>
        <w:t>七、《财政拨款“三公”经费支出表》</w:t>
      </w:r>
    </w:p>
    <w:p>
      <w:pPr>
        <w:pStyle w:val="8"/>
        <w:spacing w:before="239" w:line="226" w:lineRule="auto"/>
        <w:ind w:left="1313"/>
      </w:pPr>
      <w:r>
        <w:rPr>
          <w:spacing w:val="6"/>
        </w:rPr>
        <w:t>八、《政府性基金预算支出表》</w:t>
      </w:r>
    </w:p>
    <w:p>
      <w:pPr>
        <w:pStyle w:val="8"/>
        <w:spacing w:before="244" w:line="624" w:lineRule="exact"/>
        <w:ind w:left="1326"/>
      </w:pPr>
      <w:r>
        <w:rPr>
          <w:spacing w:val="7"/>
          <w:position w:val="22"/>
        </w:rPr>
        <w:t>九、《国有资本经营预算支出表》</w:t>
      </w:r>
    </w:p>
    <w:p>
      <w:pPr>
        <w:pStyle w:val="8"/>
        <w:spacing w:before="2" w:line="227" w:lineRule="auto"/>
        <w:ind w:left="1323"/>
      </w:pPr>
      <w:r>
        <w:rPr>
          <w:spacing w:val="7"/>
        </w:rPr>
        <w:t>十、《部门整体支出绩效目标表》</w:t>
      </w:r>
    </w:p>
    <w:p>
      <w:pPr>
        <w:pStyle w:val="8"/>
        <w:spacing w:before="242" w:line="228" w:lineRule="auto"/>
        <w:ind w:left="1323"/>
      </w:pPr>
      <w:r>
        <w:rPr>
          <w:spacing w:val="6"/>
        </w:rPr>
        <w:t>十一、《项目支出绩效目标表》</w:t>
      </w:r>
    </w:p>
    <w:p>
      <w:pPr>
        <w:pStyle w:val="8"/>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文联</w:t>
      </w:r>
      <w:r>
        <w:rPr>
          <w:spacing w:val="7"/>
        </w:rPr>
        <w:t xml:space="preserve"> </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pPr>
        <w:pStyle w:val="8"/>
        <w:spacing w:before="241" w:line="228" w:lineRule="auto"/>
        <w:ind w:left="1319"/>
      </w:pPr>
      <w:r>
        <w:rPr>
          <w:spacing w:val="2"/>
        </w:rPr>
        <w:t>一、2024</w:t>
      </w:r>
      <w:r>
        <w:rPr>
          <w:spacing w:val="-33"/>
        </w:rPr>
        <w:t xml:space="preserve"> </w:t>
      </w:r>
      <w:r>
        <w:rPr>
          <w:spacing w:val="2"/>
        </w:rPr>
        <w:t>年部门预算收支情况说明</w:t>
      </w:r>
    </w:p>
    <w:p>
      <w:pPr>
        <w:pStyle w:val="8"/>
        <w:spacing w:before="241" w:line="228" w:lineRule="auto"/>
        <w:ind w:left="1324"/>
      </w:pPr>
      <w:r>
        <w:rPr>
          <w:spacing w:val="5"/>
        </w:rPr>
        <w:t>二、2024</w:t>
      </w:r>
      <w:r>
        <w:rPr>
          <w:spacing w:val="-35"/>
        </w:rPr>
        <w:t xml:space="preserve"> </w:t>
      </w:r>
      <w:r>
        <w:rPr>
          <w:spacing w:val="5"/>
        </w:rPr>
        <w:t>年“三公”经费预算情况说明</w:t>
      </w:r>
    </w:p>
    <w:p>
      <w:pPr>
        <w:spacing w:line="228" w:lineRule="auto"/>
        <w:sectPr>
          <w:pgSz w:w="11905" w:h="16840"/>
          <w:pgMar w:top="1431" w:right="1785" w:bottom="0" w:left="1785" w:header="0" w:footer="0" w:gutter="0"/>
          <w:cols w:space="720" w:num="1"/>
        </w:sectPr>
      </w:pPr>
    </w:p>
    <w:p>
      <w:pPr>
        <w:pStyle w:val="8"/>
        <w:spacing w:before="161" w:line="228" w:lineRule="auto"/>
        <w:ind w:left="687"/>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101" w:line="228" w:lineRule="auto"/>
        <w:ind w:left="2113"/>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文联</w:t>
      </w:r>
      <w:r>
        <w:rPr>
          <w:spacing w:val="7"/>
          <w14:textOutline w14:w="4064" w14:cap="flat" w14:cmpd="sng">
            <w14:solidFill>
              <w14:srgbClr w14:val="000000"/>
            </w14:solidFill>
            <w14:prstDash w14:val="solid"/>
            <w14:miter w14:val="0"/>
          </w14:textOutline>
        </w:rPr>
        <w:t>概况</w:t>
      </w:r>
    </w:p>
    <w:p>
      <w:pPr>
        <w:spacing w:line="335" w:lineRule="auto"/>
        <w:rPr>
          <w:rFonts w:ascii="Arial"/>
          <w:sz w:val="21"/>
        </w:rPr>
      </w:pPr>
    </w:p>
    <w:p>
      <w:pPr>
        <w:spacing w:line="336" w:lineRule="auto"/>
        <w:rPr>
          <w:rFonts w:ascii="Arial"/>
          <w:sz w:val="21"/>
        </w:rPr>
      </w:pPr>
    </w:p>
    <w:p>
      <w:pPr>
        <w:spacing w:before="101" w:line="231" w:lineRule="auto"/>
        <w:ind w:left="30"/>
        <w:outlineLvl w:val="0"/>
        <w:rPr>
          <w:rFonts w:ascii="楷体" w:hAnsi="楷体" w:eastAsia="楷体" w:cs="楷体"/>
          <w:sz w:val="31"/>
          <w:szCs w:val="31"/>
        </w:rPr>
      </w:pPr>
      <w:r>
        <w:rPr>
          <w:rFonts w:ascii="楷体" w:hAnsi="楷体" w:eastAsia="楷体" w:cs="楷体"/>
          <w:spacing w:val="7"/>
          <w:sz w:val="31"/>
          <w:szCs w:val="31"/>
          <w14:textOutline w14:w="4064" w14:cap="flat" w14:cmpd="sng">
            <w14:solidFill>
              <w14:srgbClr w14:val="000000"/>
            </w14:solidFill>
            <w14:prstDash w14:val="solid"/>
            <w14:miter w14:val="0"/>
          </w14:textOutline>
        </w:rPr>
        <w:t>一、部门主要职责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08" w:firstLineChars="200"/>
        <w:jc w:val="both"/>
        <w:textAlignment w:val="auto"/>
        <w:rPr>
          <w:rFonts w:hint="default"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（一）</w:t>
      </w:r>
      <w:r>
        <w:rPr>
          <w:rFonts w:hint="default" w:ascii="仿宋" w:hAnsi="仿宋" w:eastAsia="仿宋" w:cs="仿宋"/>
          <w:snapToGrid w:val="0"/>
          <w:color w:val="000000"/>
          <w:spacing w:val="-3"/>
          <w:kern w:val="0"/>
          <w:sz w:val="31"/>
          <w:szCs w:val="31"/>
          <w:lang w:val="en-US" w:eastAsia="zh-CN" w:bidi="ar-SA"/>
        </w:rPr>
        <w:t>团结带领文艺工作者贯彻执行党的文学方针、政策，组织文艺工作者不断学习，深入实践，提高理论修养、文化修养和品德修养；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08" w:firstLineChars="200"/>
        <w:jc w:val="both"/>
        <w:textAlignment w:val="auto"/>
        <w:rPr>
          <w:rFonts w:hint="default"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（二）</w:t>
      </w:r>
      <w:r>
        <w:rPr>
          <w:rFonts w:hint="default" w:ascii="仿宋" w:hAnsi="仿宋" w:eastAsia="仿宋" w:cs="仿宋"/>
          <w:snapToGrid w:val="0"/>
          <w:color w:val="000000"/>
          <w:spacing w:val="-3"/>
          <w:kern w:val="0"/>
          <w:sz w:val="31"/>
          <w:szCs w:val="31"/>
          <w:lang w:val="en-US" w:eastAsia="zh-CN" w:bidi="ar-SA"/>
        </w:rPr>
        <w:t>对所属协会进行组织、联络、协调、指导、服务，听取和反映文艺界的意见和建议；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08" w:firstLineChars="200"/>
        <w:jc w:val="both"/>
        <w:textAlignment w:val="auto"/>
        <w:rPr>
          <w:rFonts w:hint="default"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（三）</w:t>
      </w:r>
      <w:r>
        <w:rPr>
          <w:rFonts w:hint="default" w:ascii="仿宋" w:hAnsi="仿宋" w:eastAsia="仿宋" w:cs="仿宋"/>
          <w:snapToGrid w:val="0"/>
          <w:color w:val="000000"/>
          <w:spacing w:val="-3"/>
          <w:kern w:val="0"/>
          <w:sz w:val="31"/>
          <w:szCs w:val="31"/>
          <w:lang w:val="en-US" w:eastAsia="zh-CN" w:bidi="ar-SA"/>
        </w:rPr>
        <w:t>组织文艺创作和文艺评奖，参与办刊，采取多种形式，开展健康向上的文艺活动，培养文艺人才，壮大文艺队伍；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08" w:firstLineChars="200"/>
        <w:jc w:val="both"/>
        <w:textAlignment w:val="auto"/>
        <w:rPr>
          <w:rFonts w:hint="default"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（四）</w:t>
      </w:r>
      <w:r>
        <w:rPr>
          <w:rFonts w:hint="default" w:ascii="仿宋" w:hAnsi="仿宋" w:eastAsia="仿宋" w:cs="仿宋"/>
          <w:snapToGrid w:val="0"/>
          <w:color w:val="000000"/>
          <w:spacing w:val="-3"/>
          <w:kern w:val="0"/>
          <w:sz w:val="31"/>
          <w:szCs w:val="31"/>
          <w:lang w:val="en-US" w:eastAsia="zh-CN" w:bidi="ar-SA"/>
        </w:rPr>
        <w:t>搭建文化产业平台，负责文化产业总体规划，公平营销文化产品；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08" w:firstLineChars="200"/>
        <w:jc w:val="both"/>
        <w:textAlignment w:val="auto"/>
        <w:rPr>
          <w:rFonts w:hint="default"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（五）</w:t>
      </w:r>
      <w:r>
        <w:rPr>
          <w:rFonts w:hint="default" w:ascii="仿宋" w:hAnsi="仿宋" w:eastAsia="仿宋" w:cs="仿宋"/>
          <w:snapToGrid w:val="0"/>
          <w:color w:val="000000"/>
          <w:spacing w:val="-3"/>
          <w:kern w:val="0"/>
          <w:sz w:val="31"/>
          <w:szCs w:val="31"/>
          <w:lang w:val="en-US" w:eastAsia="zh-CN" w:bidi="ar-SA"/>
        </w:rPr>
        <w:t>接受上级文联指导，广泛开展文艺艺术交流活动，增进文艺界的友谊与合作；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08" w:firstLineChars="200"/>
        <w:jc w:val="both"/>
        <w:textAlignment w:val="auto"/>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（六）</w:t>
      </w:r>
      <w:r>
        <w:rPr>
          <w:rFonts w:hint="default" w:ascii="仿宋" w:hAnsi="仿宋" w:eastAsia="仿宋" w:cs="仿宋"/>
          <w:snapToGrid w:val="0"/>
          <w:color w:val="000000"/>
          <w:spacing w:val="-3"/>
          <w:kern w:val="0"/>
          <w:sz w:val="31"/>
          <w:szCs w:val="31"/>
          <w:lang w:val="en-US" w:eastAsia="zh-CN" w:bidi="ar-SA"/>
        </w:rPr>
        <w:t>组织召开文联代表大会，文联工作会议，引导文艺工作者依法从事创作、出版，维护文艺工作者的正常利益；</w:t>
      </w:r>
    </w:p>
    <w:p>
      <w:pPr>
        <w:spacing w:before="277" w:line="227" w:lineRule="auto"/>
        <w:ind w:left="30"/>
        <w:outlineLvl w:val="0"/>
        <w:rPr>
          <w:rFonts w:ascii="楷体" w:hAnsi="楷体" w:eastAsia="楷体" w:cs="楷体"/>
          <w:sz w:val="32"/>
          <w:szCs w:val="32"/>
        </w:rPr>
      </w:pPr>
      <w:r>
        <w:rPr>
          <w:rFonts w:ascii="楷体" w:hAnsi="楷体" w:eastAsia="楷体" w:cs="楷体"/>
          <w:spacing w:val="-2"/>
          <w:sz w:val="32"/>
          <w:szCs w:val="32"/>
          <w14:textOutline w14:w="4064" w14:cap="flat" w14:cmpd="sng">
            <w14:solidFill>
              <w14:srgbClr w14:val="000000"/>
            </w14:solidFill>
            <w14:prstDash w14:val="solid"/>
            <w14:miter w14:val="0"/>
          </w14:textOutline>
        </w:rPr>
        <w:t>二、机构设置及人员情况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08" w:firstLineChars="200"/>
        <w:jc w:val="both"/>
        <w:textAlignment w:val="auto"/>
        <w:rPr>
          <w:rFonts w:hint="default"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本部门共有预算单位1个，即部门本级。</w:t>
      </w:r>
      <w:r>
        <w:rPr>
          <w:rFonts w:hint="default" w:ascii="仿宋" w:hAnsi="仿宋" w:eastAsia="仿宋" w:cs="仿宋"/>
          <w:snapToGrid w:val="0"/>
          <w:color w:val="000000"/>
          <w:spacing w:val="-3"/>
          <w:kern w:val="0"/>
          <w:sz w:val="31"/>
          <w:szCs w:val="31"/>
          <w:lang w:val="en-US" w:eastAsia="zh-CN" w:bidi="ar-SA"/>
        </w:rPr>
        <w:t>人员编制和领导职数区</w:t>
      </w:r>
      <w:r>
        <w:rPr>
          <w:rFonts w:hint="eastAsia" w:ascii="仿宋" w:hAnsi="仿宋" w:eastAsia="仿宋" w:cs="仿宋"/>
          <w:snapToGrid w:val="0"/>
          <w:color w:val="000000"/>
          <w:spacing w:val="-3"/>
          <w:kern w:val="0"/>
          <w:sz w:val="31"/>
          <w:szCs w:val="31"/>
          <w:lang w:val="en-US" w:eastAsia="zh-CN" w:bidi="ar-SA"/>
        </w:rPr>
        <w:t>文</w:t>
      </w:r>
      <w:r>
        <w:rPr>
          <w:rFonts w:hint="default" w:ascii="仿宋" w:hAnsi="仿宋" w:eastAsia="仿宋" w:cs="仿宋"/>
          <w:snapToGrid w:val="0"/>
          <w:color w:val="000000"/>
          <w:spacing w:val="-3"/>
          <w:kern w:val="0"/>
          <w:sz w:val="31"/>
          <w:szCs w:val="31"/>
          <w:lang w:val="en-US" w:eastAsia="zh-CN" w:bidi="ar-SA"/>
        </w:rPr>
        <w:t>联事业编制3名。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08" w:firstLineChars="200"/>
        <w:jc w:val="both"/>
        <w:textAlignment w:val="auto"/>
        <w:rPr>
          <w:rFonts w:hint="default" w:ascii="仿宋" w:hAnsi="仿宋" w:eastAsia="仿宋" w:cs="仿宋"/>
          <w:snapToGrid w:val="0"/>
          <w:color w:val="000000"/>
          <w:spacing w:val="-3"/>
          <w:kern w:val="0"/>
          <w:sz w:val="31"/>
          <w:szCs w:val="31"/>
          <w:lang w:val="en-US" w:eastAsia="zh-CN" w:bidi="ar-SA"/>
        </w:rPr>
      </w:pPr>
      <w:r>
        <w:rPr>
          <w:rFonts w:hint="default" w:ascii="仿宋" w:hAnsi="仿宋" w:eastAsia="仿宋" w:cs="仿宋"/>
          <w:snapToGrid w:val="0"/>
          <w:color w:val="000000"/>
          <w:spacing w:val="-3"/>
          <w:kern w:val="0"/>
          <w:sz w:val="31"/>
          <w:szCs w:val="31"/>
          <w:lang w:val="en-US" w:eastAsia="zh-CN" w:bidi="ar-SA"/>
        </w:rPr>
        <w:t>领导职数:主席1名(正科级)，副主席1名(副科级)。</w:t>
      </w:r>
    </w:p>
    <w:p>
      <w:pPr>
        <w:spacing w:line="249" w:lineRule="auto"/>
        <w:rPr>
          <w:rFonts w:ascii="Arial"/>
          <w:sz w:val="21"/>
        </w:rPr>
      </w:pPr>
    </w:p>
    <w:p>
      <w:pPr>
        <w:spacing w:line="249" w:lineRule="auto"/>
        <w:rPr>
          <w:rFonts w:ascii="Arial"/>
          <w:sz w:val="21"/>
        </w:rPr>
      </w:pPr>
    </w:p>
    <w:p>
      <w:pPr>
        <w:pStyle w:val="8"/>
        <w:spacing w:before="104" w:line="222" w:lineRule="auto"/>
        <w:ind w:left="1064"/>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4"/>
          <w:sz w:val="32"/>
          <w:szCs w:val="32"/>
          <w:lang w:eastAsia="zh-CN"/>
          <w14:textOutline w14:w="4064" w14:cap="flat" w14:cmpd="sng">
            <w14:solidFill>
              <w14:srgbClr w14:val="000000"/>
            </w14:solidFill>
            <w14:prstDash w14:val="solid"/>
            <w14:miter w14:val="0"/>
          </w14:textOutline>
        </w:rPr>
        <w:t>珠山区文联</w:t>
      </w:r>
      <w:r>
        <w:rPr>
          <w:spacing w:val="-59"/>
          <w:sz w:val="32"/>
          <w:szCs w:val="32"/>
        </w:rPr>
        <w:t xml:space="preserve"> </w:t>
      </w:r>
      <w:r>
        <w:rPr>
          <w:spacing w:val="-4"/>
          <w:sz w:val="32"/>
          <w:szCs w:val="32"/>
          <w14:textOutline w14:w="4064" w14:cap="flat" w14:cmpd="sng">
            <w14:solidFill>
              <w14:srgbClr w14:val="000000"/>
            </w14:solidFill>
            <w14:prstDash w14:val="solid"/>
            <w14:miter w14:val="0"/>
          </w14:textOutline>
        </w:rPr>
        <w:t>2024</w:t>
      </w:r>
      <w:r>
        <w:rPr>
          <w:spacing w:val="-52"/>
          <w:sz w:val="32"/>
          <w:szCs w:val="32"/>
        </w:rPr>
        <w:t xml:space="preserve"> </w:t>
      </w:r>
      <w:r>
        <w:rPr>
          <w:spacing w:val="-4"/>
          <w:sz w:val="32"/>
          <w:szCs w:val="32"/>
          <w14:textOutline w14:w="4064" w14:cap="flat" w14:cmpd="sng">
            <w14:solidFill>
              <w14:srgbClr w14:val="000000"/>
            </w14:solidFill>
            <w14:prstDash w14:val="solid"/>
            <w14:miter w14:val="0"/>
          </w14:textOutline>
        </w:rPr>
        <w:t>年部门预算表</w:t>
      </w:r>
    </w:p>
    <w:p>
      <w:pPr>
        <w:spacing w:line="222" w:lineRule="auto"/>
        <w:rPr>
          <w:sz w:val="32"/>
          <w:szCs w:val="32"/>
        </w:rPr>
        <w:sectPr>
          <w:pgSz w:w="11905" w:h="16840"/>
          <w:pgMar w:top="1431" w:right="1774" w:bottom="0" w:left="1785" w:header="0" w:footer="0" w:gutter="0"/>
          <w:cols w:space="720" w:num="1"/>
        </w:sectPr>
      </w:pPr>
    </w:p>
    <w:p>
      <w:pPr>
        <w:spacing w:line="190" w:lineRule="auto"/>
        <w:rPr>
          <w:rFonts w:ascii="宋体" w:hAnsi="宋体" w:eastAsia="宋体" w:cs="宋体"/>
          <w:sz w:val="21"/>
          <w:szCs w:val="21"/>
        </w:rPr>
        <w:sectPr>
          <w:type w:val="continuous"/>
          <w:pgSz w:w="16839" w:h="11907"/>
          <w:pgMar w:top="1012" w:right="1065" w:bottom="0" w:left="1048" w:header="0" w:footer="0" w:gutter="0"/>
          <w:cols w:equalWidth="0" w:num="2">
            <w:col w:w="13529" w:space="100"/>
            <w:col w:w="1096"/>
          </w:cols>
        </w:sectPr>
      </w:pPr>
      <w:r>
        <w:drawing>
          <wp:inline distT="0" distB="0" distL="114300" distR="114300">
            <wp:extent cx="8585200" cy="4136390"/>
            <wp:effectExtent l="0" t="0" r="635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585200" cy="4136390"/>
                    </a:xfrm>
                    <a:prstGeom prst="rect">
                      <a:avLst/>
                    </a:prstGeom>
                    <a:noFill/>
                    <a:ln>
                      <a:noFill/>
                    </a:ln>
                  </pic:spPr>
                </pic:pic>
              </a:graphicData>
            </a:graphic>
          </wp:inline>
        </w:drawing>
      </w:r>
    </w:p>
    <w:p>
      <w:pPr>
        <w:spacing w:line="24" w:lineRule="exact"/>
      </w:pPr>
    </w:p>
    <w:p>
      <w:pPr>
        <w:spacing w:line="14" w:lineRule="auto"/>
        <w:rPr>
          <w:rFonts w:ascii="Arial" w:hAnsi="Arial" w:eastAsia="Arial" w:cs="Arial"/>
          <w:sz w:val="2"/>
          <w:szCs w:val="2"/>
        </w:rPr>
        <w:sectPr>
          <w:type w:val="continuous"/>
          <w:pgSz w:w="16839" w:h="11907"/>
          <w:pgMar w:top="1012" w:right="1065" w:bottom="0" w:left="1048" w:header="0" w:footer="0" w:gutter="0"/>
          <w:cols w:equalWidth="0" w:num="1">
            <w:col w:w="14724"/>
          </w:cols>
        </w:sectPr>
      </w:pPr>
    </w:p>
    <w:p>
      <w:pPr>
        <w:spacing w:before="183" w:line="221" w:lineRule="auto"/>
        <w:ind w:left="6852" w:leftChars="0" w:hanging="6852" w:hangingChars="3263"/>
        <w:sectPr>
          <w:pgSz w:w="16839" w:h="11907"/>
          <w:pgMar w:top="1012" w:right="1008" w:bottom="0" w:left="996" w:header="0" w:footer="0" w:gutter="0"/>
          <w:cols w:equalWidth="0" w:num="1">
            <w:col w:w="14835"/>
          </w:cols>
        </w:sectPr>
      </w:pPr>
    </w:p>
    <w:p>
      <w:pPr>
        <w:spacing w:before="28" w:line="190" w:lineRule="auto"/>
        <w:rPr>
          <w:rFonts w:ascii="宋体" w:hAnsi="宋体" w:eastAsia="宋体" w:cs="宋体"/>
          <w:sz w:val="14"/>
          <w:szCs w:val="14"/>
        </w:rPr>
      </w:pPr>
    </w:p>
    <w:p>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r>
        <w:drawing>
          <wp:inline distT="0" distB="0" distL="114300" distR="114300">
            <wp:extent cx="9406890" cy="3943985"/>
            <wp:effectExtent l="0" t="0" r="381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406890" cy="3943985"/>
                    </a:xfrm>
                    <a:prstGeom prst="rect">
                      <a:avLst/>
                    </a:prstGeom>
                    <a:noFill/>
                    <a:ln>
                      <a:noFill/>
                    </a:ln>
                  </pic:spPr>
                </pic:pic>
              </a:graphicData>
            </a:graphic>
          </wp:inline>
        </w:drawing>
      </w:r>
    </w:p>
    <w:p>
      <w:r>
        <w:drawing>
          <wp:inline distT="0" distB="0" distL="114300" distR="114300">
            <wp:extent cx="9431020" cy="6083300"/>
            <wp:effectExtent l="0" t="0" r="1778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9431020" cy="6083300"/>
                    </a:xfrm>
                    <a:prstGeom prst="rect">
                      <a:avLst/>
                    </a:prstGeom>
                    <a:noFill/>
                    <a:ln>
                      <a:noFill/>
                    </a:ln>
                  </pic:spPr>
                </pic:pic>
              </a:graphicData>
            </a:graphic>
          </wp:inline>
        </w:drawing>
      </w:r>
    </w:p>
    <w:p/>
    <w:p/>
    <w:p/>
    <w:p/>
    <w:p/>
    <w:p/>
    <w:p/>
    <w:p/>
    <w:p/>
    <w:p/>
    <w:p/>
    <w:p>
      <w:pPr>
        <w:rPr>
          <w:rFonts w:ascii="Arial" w:hAnsi="Arial" w:eastAsia="Arial" w:cs="Arial"/>
          <w:sz w:val="21"/>
          <w:szCs w:val="21"/>
        </w:rPr>
        <w:sectPr>
          <w:pgSz w:w="16839" w:h="11907"/>
          <w:pgMar w:top="1012" w:right="998" w:bottom="0" w:left="983" w:header="0" w:footer="0" w:gutter="0"/>
          <w:cols w:space="720" w:num="1"/>
        </w:sectPr>
      </w:pPr>
      <w:r>
        <w:drawing>
          <wp:inline distT="0" distB="0" distL="114300" distR="114300">
            <wp:extent cx="9423400" cy="3710940"/>
            <wp:effectExtent l="0" t="0" r="635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9423400" cy="3710940"/>
                    </a:xfrm>
                    <a:prstGeom prst="rect">
                      <a:avLst/>
                    </a:prstGeom>
                    <a:noFill/>
                    <a:ln>
                      <a:noFill/>
                    </a:ln>
                  </pic:spPr>
                </pic:pic>
              </a:graphicData>
            </a:graphic>
          </wp:inline>
        </w:drawing>
      </w:r>
    </w:p>
    <w:p>
      <w:pPr>
        <w:spacing w:line="14" w:lineRule="auto"/>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sectPr>
          <w:type w:val="continuous"/>
          <w:pgSz w:w="16839" w:h="11907"/>
          <w:pgMar w:top="1012" w:right="1106" w:bottom="0" w:left="1092" w:header="0" w:footer="0" w:gutter="0"/>
          <w:cols w:equalWidth="0" w:num="1">
            <w:col w:w="14640"/>
          </w:cols>
        </w:sectPr>
      </w:pPr>
    </w:p>
    <w:p>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r>
        <w:drawing>
          <wp:inline distT="0" distB="0" distL="114300" distR="114300">
            <wp:extent cx="9578340" cy="6725285"/>
            <wp:effectExtent l="0" t="0" r="3810" b="184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9578340" cy="6725285"/>
                    </a:xfrm>
                    <a:prstGeom prst="rect">
                      <a:avLst/>
                    </a:prstGeom>
                    <a:noFill/>
                    <a:ln>
                      <a:noFill/>
                    </a:ln>
                  </pic:spPr>
                </pic:pic>
              </a:graphicData>
            </a:graphic>
          </wp:inline>
        </w:drawing>
      </w:r>
    </w:p>
    <w:p>
      <w:pPr>
        <w:tabs>
          <w:tab w:val="left" w:pos="640"/>
        </w:tabs>
        <w:spacing w:before="303" w:line="221" w:lineRule="auto"/>
        <w:ind w:left="193" w:leftChars="92" w:firstLine="23" w:firstLineChars="11"/>
        <w:rPr>
          <w:rFonts w:ascii="宋体" w:hAnsi="宋体" w:eastAsia="宋体" w:cs="宋体"/>
          <w:sz w:val="40"/>
          <w:szCs w:val="40"/>
        </w:rPr>
      </w:pPr>
      <w:r>
        <w:drawing>
          <wp:inline distT="0" distB="0" distL="114300" distR="114300">
            <wp:extent cx="9678035" cy="6610985"/>
            <wp:effectExtent l="0" t="0" r="18415" b="184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9678035" cy="6610985"/>
                    </a:xfrm>
                    <a:prstGeom prst="rect">
                      <a:avLst/>
                    </a:prstGeom>
                    <a:noFill/>
                    <a:ln>
                      <a:noFill/>
                    </a:ln>
                  </pic:spPr>
                </pic:pic>
              </a:graphicData>
            </a:graphic>
          </wp:inline>
        </w:drawing>
      </w:r>
    </w:p>
    <w:p>
      <w:pPr>
        <w:spacing w:line="19" w:lineRule="exact"/>
      </w:pPr>
    </w:p>
    <w:p>
      <w:pPr>
        <w:spacing w:line="19" w:lineRule="exact"/>
        <w:sectPr>
          <w:pgSz w:w="16839" w:h="11907"/>
          <w:pgMar w:top="1012" w:right="801" w:bottom="0" w:left="784" w:header="0" w:footer="0" w:gutter="0"/>
          <w:cols w:equalWidth="0" w:num="1">
            <w:col w:w="15252"/>
          </w:cols>
        </w:sectPr>
      </w:pPr>
    </w:p>
    <w:p>
      <w:pPr>
        <w:spacing w:line="14" w:lineRule="auto"/>
        <w:rPr>
          <w:rFonts w:ascii="Arial"/>
          <w:sz w:val="2"/>
        </w:rPr>
      </w:pPr>
      <w:r>
        <w:rPr>
          <w:rFonts w:ascii="Arial" w:hAnsi="Arial" w:eastAsia="Arial" w:cs="Arial"/>
          <w:sz w:val="2"/>
          <w:szCs w:val="2"/>
        </w:rPr>
        <w:br w:type="column"/>
      </w:r>
    </w:p>
    <w:p>
      <w:pPr>
        <w:spacing w:line="14" w:lineRule="auto"/>
        <w:rPr>
          <w:rFonts w:ascii="Arial"/>
          <w:sz w:val="2"/>
        </w:rPr>
      </w:pPr>
    </w:p>
    <w:p>
      <w:pPr>
        <w:spacing w:line="14" w:lineRule="auto"/>
        <w:rPr>
          <w:rFonts w:ascii="Arial"/>
          <w:sz w:val="2"/>
        </w:rPr>
      </w:pPr>
    </w:p>
    <w:p>
      <w:pPr>
        <w:spacing w:line="14" w:lineRule="auto"/>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r>
        <w:drawing>
          <wp:inline distT="0" distB="0" distL="114300" distR="114300">
            <wp:extent cx="9709150" cy="1674495"/>
            <wp:effectExtent l="0" t="0" r="635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9709150" cy="1674495"/>
                    </a:xfrm>
                    <a:prstGeom prst="rect">
                      <a:avLst/>
                    </a:prstGeom>
                    <a:noFill/>
                    <a:ln>
                      <a:noFill/>
                    </a:ln>
                  </pic:spPr>
                </pic:pic>
              </a:graphicData>
            </a:graphic>
          </wp:inline>
        </w:drawing>
      </w: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pPr>
      <w:r>
        <w:drawing>
          <wp:inline distT="0" distB="0" distL="114300" distR="114300">
            <wp:extent cx="9712325" cy="2016125"/>
            <wp:effectExtent l="0" t="0" r="3175" b="317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3"/>
                    <a:stretch>
                      <a:fillRect/>
                    </a:stretch>
                  </pic:blipFill>
                  <pic:spPr>
                    <a:xfrm>
                      <a:off x="0" y="0"/>
                      <a:ext cx="9712325" cy="2016125"/>
                    </a:xfrm>
                    <a:prstGeom prst="rect">
                      <a:avLst/>
                    </a:prstGeom>
                    <a:noFill/>
                    <a:ln>
                      <a:noFill/>
                    </a:ln>
                  </pic:spPr>
                </pic:pic>
              </a:graphicData>
            </a:graphic>
          </wp:inline>
        </w:drawing>
      </w: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bidi w:val="0"/>
      </w:pPr>
    </w:p>
    <w:p>
      <w:pPr>
        <w:pStyle w:val="6"/>
        <w:rPr>
          <w:rFonts w:ascii="Arial" w:hAnsi="Arial" w:eastAsia="Arial" w:cs="Arial"/>
          <w:sz w:val="2"/>
          <w:szCs w:val="2"/>
        </w:rPr>
      </w:pPr>
    </w:p>
    <w:p>
      <w:pPr>
        <w:rPr>
          <w:rFonts w:ascii="Arial" w:hAnsi="Arial" w:eastAsia="Arial" w:cs="Arial"/>
          <w:sz w:val="2"/>
          <w:szCs w:val="2"/>
        </w:rPr>
      </w:pPr>
    </w:p>
    <w:p>
      <w:pPr>
        <w:pStyle w:val="6"/>
        <w:rPr>
          <w:rFonts w:ascii="Arial" w:hAnsi="Arial" w:eastAsia="Arial" w:cs="Arial"/>
          <w:sz w:val="2"/>
          <w:szCs w:val="2"/>
        </w:rPr>
      </w:pPr>
    </w:p>
    <w:p>
      <w:pPr>
        <w:rPr>
          <w:rFonts w:ascii="Arial" w:hAnsi="Arial" w:eastAsia="Arial" w:cs="Arial"/>
          <w:sz w:val="2"/>
          <w:szCs w:val="2"/>
        </w:rPr>
      </w:pPr>
    </w:p>
    <w:p>
      <w:pPr>
        <w:bidi w:val="0"/>
        <w:sectPr>
          <w:type w:val="continuous"/>
          <w:pgSz w:w="16839" w:h="11907"/>
          <w:pgMar w:top="944" w:right="772" w:bottom="0" w:left="758" w:header="0" w:footer="0" w:gutter="0"/>
          <w:cols w:equalWidth="0" w:num="1">
            <w:col w:w="15308"/>
          </w:cols>
        </w:sectPr>
      </w:pPr>
      <w:r>
        <w:drawing>
          <wp:inline distT="0" distB="0" distL="114300" distR="114300">
            <wp:extent cx="9714865" cy="1898015"/>
            <wp:effectExtent l="0" t="0" r="635"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9714865" cy="1898015"/>
                    </a:xfrm>
                    <a:prstGeom prst="rect">
                      <a:avLst/>
                    </a:prstGeom>
                    <a:noFill/>
                    <a:ln>
                      <a:noFill/>
                    </a:ln>
                  </pic:spPr>
                </pic:pic>
              </a:graphicData>
            </a:graphic>
          </wp:inline>
        </w:drawing>
      </w:r>
    </w:p>
    <w:p>
      <w:pPr>
        <w:ind w:left="218" w:leftChars="104" w:firstLine="0" w:firstLineChars="0"/>
        <w:rPr>
          <w:rFonts w:ascii="Arial"/>
          <w:sz w:val="21"/>
        </w:rPr>
      </w:pPr>
      <w:r>
        <w:drawing>
          <wp:inline distT="0" distB="0" distL="114300" distR="114300">
            <wp:extent cx="5809615" cy="6285865"/>
            <wp:effectExtent l="0" t="0" r="63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5809615" cy="6285865"/>
                    </a:xfrm>
                    <a:prstGeom prst="rect">
                      <a:avLst/>
                    </a:prstGeom>
                    <a:noFill/>
                    <a:ln>
                      <a:noFill/>
                    </a:ln>
                  </pic:spPr>
                </pic:pic>
              </a:graphicData>
            </a:graphic>
          </wp:inline>
        </w:drawing>
      </w: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ind w:left="841" w:leftChars="104" w:hanging="623" w:hangingChars="194"/>
        <w:rPr>
          <w:rFonts w:ascii="Arial" w:hAnsi="Arial" w:eastAsia="Arial" w:cs="Arial"/>
          <w:sz w:val="21"/>
          <w:szCs w:val="21"/>
        </w:rPr>
      </w:pPr>
      <w:r>
        <w:drawing>
          <wp:inline distT="0" distB="0" distL="114300" distR="114300">
            <wp:extent cx="4514850" cy="74009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4514850" cy="7400925"/>
                    </a:xfrm>
                    <a:prstGeom prst="rect">
                      <a:avLst/>
                    </a:prstGeom>
                    <a:noFill/>
                    <a:ln>
                      <a:noFill/>
                    </a:ln>
                  </pic:spPr>
                </pic:pic>
              </a:graphicData>
            </a:graphic>
          </wp:inline>
        </w:drawing>
      </w: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rPr>
          <w:rFonts w:ascii="Arial" w:hAnsi="Arial" w:eastAsia="Arial" w:cs="Arial"/>
          <w:sz w:val="21"/>
          <w:szCs w:val="21"/>
        </w:rPr>
      </w:pPr>
    </w:p>
    <w:p>
      <w:pPr>
        <w:rPr>
          <w:rFonts w:ascii="Arial" w:hAnsi="Arial" w:eastAsia="Arial" w:cs="Arial"/>
          <w:sz w:val="21"/>
          <w:szCs w:val="21"/>
        </w:rPr>
      </w:pPr>
    </w:p>
    <w:p>
      <w:pPr>
        <w:pStyle w:val="6"/>
        <w:sectPr>
          <w:pgSz w:w="11905" w:h="16840"/>
          <w:pgMar w:top="1431" w:right="1410" w:bottom="0" w:left="1344" w:header="0" w:footer="0" w:gutter="0"/>
          <w:cols w:space="720" w:num="1"/>
        </w:sectPr>
      </w:pPr>
    </w:p>
    <w:p>
      <w:pPr>
        <w:spacing w:line="358" w:lineRule="auto"/>
        <w:rPr>
          <w:rFonts w:ascii="Arial"/>
          <w:sz w:val="21"/>
        </w:rPr>
      </w:pPr>
    </w:p>
    <w:p>
      <w:pPr>
        <w:spacing w:line="358" w:lineRule="auto"/>
        <w:rPr>
          <w:rFonts w:ascii="Arial"/>
          <w:sz w:val="21"/>
        </w:rPr>
      </w:pPr>
    </w:p>
    <w:p>
      <w:pPr>
        <w:pStyle w:val="8"/>
        <w:spacing w:before="101" w:line="228" w:lineRule="auto"/>
        <w:ind w:left="585"/>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文联</w:t>
      </w:r>
      <w:r>
        <w:rPr>
          <w:spacing w:val="-62"/>
        </w:rPr>
        <w:t xml:space="preserve"> </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pPr>
        <w:spacing w:line="335" w:lineRule="auto"/>
        <w:rPr>
          <w:rFonts w:ascii="Arial"/>
          <w:sz w:val="21"/>
        </w:rPr>
      </w:pPr>
    </w:p>
    <w:p>
      <w:pPr>
        <w:spacing w:line="336" w:lineRule="auto"/>
        <w:rPr>
          <w:rFonts w:ascii="Arial"/>
          <w:sz w:val="21"/>
        </w:rPr>
      </w:pPr>
    </w:p>
    <w:p>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pPr>
        <w:pStyle w:val="8"/>
        <w:spacing w:before="1" w:line="227" w:lineRule="auto"/>
        <w:ind w:left="720"/>
      </w:pPr>
      <w:r>
        <w:rPr>
          <w:spacing w:val="2"/>
          <w14:textOutline w14:w="4064" w14:cap="flat" w14:cmpd="sng">
            <w14:solidFill>
              <w14:srgbClr w14:val="000000"/>
            </w14:solidFill>
            <w14:prstDash w14:val="solid"/>
            <w14:miter w14:val="0"/>
          </w14:textOutline>
        </w:rPr>
        <w:t>(一)收入预算情况</w:t>
      </w:r>
    </w:p>
    <w:p>
      <w:pPr>
        <w:pStyle w:val="8"/>
        <w:spacing w:before="241" w:line="624" w:lineRule="exact"/>
        <w:ind w:right="15"/>
        <w:jc w:val="left"/>
        <w:rPr>
          <w:rFonts w:hint="eastAsia" w:eastAsia="仿宋"/>
          <w:spacing w:val="6"/>
          <w:lang w:eastAsia="zh-CN"/>
        </w:rPr>
      </w:pPr>
      <w:r>
        <w:rPr>
          <w:rFonts w:hint="eastAsia"/>
          <w:spacing w:val="16"/>
          <w:lang w:val="en-US" w:eastAsia="zh-CN"/>
        </w:rPr>
        <w:t xml:space="preserve">    </w:t>
      </w:r>
      <w:r>
        <w:rPr>
          <w:spacing w:val="16"/>
        </w:rPr>
        <w:t>2024 年</w:t>
      </w:r>
      <w:r>
        <w:rPr>
          <w:rFonts w:hint="eastAsia"/>
          <w:spacing w:val="16"/>
          <w:lang w:eastAsia="zh-CN"/>
        </w:rPr>
        <w:t>文联</w:t>
      </w:r>
      <w:r>
        <w:rPr>
          <w:spacing w:val="16"/>
        </w:rPr>
        <w:t xml:space="preserve">收入预算总额为 </w:t>
      </w:r>
      <w:r>
        <w:rPr>
          <w:rFonts w:hint="eastAsia"/>
          <w:spacing w:val="16"/>
          <w:lang w:val="en-US" w:eastAsia="zh-CN"/>
        </w:rPr>
        <w:t>41.94</w:t>
      </w:r>
      <w:r>
        <w:rPr>
          <w:spacing w:val="16"/>
        </w:rPr>
        <w:t>万元, 较上年预算安排增加</w:t>
      </w:r>
      <w:r>
        <w:rPr>
          <w:rFonts w:hint="eastAsia"/>
          <w:spacing w:val="16"/>
          <w:lang w:val="en-US" w:eastAsia="zh-CN"/>
        </w:rPr>
        <w:t>6.67</w:t>
      </w:r>
      <w:r>
        <w:rPr>
          <w:spacing w:val="16"/>
        </w:rPr>
        <w:t>万元</w:t>
      </w:r>
      <w:r>
        <w:rPr>
          <w:rFonts w:hint="eastAsia"/>
          <w:spacing w:val="16"/>
          <w:lang w:eastAsia="zh-CN"/>
        </w:rPr>
        <w:t>，主要原因工作需要经费增加；其中，</w:t>
      </w:r>
      <w:r>
        <w:rPr>
          <w:spacing w:val="16"/>
        </w:rPr>
        <w:t>财政拨款收入</w:t>
      </w:r>
      <w:r>
        <w:rPr>
          <w:rFonts w:hint="eastAsia"/>
          <w:spacing w:val="16"/>
          <w:lang w:val="en-US" w:eastAsia="zh-CN"/>
        </w:rPr>
        <w:t>41.94</w:t>
      </w:r>
      <w:r>
        <w:rPr>
          <w:spacing w:val="16"/>
        </w:rPr>
        <w:t>万元,较上年预算安排增加</w:t>
      </w:r>
      <w:r>
        <w:rPr>
          <w:rFonts w:hint="eastAsia"/>
          <w:spacing w:val="16"/>
          <w:lang w:val="en-US" w:eastAsia="zh-CN"/>
        </w:rPr>
        <w:t>6.67</w:t>
      </w:r>
      <w:r>
        <w:rPr>
          <w:spacing w:val="16"/>
        </w:rPr>
        <w:t>万元;</w:t>
      </w:r>
      <w:r>
        <w:rPr>
          <w:rFonts w:hint="eastAsia"/>
          <w:spacing w:val="16"/>
          <w:lang w:eastAsia="zh-CN"/>
        </w:rPr>
        <w:t>教育收费资金收入</w:t>
      </w:r>
      <w:r>
        <w:rPr>
          <w:rFonts w:hint="eastAsia"/>
          <w:spacing w:val="16"/>
          <w:lang w:val="en-US" w:eastAsia="zh-CN"/>
        </w:rPr>
        <w:t>0万元；</w:t>
      </w:r>
      <w:r>
        <w:rPr>
          <w:rFonts w:hint="eastAsia"/>
          <w:spacing w:val="16"/>
        </w:rPr>
        <w:t>政府性基金拨款收入0万元；事业收入0万元；事业单位经营收入0万元</w:t>
      </w:r>
      <w:r>
        <w:rPr>
          <w:rFonts w:hint="eastAsia"/>
          <w:spacing w:val="16"/>
          <w:lang w:eastAsia="zh-CN"/>
        </w:rPr>
        <w:t>；</w:t>
      </w:r>
      <w:r>
        <w:rPr>
          <w:rFonts w:hint="eastAsia"/>
          <w:spacing w:val="16"/>
        </w:rPr>
        <w:t>当年其他各项收入0万元</w:t>
      </w:r>
      <w:r>
        <w:rPr>
          <w:rFonts w:hint="eastAsia"/>
          <w:spacing w:val="16"/>
          <w:lang w:eastAsia="zh-CN"/>
        </w:rPr>
        <w:t>；</w:t>
      </w:r>
      <w:r>
        <w:rPr>
          <w:rFonts w:hint="eastAsia"/>
          <w:spacing w:val="16"/>
        </w:rPr>
        <w:t>上年结余结转收入0万</w:t>
      </w:r>
      <w:r>
        <w:rPr>
          <w:rFonts w:hint="eastAsia"/>
          <w:spacing w:val="16"/>
          <w:lang w:eastAsia="zh-CN"/>
        </w:rPr>
        <w:t>。</w:t>
      </w:r>
    </w:p>
    <w:p>
      <w:pPr>
        <w:pStyle w:val="8"/>
        <w:spacing w:before="241" w:line="228" w:lineRule="auto"/>
        <w:ind w:left="720"/>
      </w:pPr>
      <w:r>
        <w:rPr>
          <w:spacing w:val="2"/>
          <w14:textOutline w14:w="4064" w14:cap="flat" w14:cmpd="sng">
            <w14:solidFill>
              <w14:srgbClr w14:val="000000"/>
            </w14:solidFill>
            <w14:prstDash w14:val="solid"/>
            <w14:miter w14:val="0"/>
          </w14:textOutline>
        </w:rPr>
        <w:t>(二)支出预算情况</w:t>
      </w:r>
    </w:p>
    <w:p>
      <w:pPr>
        <w:pStyle w:val="8"/>
        <w:spacing w:before="230" w:line="372" w:lineRule="auto"/>
        <w:ind w:left="34" w:right="12" w:firstLine="639"/>
        <w:jc w:val="both"/>
        <w:rPr>
          <w:rFonts w:hint="default" w:eastAsia="仿宋"/>
          <w:spacing w:val="8"/>
          <w:lang w:val="en-US" w:eastAsia="zh-CN"/>
        </w:rPr>
      </w:pPr>
      <w:r>
        <w:rPr>
          <w:spacing w:val="8"/>
        </w:rPr>
        <w:t xml:space="preserve">2024 </w:t>
      </w:r>
      <w:r>
        <w:rPr>
          <w:rFonts w:hint="eastAsia"/>
          <w:spacing w:val="8"/>
          <w:lang w:eastAsia="zh-CN"/>
        </w:rPr>
        <w:t>文联</w:t>
      </w:r>
      <w:r>
        <w:rPr>
          <w:spacing w:val="8"/>
        </w:rPr>
        <w:t xml:space="preserve">支出预算总额为 </w:t>
      </w:r>
      <w:r>
        <w:rPr>
          <w:rFonts w:hint="eastAsia"/>
          <w:spacing w:val="8"/>
          <w:lang w:val="en-US" w:eastAsia="zh-CN"/>
        </w:rPr>
        <w:t>41.94</w:t>
      </w:r>
      <w:r>
        <w:rPr>
          <w:spacing w:val="8"/>
        </w:rPr>
        <w:t xml:space="preserve">万元,较上年预算安排增加 </w:t>
      </w:r>
      <w:r>
        <w:rPr>
          <w:rFonts w:hint="eastAsia"/>
          <w:spacing w:val="8"/>
          <w:lang w:val="en-US" w:eastAsia="zh-CN"/>
        </w:rPr>
        <w:t>6.67</w:t>
      </w:r>
      <w:r>
        <w:rPr>
          <w:spacing w:val="8"/>
        </w:rPr>
        <w:t xml:space="preserve"> 万元。按支出项目类别划分：基本支出 </w:t>
      </w:r>
      <w:r>
        <w:rPr>
          <w:rFonts w:hint="eastAsia"/>
          <w:spacing w:val="8"/>
          <w:lang w:val="en-US" w:eastAsia="zh-CN"/>
        </w:rPr>
        <w:t>37.14</w:t>
      </w:r>
      <w:r>
        <w:rPr>
          <w:spacing w:val="8"/>
        </w:rPr>
        <w:t>万元,较上年 预算安排</w:t>
      </w:r>
      <w:r>
        <w:rPr>
          <w:rFonts w:hint="eastAsia"/>
          <w:spacing w:val="8"/>
          <w:lang w:eastAsia="zh-CN"/>
        </w:rPr>
        <w:t>增加</w:t>
      </w:r>
      <w:r>
        <w:rPr>
          <w:rFonts w:hint="eastAsia"/>
          <w:spacing w:val="8"/>
          <w:lang w:val="en-US" w:eastAsia="zh-CN"/>
        </w:rPr>
        <w:t>6.87</w:t>
      </w:r>
      <w:r>
        <w:rPr>
          <w:spacing w:val="8"/>
        </w:rPr>
        <w:t>万元;其中：工资福利支出</w:t>
      </w:r>
      <w:r>
        <w:rPr>
          <w:rFonts w:hint="eastAsia"/>
          <w:spacing w:val="8"/>
          <w:lang w:val="en-US" w:eastAsia="zh-CN"/>
        </w:rPr>
        <w:t>35.77</w:t>
      </w:r>
      <w:r>
        <w:rPr>
          <w:spacing w:val="8"/>
        </w:rPr>
        <w:t xml:space="preserve"> 万元,商品和服务支出</w:t>
      </w:r>
      <w:r>
        <w:rPr>
          <w:rFonts w:hint="eastAsia"/>
          <w:spacing w:val="8"/>
          <w:lang w:val="en-US" w:eastAsia="zh-CN"/>
        </w:rPr>
        <w:t>1.32</w:t>
      </w:r>
      <w:r>
        <w:rPr>
          <w:spacing w:val="8"/>
        </w:rPr>
        <w:t>万元,项目支出</w:t>
      </w:r>
      <w:r>
        <w:rPr>
          <w:rFonts w:hint="eastAsia"/>
          <w:spacing w:val="8"/>
          <w:lang w:val="en-US" w:eastAsia="zh-CN"/>
        </w:rPr>
        <w:t>4.8</w:t>
      </w:r>
      <w:r>
        <w:rPr>
          <w:spacing w:val="8"/>
        </w:rPr>
        <w:t>万元,较上年预算安排</w:t>
      </w:r>
      <w:r>
        <w:rPr>
          <w:rFonts w:hint="eastAsia"/>
          <w:spacing w:val="8"/>
          <w:lang w:eastAsia="zh-CN"/>
        </w:rPr>
        <w:t>减少</w:t>
      </w:r>
      <w:r>
        <w:rPr>
          <w:spacing w:val="8"/>
        </w:rPr>
        <w:t xml:space="preserve"> </w:t>
      </w:r>
      <w:r>
        <w:rPr>
          <w:rFonts w:hint="eastAsia"/>
          <w:spacing w:val="8"/>
          <w:lang w:val="en-US" w:eastAsia="zh-CN"/>
        </w:rPr>
        <w:t>0.2</w:t>
      </w:r>
      <w:r>
        <w:rPr>
          <w:spacing w:val="8"/>
        </w:rPr>
        <w:t>万元;</w:t>
      </w:r>
      <w:r>
        <w:rPr>
          <w:rFonts w:hint="eastAsia"/>
          <w:spacing w:val="8"/>
          <w:lang w:val="en-US" w:eastAsia="zh-CN"/>
        </w:rPr>
        <w:t>主要原因：工资福利增加及工作经费厉行节约，减少办公开支。</w:t>
      </w:r>
    </w:p>
    <w:p>
      <w:pPr>
        <w:pStyle w:val="8"/>
        <w:spacing w:before="230" w:line="372" w:lineRule="auto"/>
        <w:ind w:left="34" w:right="12" w:firstLine="639"/>
        <w:jc w:val="both"/>
        <w:rPr>
          <w:rFonts w:hint="default" w:eastAsia="仿宋"/>
          <w:lang w:val="en-US" w:eastAsia="zh-CN"/>
        </w:rPr>
      </w:pPr>
      <w:r>
        <w:rPr>
          <w:spacing w:val="8"/>
        </w:rPr>
        <w:t xml:space="preserve">按支出功能科目划分： 一般公共服务支出 </w:t>
      </w:r>
      <w:r>
        <w:rPr>
          <w:rFonts w:hint="eastAsia"/>
          <w:spacing w:val="8"/>
          <w:lang w:val="en-US" w:eastAsia="zh-CN"/>
        </w:rPr>
        <w:t>32.71</w:t>
      </w:r>
      <w:r>
        <w:rPr>
          <w:spacing w:val="8"/>
        </w:rPr>
        <w:t>万元,较上年预算安排增加</w:t>
      </w:r>
      <w:r>
        <w:rPr>
          <w:rFonts w:hint="eastAsia"/>
          <w:spacing w:val="8"/>
          <w:lang w:val="en-US" w:eastAsia="zh-CN"/>
        </w:rPr>
        <w:t>4.73</w:t>
      </w:r>
      <w:r>
        <w:rPr>
          <w:spacing w:val="8"/>
        </w:rPr>
        <w:t xml:space="preserve">万元;社会保障和就业支出 </w:t>
      </w:r>
      <w:r>
        <w:rPr>
          <w:rFonts w:hint="eastAsia"/>
          <w:spacing w:val="8"/>
          <w:lang w:val="en-US" w:eastAsia="zh-CN"/>
        </w:rPr>
        <w:t>4.05</w:t>
      </w:r>
      <w:r>
        <w:rPr>
          <w:spacing w:val="8"/>
        </w:rPr>
        <w:t>万元,较上年预算安排增加</w:t>
      </w:r>
      <w:r>
        <w:rPr>
          <w:rFonts w:hint="eastAsia"/>
          <w:spacing w:val="8"/>
          <w:lang w:val="en-US" w:eastAsia="zh-CN"/>
        </w:rPr>
        <w:t>0.85</w:t>
      </w:r>
      <w:r>
        <w:rPr>
          <w:spacing w:val="8"/>
        </w:rPr>
        <w:t>万元;卫生健康支出</w:t>
      </w:r>
      <w:r>
        <w:rPr>
          <w:rFonts w:hint="eastAsia"/>
          <w:spacing w:val="-40"/>
          <w:lang w:val="en-US" w:eastAsia="zh-CN"/>
        </w:rPr>
        <w:t>1.6 4</w:t>
      </w:r>
      <w:r>
        <w:rPr>
          <w:spacing w:val="8"/>
        </w:rPr>
        <w:t>万元,较上年预算安排</w:t>
      </w:r>
      <w:r>
        <w:rPr>
          <w:rFonts w:hint="eastAsia"/>
          <w:spacing w:val="8"/>
          <w:lang w:eastAsia="zh-CN"/>
        </w:rPr>
        <w:t>增加</w:t>
      </w:r>
      <w:r>
        <w:rPr>
          <w:spacing w:val="-51"/>
        </w:rPr>
        <w:t xml:space="preserve"> </w:t>
      </w:r>
      <w:r>
        <w:rPr>
          <w:rFonts w:hint="eastAsia"/>
          <w:spacing w:val="8"/>
          <w:lang w:val="en-US" w:eastAsia="zh-CN"/>
        </w:rPr>
        <w:t>0.34</w:t>
      </w:r>
      <w:r>
        <w:rPr>
          <w:spacing w:val="8"/>
        </w:rPr>
        <w:t>万元;</w:t>
      </w:r>
      <w:r>
        <w:rPr>
          <w:spacing w:val="4"/>
        </w:rPr>
        <w:t>住</w:t>
      </w:r>
      <w:r>
        <w:rPr>
          <w:spacing w:val="3"/>
        </w:rPr>
        <w:t>房保障</w:t>
      </w:r>
      <w:r>
        <w:rPr>
          <w:spacing w:val="2"/>
        </w:rPr>
        <w:t>支出</w:t>
      </w:r>
      <w:r>
        <w:rPr>
          <w:spacing w:val="-62"/>
        </w:rPr>
        <w:t xml:space="preserve"> </w:t>
      </w:r>
      <w:r>
        <w:rPr>
          <w:rFonts w:hint="eastAsia"/>
          <w:spacing w:val="2"/>
          <w:lang w:val="en-US" w:eastAsia="zh-CN"/>
        </w:rPr>
        <w:t>3.54</w:t>
      </w:r>
      <w:r>
        <w:rPr>
          <w:spacing w:val="2"/>
        </w:rPr>
        <w:t>万元,较上年预算安排</w:t>
      </w:r>
      <w:r>
        <w:rPr>
          <w:rFonts w:hint="eastAsia"/>
          <w:spacing w:val="2"/>
          <w:lang w:eastAsia="zh-CN"/>
        </w:rPr>
        <w:t>增加</w:t>
      </w:r>
      <w:r>
        <w:rPr>
          <w:rFonts w:hint="eastAsia"/>
          <w:spacing w:val="2"/>
          <w:lang w:val="en-US" w:eastAsia="zh-CN"/>
        </w:rPr>
        <w:t>0.74</w:t>
      </w:r>
      <w:r>
        <w:rPr>
          <w:spacing w:val="2"/>
        </w:rPr>
        <w:t>万</w:t>
      </w:r>
      <w:r>
        <w:rPr>
          <w:spacing w:val="1"/>
        </w:rPr>
        <w:t>元。</w:t>
      </w:r>
      <w:r>
        <w:rPr>
          <w:rFonts w:hint="eastAsia"/>
          <w:spacing w:val="1"/>
          <w:lang w:val="en-US" w:eastAsia="zh-CN"/>
        </w:rPr>
        <w:t>主要原因：正常职工社会保障支出增加。</w:t>
      </w:r>
    </w:p>
    <w:p>
      <w:pPr>
        <w:pStyle w:val="8"/>
        <w:spacing w:before="230" w:line="372" w:lineRule="auto"/>
        <w:ind w:left="34" w:right="12" w:firstLine="639"/>
        <w:jc w:val="both"/>
        <w:rPr>
          <w:rFonts w:hint="default" w:eastAsia="仿宋"/>
          <w:spacing w:val="8"/>
          <w:lang w:val="en-US" w:eastAsia="zh-CN"/>
        </w:rPr>
      </w:pPr>
      <w:r>
        <w:rPr>
          <w:spacing w:val="8"/>
        </w:rPr>
        <w:t>按支出经济分类划分：工资福利支出</w:t>
      </w:r>
      <w:r>
        <w:rPr>
          <w:rFonts w:hint="eastAsia"/>
          <w:spacing w:val="8"/>
          <w:lang w:val="en-US" w:eastAsia="zh-CN"/>
        </w:rPr>
        <w:t>35.77</w:t>
      </w:r>
      <w:r>
        <w:rPr>
          <w:spacing w:val="8"/>
        </w:rPr>
        <w:t>万元,较 上年预算安排增加</w:t>
      </w:r>
      <w:r>
        <w:rPr>
          <w:rFonts w:hint="eastAsia"/>
          <w:spacing w:val="8"/>
          <w:lang w:val="en-US" w:eastAsia="zh-CN"/>
        </w:rPr>
        <w:t>7.54</w:t>
      </w:r>
      <w:r>
        <w:rPr>
          <w:spacing w:val="8"/>
        </w:rPr>
        <w:t>万元;商品和服务支出</w:t>
      </w:r>
      <w:r>
        <w:rPr>
          <w:rFonts w:hint="eastAsia"/>
          <w:spacing w:val="8"/>
          <w:lang w:val="en-US" w:eastAsia="zh-CN"/>
        </w:rPr>
        <w:t>6.17</w:t>
      </w:r>
      <w:r>
        <w:rPr>
          <w:spacing w:val="8"/>
        </w:rPr>
        <w:t>万元,较上年预算安排</w:t>
      </w:r>
      <w:r>
        <w:rPr>
          <w:rFonts w:hint="eastAsia"/>
          <w:spacing w:val="8"/>
          <w:lang w:eastAsia="zh-CN"/>
        </w:rPr>
        <w:t>增加</w:t>
      </w:r>
      <w:r>
        <w:rPr>
          <w:rFonts w:hint="eastAsia"/>
          <w:spacing w:val="8"/>
          <w:lang w:val="en-US" w:eastAsia="zh-CN"/>
        </w:rPr>
        <w:t>4.61</w:t>
      </w:r>
      <w:r>
        <w:rPr>
          <w:spacing w:val="8"/>
        </w:rPr>
        <w:t>万元;</w:t>
      </w:r>
      <w:r>
        <w:rPr>
          <w:rFonts w:hint="eastAsia"/>
          <w:spacing w:val="8"/>
          <w:lang w:val="en-US" w:eastAsia="zh-CN"/>
        </w:rPr>
        <w:t>主要原因：人员经费增加。</w:t>
      </w:r>
    </w:p>
    <w:p>
      <w:pPr>
        <w:pStyle w:val="8"/>
        <w:spacing w:before="242" w:line="228" w:lineRule="auto"/>
        <w:ind w:left="720"/>
      </w:pPr>
      <w:r>
        <w:rPr>
          <w:spacing w:val="4"/>
          <w14:textOutline w14:w="4064" w14:cap="flat" w14:cmpd="sng">
            <w14:solidFill>
              <w14:srgbClr w14:val="000000"/>
            </w14:solidFill>
            <w14:prstDash w14:val="solid"/>
            <w14:miter w14:val="0"/>
          </w14:textOutline>
        </w:rPr>
        <w:t>(三)财政拨款支出情况</w:t>
      </w:r>
    </w:p>
    <w:p>
      <w:pPr>
        <w:pStyle w:val="8"/>
        <w:spacing w:before="239" w:line="372" w:lineRule="auto"/>
        <w:ind w:left="36" w:right="13" w:firstLine="637"/>
        <w:rPr>
          <w:rFonts w:hint="default" w:eastAsia="仿宋"/>
          <w:spacing w:val="1"/>
          <w:lang w:val="en-US" w:eastAsia="zh-CN"/>
        </w:rPr>
      </w:pPr>
      <w:r>
        <w:rPr>
          <w:spacing w:val="1"/>
        </w:rPr>
        <w:t>2024 年</w:t>
      </w:r>
      <w:r>
        <w:rPr>
          <w:rFonts w:hint="eastAsia"/>
          <w:spacing w:val="1"/>
          <w:lang w:eastAsia="zh-CN"/>
        </w:rPr>
        <w:t>文联</w:t>
      </w:r>
      <w:r>
        <w:rPr>
          <w:spacing w:val="1"/>
        </w:rPr>
        <w:t>财政拨款支出预算总额</w:t>
      </w:r>
      <w:r>
        <w:rPr>
          <w:rFonts w:hint="eastAsia"/>
          <w:spacing w:val="1"/>
          <w:lang w:val="en-US" w:eastAsia="zh-CN"/>
        </w:rPr>
        <w:t>41.94</w:t>
      </w:r>
      <w:r>
        <w:rPr>
          <w:spacing w:val="1"/>
        </w:rPr>
        <w:t xml:space="preserve">万元,较上年预算安排增加 </w:t>
      </w:r>
      <w:r>
        <w:rPr>
          <w:rFonts w:hint="eastAsia"/>
          <w:spacing w:val="1"/>
          <w:lang w:val="en-US" w:eastAsia="zh-CN"/>
        </w:rPr>
        <w:t>23.52</w:t>
      </w:r>
      <w:r>
        <w:rPr>
          <w:spacing w:val="1"/>
        </w:rPr>
        <w:t>万元。</w:t>
      </w:r>
      <w:r>
        <w:rPr>
          <w:rFonts w:hint="eastAsia"/>
          <w:spacing w:val="1"/>
          <w:lang w:val="en-US" w:eastAsia="zh-CN"/>
        </w:rPr>
        <w:t>主要原因：人员工资及绩效工资增加。</w:t>
      </w:r>
    </w:p>
    <w:p>
      <w:pPr>
        <w:pStyle w:val="8"/>
        <w:spacing w:before="239" w:line="372" w:lineRule="auto"/>
        <w:ind w:left="36" w:right="13" w:firstLine="637"/>
      </w:pPr>
      <w:r>
        <w:rPr>
          <w:spacing w:val="1"/>
        </w:rPr>
        <w:t>按支出功能科目划分</w:t>
      </w:r>
      <w:r>
        <w:rPr>
          <w:spacing w:val="10"/>
        </w:rPr>
        <w:t>： 一般公共服务支出</w:t>
      </w:r>
      <w:r>
        <w:rPr>
          <w:rFonts w:hint="eastAsia"/>
          <w:spacing w:val="10"/>
          <w:lang w:val="en-US" w:eastAsia="zh-CN"/>
        </w:rPr>
        <w:t>32.71</w:t>
      </w:r>
      <w:r>
        <w:rPr>
          <w:spacing w:val="10"/>
        </w:rPr>
        <w:t>万元,社会保障和就业支出</w:t>
      </w:r>
      <w:r>
        <w:rPr>
          <w:spacing w:val="-26"/>
        </w:rPr>
        <w:t xml:space="preserve"> </w:t>
      </w:r>
      <w:r>
        <w:rPr>
          <w:rFonts w:hint="eastAsia"/>
          <w:spacing w:val="10"/>
          <w:lang w:val="en-US" w:eastAsia="zh-CN"/>
        </w:rPr>
        <w:t>4.05</w:t>
      </w:r>
      <w:r>
        <w:rPr>
          <w:spacing w:val="4"/>
        </w:rPr>
        <w:t>万元,卫</w:t>
      </w:r>
      <w:r>
        <w:rPr>
          <w:spacing w:val="10"/>
        </w:rPr>
        <w:t>生健康支出</w:t>
      </w:r>
      <w:r>
        <w:rPr>
          <w:rFonts w:hint="eastAsia"/>
          <w:spacing w:val="10"/>
          <w:lang w:val="en-US" w:eastAsia="zh-CN"/>
        </w:rPr>
        <w:t>1.64</w:t>
      </w:r>
      <w:r>
        <w:rPr>
          <w:spacing w:val="10"/>
        </w:rPr>
        <w:t>万元,住房保障支出</w:t>
      </w:r>
      <w:r>
        <w:rPr>
          <w:rFonts w:hint="eastAsia"/>
          <w:spacing w:val="10"/>
          <w:lang w:val="en-US" w:eastAsia="zh-CN"/>
        </w:rPr>
        <w:t>3.54</w:t>
      </w:r>
      <w:r>
        <w:rPr>
          <w:spacing w:val="10"/>
        </w:rPr>
        <w:t>万元。</w:t>
      </w:r>
    </w:p>
    <w:p>
      <w:pPr>
        <w:pStyle w:val="8"/>
        <w:spacing w:before="239" w:line="372" w:lineRule="auto"/>
        <w:ind w:right="12"/>
        <w:jc w:val="both"/>
        <w:rPr>
          <w:rFonts w:hint="eastAsia" w:eastAsia="仿宋"/>
          <w:lang w:eastAsia="zh-CN"/>
        </w:rPr>
        <w:sectPr>
          <w:pgSz w:w="11905" w:h="16840"/>
          <w:pgMar w:top="1431" w:right="1785" w:bottom="0" w:left="1785" w:header="0" w:footer="0" w:gutter="0"/>
          <w:cols w:space="720" w:num="1"/>
        </w:sectPr>
      </w:pPr>
      <w:r>
        <w:rPr>
          <w:spacing w:val="6"/>
        </w:rPr>
        <w:t>按支出项目类别划分：基本支出</w:t>
      </w:r>
      <w:r>
        <w:rPr>
          <w:rFonts w:hint="eastAsia"/>
          <w:spacing w:val="6"/>
          <w:lang w:val="en-US" w:eastAsia="zh-CN"/>
        </w:rPr>
        <w:t>37.14</w:t>
      </w:r>
      <w:r>
        <w:rPr>
          <w:spacing w:val="6"/>
        </w:rPr>
        <w:t>万元,较</w:t>
      </w:r>
      <w:r>
        <w:rPr>
          <w:spacing w:val="5"/>
        </w:rPr>
        <w:t>上</w:t>
      </w:r>
      <w:r>
        <w:rPr>
          <w:rFonts w:hint="eastAsia"/>
          <w:spacing w:val="5"/>
          <w:lang w:eastAsia="zh-CN"/>
        </w:rPr>
        <w:t>年</w:t>
      </w:r>
      <w:r>
        <w:rPr>
          <w:spacing w:val="11"/>
        </w:rPr>
        <w:t>预算安排增加</w:t>
      </w:r>
      <w:r>
        <w:rPr>
          <w:rFonts w:hint="eastAsia"/>
          <w:spacing w:val="11"/>
          <w:lang w:val="en-US" w:eastAsia="zh-CN"/>
        </w:rPr>
        <w:t>6.87</w:t>
      </w:r>
      <w:r>
        <w:rPr>
          <w:spacing w:val="11"/>
        </w:rPr>
        <w:t>万元</w:t>
      </w:r>
      <w:r>
        <w:rPr>
          <w:rFonts w:hint="eastAsia"/>
          <w:spacing w:val="11"/>
          <w:lang w:eastAsia="zh-CN"/>
        </w:rPr>
        <w:t>，</w:t>
      </w:r>
      <w:r>
        <w:rPr>
          <w:rFonts w:hint="eastAsia"/>
          <w:spacing w:val="11"/>
          <w:lang w:val="en-US" w:eastAsia="zh-CN"/>
        </w:rPr>
        <w:t>主要原因工资福利增加</w:t>
      </w:r>
      <w:r>
        <w:rPr>
          <w:spacing w:val="11"/>
        </w:rPr>
        <w:t>;其中： 工资福利支出</w:t>
      </w:r>
      <w:r>
        <w:rPr>
          <w:rFonts w:hint="eastAsia"/>
          <w:spacing w:val="11"/>
          <w:lang w:val="en-US" w:eastAsia="zh-CN"/>
        </w:rPr>
        <w:t>35.77</w:t>
      </w:r>
      <w:r>
        <w:rPr>
          <w:spacing w:val="11"/>
        </w:rPr>
        <w:t>万元,商品和服务支出</w:t>
      </w:r>
      <w:r>
        <w:rPr>
          <w:rFonts w:hint="eastAsia"/>
          <w:spacing w:val="11"/>
          <w:lang w:val="en-US" w:eastAsia="zh-CN"/>
        </w:rPr>
        <w:t>6.17</w:t>
      </w:r>
      <w:r>
        <w:rPr>
          <w:spacing w:val="11"/>
        </w:rPr>
        <w:t>万元。项目支出</w:t>
      </w:r>
      <w:r>
        <w:rPr>
          <w:rFonts w:hint="eastAsia"/>
          <w:spacing w:val="11"/>
          <w:lang w:val="en-US" w:eastAsia="zh-CN"/>
        </w:rPr>
        <w:t>4.8</w:t>
      </w:r>
      <w:r>
        <w:rPr>
          <w:spacing w:val="11"/>
        </w:rPr>
        <w:t>万元,较上年预算安排</w:t>
      </w:r>
      <w:r>
        <w:rPr>
          <w:rFonts w:hint="eastAsia"/>
          <w:spacing w:val="11"/>
          <w:lang w:eastAsia="zh-CN"/>
        </w:rPr>
        <w:t>减少</w:t>
      </w:r>
      <w:r>
        <w:rPr>
          <w:rFonts w:hint="eastAsia"/>
          <w:spacing w:val="11"/>
          <w:lang w:val="en-US" w:eastAsia="zh-CN"/>
        </w:rPr>
        <w:t>0.2</w:t>
      </w:r>
      <w:r>
        <w:rPr>
          <w:spacing w:val="11"/>
        </w:rPr>
        <w:t>万元;</w:t>
      </w:r>
      <w:r>
        <w:rPr>
          <w:rFonts w:hint="eastAsia"/>
          <w:spacing w:val="11"/>
          <w:lang w:val="en-US" w:eastAsia="zh-CN"/>
        </w:rPr>
        <w:t>主要原因：厉行节约压缩经费。</w:t>
      </w:r>
    </w:p>
    <w:p>
      <w:pPr>
        <w:pStyle w:val="8"/>
        <w:spacing w:before="244" w:line="226" w:lineRule="auto"/>
        <w:ind w:firstLine="632" w:firstLineChars="200"/>
      </w:pPr>
      <w:r>
        <w:rPr>
          <w:spacing w:val="3"/>
          <w14:textOutline w14:w="4064" w14:cap="flat" w14:cmpd="sng">
            <w14:solidFill>
              <w14:srgbClr w14:val="000000"/>
            </w14:solidFill>
            <w14:prstDash w14:val="solid"/>
            <w14:miter w14:val="0"/>
          </w14:textOutline>
        </w:rPr>
        <w:t>(四)政府性基金情况</w:t>
      </w:r>
    </w:p>
    <w:p>
      <w:pPr>
        <w:pStyle w:val="8"/>
        <w:spacing w:before="244" w:line="226" w:lineRule="auto"/>
        <w:ind w:left="675"/>
      </w:pPr>
      <w:r>
        <w:rPr>
          <w:spacing w:val="8"/>
        </w:rPr>
        <w:t>本部门没有使用政府性基金预算拨款安排的支出。</w:t>
      </w:r>
    </w:p>
    <w:p>
      <w:pPr>
        <w:pStyle w:val="8"/>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pPr>
        <w:pStyle w:val="8"/>
        <w:spacing w:before="240" w:line="228" w:lineRule="auto"/>
        <w:ind w:left="675"/>
      </w:pPr>
      <w:r>
        <w:rPr>
          <w:spacing w:val="8"/>
        </w:rPr>
        <w:t>本部门没有使用国有资本经营预算拨款安排的支出。</w:t>
      </w:r>
    </w:p>
    <w:p>
      <w:pPr>
        <w:pStyle w:val="8"/>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pPr>
        <w:pStyle w:val="8"/>
        <w:spacing w:before="239" w:line="372" w:lineRule="auto"/>
        <w:ind w:left="37" w:right="12" w:firstLine="631"/>
        <w:jc w:val="both"/>
        <w:rPr>
          <w:rFonts w:hint="default"/>
          <w:spacing w:val="11"/>
          <w:lang w:val="en-US" w:eastAsia="zh-CN"/>
        </w:rPr>
      </w:pPr>
      <w:r>
        <w:rPr>
          <w:spacing w:val="11"/>
        </w:rPr>
        <w:t>2024 年部门机关运行费预算</w:t>
      </w:r>
      <w:r>
        <w:rPr>
          <w:rFonts w:hint="eastAsia"/>
          <w:spacing w:val="11"/>
          <w:lang w:val="en-US" w:eastAsia="zh-CN"/>
        </w:rPr>
        <w:t>6.7</w:t>
      </w:r>
      <w:r>
        <w:rPr>
          <w:spacing w:val="11"/>
        </w:rPr>
        <w:t>万元， 比 2023 年预算</w:t>
      </w:r>
      <w:r>
        <w:rPr>
          <w:rFonts w:hint="eastAsia"/>
          <w:spacing w:val="11"/>
          <w:lang w:eastAsia="zh-CN"/>
        </w:rPr>
        <w:t>减少</w:t>
      </w:r>
      <w:r>
        <w:rPr>
          <w:spacing w:val="11"/>
        </w:rPr>
        <w:t xml:space="preserve"> </w:t>
      </w:r>
      <w:r>
        <w:rPr>
          <w:rFonts w:hint="eastAsia"/>
          <w:spacing w:val="11"/>
          <w:lang w:val="en-US" w:eastAsia="zh-CN"/>
        </w:rPr>
        <w:t>0.14</w:t>
      </w:r>
      <w:r>
        <w:rPr>
          <w:spacing w:val="11"/>
        </w:rPr>
        <w:t>万元，</w:t>
      </w:r>
      <w:r>
        <w:rPr>
          <w:rFonts w:hint="eastAsia"/>
          <w:spacing w:val="11"/>
          <w:lang w:eastAsia="zh-CN"/>
        </w:rPr>
        <w:t>减少</w:t>
      </w:r>
      <w:r>
        <w:rPr>
          <w:spacing w:val="11"/>
        </w:rPr>
        <w:t xml:space="preserve"> </w:t>
      </w:r>
      <w:r>
        <w:rPr>
          <w:rFonts w:hint="eastAsia"/>
          <w:spacing w:val="11"/>
          <w:lang w:val="en-US" w:eastAsia="zh-CN"/>
        </w:rPr>
        <w:t>2.13</w:t>
      </w:r>
      <w:r>
        <w:rPr>
          <w:spacing w:val="11"/>
        </w:rPr>
        <w:t>%。</w:t>
      </w:r>
      <w:r>
        <w:rPr>
          <w:rFonts w:hint="eastAsia"/>
          <w:spacing w:val="11"/>
          <w:lang w:val="en-US" w:eastAsia="zh-CN"/>
        </w:rPr>
        <w:t>主要原因：厉行节约，压缩办公开支</w:t>
      </w:r>
    </w:p>
    <w:p>
      <w:pPr>
        <w:pStyle w:val="8"/>
        <w:spacing w:before="160" w:line="228" w:lineRule="auto"/>
        <w:ind w:left="720"/>
      </w:pPr>
      <w:r>
        <w:rPr>
          <w:spacing w:val="2"/>
          <w14:textOutline w14:w="4064" w14:cap="flat" w14:cmpd="sng">
            <w14:solidFill>
              <w14:srgbClr w14:val="000000"/>
            </w14:solidFill>
            <w14:prstDash w14:val="solid"/>
            <w14:miter w14:val="0"/>
          </w14:textOutline>
        </w:rPr>
        <w:t>(七)政府采购情况</w:t>
      </w:r>
    </w:p>
    <w:p>
      <w:pPr>
        <w:pStyle w:val="8"/>
        <w:spacing w:before="239" w:line="372" w:lineRule="auto"/>
        <w:ind w:left="37" w:right="12" w:firstLine="631"/>
        <w:jc w:val="both"/>
        <w:rPr>
          <w:spacing w:val="11"/>
        </w:rPr>
      </w:pPr>
      <w:r>
        <w:rPr>
          <w:spacing w:val="11"/>
        </w:rPr>
        <w:t xml:space="preserve">2024 </w:t>
      </w:r>
      <w:r>
        <w:rPr>
          <w:spacing w:val="11"/>
        </w:rPr>
        <w:t xml:space="preserve">年部门所属各单位政府采购总额 </w:t>
      </w:r>
      <w:r>
        <w:rPr>
          <w:rFonts w:hint="eastAsia"/>
          <w:spacing w:val="11"/>
          <w:lang w:val="en-US" w:eastAsia="zh-CN"/>
        </w:rPr>
        <w:t>0</w:t>
      </w:r>
      <w:r>
        <w:rPr>
          <w:spacing w:val="11"/>
        </w:rPr>
        <w:t xml:space="preserve"> </w:t>
      </w:r>
      <w:r>
        <w:rPr>
          <w:spacing w:val="11"/>
        </w:rPr>
        <w:t xml:space="preserve">万元, 其中: </w:t>
      </w:r>
      <w:r>
        <w:rPr>
          <w:spacing w:val="11"/>
        </w:rPr>
        <w:t>政府采购货物预算</w:t>
      </w:r>
      <w:r>
        <w:rPr>
          <w:rFonts w:hint="eastAsia"/>
          <w:spacing w:val="11"/>
          <w:lang w:val="en-US" w:eastAsia="zh-CN"/>
        </w:rPr>
        <w:t xml:space="preserve"> 0 </w:t>
      </w:r>
      <w:r>
        <w:rPr>
          <w:spacing w:val="11"/>
        </w:rPr>
        <w:t>万元, 政府采购工程预算</w:t>
      </w:r>
      <w:r>
        <w:rPr>
          <w:rFonts w:hint="eastAsia"/>
          <w:spacing w:val="11"/>
          <w:lang w:val="en-US" w:eastAsia="zh-CN"/>
        </w:rPr>
        <w:t xml:space="preserve">0 </w:t>
      </w:r>
      <w:r>
        <w:rPr>
          <w:spacing w:val="11"/>
        </w:rPr>
        <w:t>万元, 政府采购服务预算</w:t>
      </w:r>
      <w:r>
        <w:rPr>
          <w:rFonts w:hint="eastAsia"/>
          <w:spacing w:val="11"/>
          <w:lang w:val="en-US" w:eastAsia="zh-CN"/>
        </w:rPr>
        <w:t xml:space="preserve">   0     </w:t>
      </w:r>
      <w:r>
        <w:rPr>
          <w:spacing w:val="11"/>
        </w:rPr>
        <w:t>万元。</w:t>
      </w:r>
    </w:p>
    <w:p>
      <w:pPr>
        <w:pStyle w:val="8"/>
        <w:spacing w:before="242" w:line="228" w:lineRule="auto"/>
        <w:ind w:left="720"/>
      </w:pPr>
      <w:r>
        <w:rPr>
          <w:spacing w:val="5"/>
          <w14:textOutline w14:w="4064" w14:cap="flat" w14:cmpd="sng">
            <w14:solidFill>
              <w14:srgbClr w14:val="000000"/>
            </w14:solidFill>
            <w14:prstDash w14:val="solid"/>
            <w14:miter w14:val="0"/>
          </w14:textOutline>
        </w:rPr>
        <w:t>(八)国有资产占有使用情况</w:t>
      </w:r>
    </w:p>
    <w:p>
      <w:pPr>
        <w:pStyle w:val="8"/>
        <w:spacing w:before="239" w:line="372" w:lineRule="auto"/>
        <w:ind w:left="37" w:right="12" w:firstLine="631"/>
        <w:jc w:val="both"/>
        <w:rPr>
          <w:spacing w:val="11"/>
        </w:rPr>
      </w:pPr>
      <w:r>
        <w:rPr>
          <w:spacing w:val="11"/>
        </w:rPr>
        <w:t>2024 年部门预算安排购置车辆 0 辆，未安排购置单位价值 200 万元以上大型设备。</w:t>
      </w:r>
    </w:p>
    <w:p>
      <w:pPr>
        <w:spacing w:line="223" w:lineRule="auto"/>
        <w:rPr>
          <w:sz w:val="32"/>
          <w:szCs w:val="32"/>
        </w:rPr>
        <w:sectPr>
          <w:pgSz w:w="11905" w:h="16840"/>
          <w:pgMar w:top="1431" w:right="1785" w:bottom="0" w:left="1785" w:header="0" w:footer="0" w:gutter="0"/>
          <w:cols w:space="720" w:num="1"/>
        </w:sectPr>
      </w:pPr>
    </w:p>
    <w:p>
      <w:pPr>
        <w:pStyle w:val="8"/>
        <w:spacing w:before="160" w:line="227" w:lineRule="auto"/>
        <w:ind w:left="720"/>
      </w:pPr>
      <w:r>
        <w:rPr>
          <w:spacing w:val="8"/>
          <w14:textOutline w14:w="4064" w14:cap="flat" w14:cmpd="sng">
            <w14:solidFill>
              <w14:srgbClr w14:val="000000"/>
            </w14:solidFill>
            <w14:prstDash w14:val="solid"/>
            <w14:miter w14:val="0"/>
          </w14:textOutline>
        </w:rPr>
        <w:t>(九)</w:t>
      </w:r>
      <w:r>
        <w:rPr>
          <w:rFonts w:hint="eastAsia"/>
          <w:spacing w:val="8"/>
          <w:lang w:val="en-US" w:eastAsia="zh-CN"/>
          <w14:textOutline w14:w="4064" w14:cap="flat" w14:cmpd="sng">
            <w14:solidFill>
              <w14:srgbClr w14:val="000000"/>
            </w14:solidFill>
            <w14:prstDash w14:val="solid"/>
            <w14:miter w14:val="0"/>
          </w14:textOutline>
        </w:rPr>
        <w:t>2024年学习培训经费</w:t>
      </w:r>
      <w:r>
        <w:rPr>
          <w:spacing w:val="8"/>
          <w14:textOutline w14:w="4064" w14:cap="flat" w14:cmpd="sng">
            <w14:solidFill>
              <w14:srgbClr w14:val="000000"/>
            </w14:solidFill>
            <w14:prstDash w14:val="solid"/>
            <w14:miter w14:val="0"/>
          </w14:textOutline>
        </w:rPr>
        <w:t>情况说明</w:t>
      </w:r>
    </w:p>
    <w:p>
      <w:pPr>
        <w:pStyle w:val="8"/>
        <w:numPr>
          <w:ilvl w:val="0"/>
          <w:numId w:val="1"/>
        </w:numPr>
        <w:spacing w:before="153" w:line="624" w:lineRule="exact"/>
        <w:ind w:left="667"/>
        <w:rPr>
          <w:rFonts w:hint="eastAsia"/>
          <w:spacing w:val="5"/>
          <w:position w:val="23"/>
          <w:lang w:val="en-US" w:eastAsia="zh-CN"/>
        </w:rPr>
      </w:pPr>
      <w:r>
        <w:rPr>
          <w:spacing w:val="5"/>
          <w:position w:val="23"/>
        </w:rPr>
        <w:t>项目概述：</w:t>
      </w:r>
      <w:r>
        <w:rPr>
          <w:rFonts w:hint="eastAsia"/>
          <w:spacing w:val="5"/>
          <w:position w:val="23"/>
          <w:lang w:val="en-US" w:eastAsia="zh-CN"/>
        </w:rPr>
        <w:t>为确保活动按时，按质量开展，调动协会积极性，培养高素质人才。</w:t>
      </w:r>
    </w:p>
    <w:p>
      <w:pPr>
        <w:pStyle w:val="8"/>
        <w:numPr>
          <w:ilvl w:val="0"/>
          <w:numId w:val="1"/>
        </w:numPr>
        <w:spacing w:before="153" w:line="624" w:lineRule="exact"/>
        <w:ind w:left="667"/>
        <w:rPr>
          <w:spacing w:val="5"/>
          <w:position w:val="23"/>
        </w:rPr>
      </w:pPr>
      <w:r>
        <w:rPr>
          <w:spacing w:val="5"/>
          <w:position w:val="23"/>
        </w:rPr>
        <w:t>立项依据：</w:t>
      </w:r>
      <w:r>
        <w:rPr>
          <w:rFonts w:hint="eastAsia"/>
          <w:spacing w:val="5"/>
          <w:position w:val="23"/>
          <w:lang w:eastAsia="zh-CN"/>
        </w:rPr>
        <w:t>上级批复</w:t>
      </w:r>
      <w:r>
        <w:rPr>
          <w:spacing w:val="5"/>
          <w:position w:val="23"/>
        </w:rPr>
        <w:t>。</w:t>
      </w:r>
    </w:p>
    <w:p>
      <w:pPr>
        <w:pStyle w:val="8"/>
        <w:spacing w:before="153" w:line="624" w:lineRule="exact"/>
        <w:ind w:left="667"/>
        <w:rPr>
          <w:rFonts w:hint="eastAsia"/>
          <w:spacing w:val="5"/>
          <w:position w:val="23"/>
          <w:lang w:eastAsia="zh-CN"/>
        </w:rPr>
      </w:pPr>
      <w:r>
        <w:rPr>
          <w:spacing w:val="5"/>
          <w:position w:val="23"/>
        </w:rPr>
        <w:t>3）实施主体：</w:t>
      </w:r>
      <w:r>
        <w:rPr>
          <w:rFonts w:hint="eastAsia"/>
          <w:spacing w:val="5"/>
          <w:position w:val="23"/>
          <w:lang w:eastAsia="zh-CN"/>
        </w:rPr>
        <w:t>珠山区文联</w:t>
      </w:r>
    </w:p>
    <w:p>
      <w:pPr>
        <w:pStyle w:val="8"/>
        <w:spacing w:before="153" w:line="624" w:lineRule="exact"/>
        <w:ind w:left="667"/>
        <w:rPr>
          <w:rFonts w:hint="eastAsia"/>
          <w:spacing w:val="5"/>
          <w:position w:val="23"/>
          <w:lang w:eastAsia="zh-CN"/>
        </w:rPr>
      </w:pPr>
      <w:r>
        <w:rPr>
          <w:spacing w:val="5"/>
          <w:position w:val="23"/>
        </w:rPr>
        <w:t xml:space="preserve">4）实施方案： </w:t>
      </w:r>
      <w:r>
        <w:rPr>
          <w:rFonts w:hint="eastAsia"/>
          <w:spacing w:val="5"/>
          <w:position w:val="23"/>
          <w:lang w:eastAsia="zh-CN"/>
        </w:rPr>
        <w:t>无</w:t>
      </w:r>
    </w:p>
    <w:p>
      <w:pPr>
        <w:pStyle w:val="8"/>
        <w:spacing w:before="153" w:line="624" w:lineRule="exact"/>
        <w:ind w:left="667"/>
        <w:rPr>
          <w:spacing w:val="5"/>
          <w:position w:val="23"/>
        </w:rPr>
      </w:pPr>
      <w:r>
        <w:rPr>
          <w:spacing w:val="5"/>
          <w:position w:val="23"/>
        </w:rPr>
        <w:t>5)实施周期： 2024年1月1日-12月31日</w:t>
      </w:r>
    </w:p>
    <w:p>
      <w:pPr>
        <w:pStyle w:val="8"/>
        <w:spacing w:before="153" w:line="624" w:lineRule="exact"/>
        <w:ind w:left="667"/>
        <w:rPr>
          <w:spacing w:val="5"/>
          <w:position w:val="23"/>
        </w:rPr>
      </w:pPr>
      <w:r>
        <w:rPr>
          <w:spacing w:val="5"/>
          <w:position w:val="23"/>
        </w:rPr>
        <w:t>6)年度预算安排：</w:t>
      </w:r>
      <w:r>
        <w:rPr>
          <w:rFonts w:hint="eastAsia"/>
          <w:spacing w:val="5"/>
          <w:position w:val="23"/>
          <w:lang w:val="en-US" w:eastAsia="zh-CN"/>
        </w:rPr>
        <w:t>4.8</w:t>
      </w:r>
      <w:r>
        <w:rPr>
          <w:spacing w:val="5"/>
          <w:position w:val="23"/>
        </w:rPr>
        <w:t>万元</w:t>
      </w:r>
    </w:p>
    <w:p>
      <w:pPr>
        <w:spacing w:before="277" w:line="232" w:lineRule="auto"/>
        <w:ind w:left="26"/>
        <w:outlineLvl w:val="0"/>
        <w:rPr>
          <w:rFonts w:ascii="楷体" w:hAnsi="楷体" w:eastAsia="楷体" w:cs="楷体"/>
          <w:sz w:val="31"/>
          <w:szCs w:val="31"/>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spacing w:val="4"/>
          <w:position w:val="23"/>
        </w:rPr>
      </w:pPr>
      <w:r>
        <w:rPr>
          <w:spacing w:val="4"/>
          <w:position w:val="23"/>
        </w:rPr>
        <w:t>2024 年</w:t>
      </w:r>
      <w:r>
        <w:rPr>
          <w:rFonts w:hint="eastAsia"/>
          <w:spacing w:val="4"/>
          <w:position w:val="23"/>
          <w:lang w:val="en-US" w:eastAsia="zh-CN"/>
        </w:rPr>
        <w:t>文联</w:t>
      </w:r>
      <w:r>
        <w:rPr>
          <w:spacing w:val="4"/>
          <w:position w:val="23"/>
        </w:rPr>
        <w:t xml:space="preserve">财政拨款"三公"经费安排 </w:t>
      </w:r>
      <w:r>
        <w:rPr>
          <w:rFonts w:hint="eastAsia"/>
          <w:spacing w:val="4"/>
          <w:position w:val="23"/>
          <w:lang w:val="en-US" w:eastAsia="zh-CN"/>
        </w:rPr>
        <w:t>0.16</w:t>
      </w:r>
      <w:r>
        <w:rPr>
          <w:spacing w:val="4"/>
          <w:position w:val="23"/>
        </w:rPr>
        <w:t>万元，其中：</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spacing w:val="4"/>
          <w:position w:val="23"/>
        </w:rPr>
      </w:pPr>
      <w:r>
        <w:rPr>
          <w:spacing w:val="4"/>
          <w:position w:val="23"/>
        </w:rPr>
        <w:t>因公出国</w:t>
      </w:r>
      <w:r>
        <w:rPr>
          <w:rFonts w:hint="eastAsia"/>
          <w:spacing w:val="4"/>
          <w:position w:val="23"/>
          <w:lang w:val="en-US" w:eastAsia="zh-CN"/>
        </w:rPr>
        <w:t xml:space="preserve"> 0 </w:t>
      </w:r>
      <w:r>
        <w:rPr>
          <w:spacing w:val="4"/>
          <w:position w:val="23"/>
        </w:rPr>
        <w:t>万元,与上年持平，主要原因是：与上</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jc w:val="both"/>
        <w:textAlignment w:val="baseline"/>
        <w:rPr>
          <w:spacing w:val="4"/>
          <w:position w:val="23"/>
        </w:rPr>
      </w:pPr>
      <w:r>
        <w:rPr>
          <w:spacing w:val="4"/>
          <w:position w:val="23"/>
        </w:rPr>
        <w:t>年安排保持一致。</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rFonts w:hint="eastAsia"/>
          <w:spacing w:val="4"/>
          <w:position w:val="23"/>
          <w:lang w:eastAsia="zh-CN"/>
        </w:rPr>
      </w:pPr>
      <w:r>
        <w:rPr>
          <w:spacing w:val="4"/>
          <w:position w:val="23"/>
        </w:rPr>
        <w:t xml:space="preserve">公务接待 </w:t>
      </w:r>
      <w:r>
        <w:rPr>
          <w:rFonts w:hint="eastAsia"/>
          <w:spacing w:val="4"/>
          <w:position w:val="23"/>
          <w:lang w:val="en-US" w:eastAsia="zh-CN"/>
        </w:rPr>
        <w:t>0.16</w:t>
      </w:r>
      <w:r>
        <w:rPr>
          <w:spacing w:val="4"/>
          <w:position w:val="23"/>
        </w:rPr>
        <w:t>万元,与</w:t>
      </w:r>
      <w:r>
        <w:rPr>
          <w:rFonts w:hint="eastAsia"/>
          <w:spacing w:val="4"/>
          <w:position w:val="23"/>
          <w:lang w:eastAsia="zh-CN"/>
        </w:rPr>
        <w:t>减少</w:t>
      </w:r>
      <w:r>
        <w:rPr>
          <w:rFonts w:hint="eastAsia"/>
          <w:spacing w:val="4"/>
          <w:position w:val="23"/>
          <w:lang w:val="en-US" w:eastAsia="zh-CN"/>
        </w:rPr>
        <w:t>0 万元</w:t>
      </w:r>
      <w:r>
        <w:rPr>
          <w:spacing w:val="4"/>
          <w:position w:val="23"/>
        </w:rPr>
        <w:t>，主要原因是：与上年安排保持一致</w:t>
      </w:r>
      <w:r>
        <w:rPr>
          <w:rFonts w:hint="eastAsia"/>
          <w:spacing w:val="4"/>
          <w:position w:val="23"/>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rFonts w:hint="eastAsia"/>
          <w:spacing w:val="4"/>
          <w:position w:val="23"/>
        </w:rPr>
      </w:pPr>
      <w:r>
        <w:rPr>
          <w:rFonts w:hint="eastAsia"/>
          <w:spacing w:val="4"/>
          <w:position w:val="23"/>
        </w:rPr>
        <w:t>公务用车运行维护费</w:t>
      </w:r>
      <w:r>
        <w:rPr>
          <w:rFonts w:hint="eastAsia"/>
          <w:spacing w:val="4"/>
          <w:position w:val="23"/>
          <w:lang w:val="en-US" w:eastAsia="zh-CN"/>
        </w:rPr>
        <w:t>0</w:t>
      </w:r>
      <w:r>
        <w:rPr>
          <w:rFonts w:hint="eastAsia"/>
          <w:spacing w:val="4"/>
          <w:position w:val="23"/>
        </w:rPr>
        <w:t>万元，比上年增加</w:t>
      </w:r>
      <w:r>
        <w:rPr>
          <w:rFonts w:hint="eastAsia"/>
          <w:spacing w:val="4"/>
          <w:position w:val="23"/>
          <w:lang w:val="en-US" w:eastAsia="zh-CN"/>
        </w:rPr>
        <w:t>0</w:t>
      </w:r>
      <w:r>
        <w:rPr>
          <w:rFonts w:hint="eastAsia"/>
          <w:spacing w:val="4"/>
          <w:position w:val="23"/>
        </w:rPr>
        <w:t>万元，主要原因：</w:t>
      </w:r>
      <w:r>
        <w:rPr>
          <w:rFonts w:hint="eastAsia"/>
          <w:spacing w:val="4"/>
          <w:position w:val="23"/>
          <w:lang w:eastAsia="zh-CN"/>
        </w:rPr>
        <w:t>无预算</w:t>
      </w:r>
      <w:r>
        <w:rPr>
          <w:rFonts w:hint="eastAsia"/>
          <w:spacing w:val="4"/>
          <w:position w:val="23"/>
        </w:rPr>
        <w:t>。</w:t>
      </w:r>
    </w:p>
    <w:p>
      <w:pPr>
        <w:pStyle w:val="8"/>
        <w:keepNext w:val="0"/>
        <w:keepLines w:val="0"/>
        <w:pageBreakBefore w:val="0"/>
        <w:widowControl/>
        <w:kinsoku w:val="0"/>
        <w:wordWrap/>
        <w:overflowPunct/>
        <w:topLinePunct w:val="0"/>
        <w:autoSpaceDE w:val="0"/>
        <w:autoSpaceDN w:val="0"/>
        <w:bidi w:val="0"/>
        <w:adjustRightInd w:val="0"/>
        <w:snapToGrid w:val="0"/>
        <w:spacing w:before="160" w:line="624" w:lineRule="exact"/>
        <w:ind w:left="0" w:firstLine="636" w:firstLineChars="200"/>
        <w:jc w:val="both"/>
        <w:textAlignment w:val="baseline"/>
        <w:rPr>
          <w:rFonts w:hint="default" w:eastAsia="仿宋"/>
          <w:spacing w:val="4"/>
          <w:position w:val="23"/>
          <w:lang w:val="en-US" w:eastAsia="zh-CN"/>
        </w:rPr>
      </w:pPr>
      <w:r>
        <w:rPr>
          <w:rFonts w:hint="eastAsia"/>
          <w:spacing w:val="4"/>
          <w:position w:val="23"/>
        </w:rPr>
        <w:t>公务用车购置费0万元，比上年增（减）0万元。</w:t>
      </w:r>
      <w:r>
        <w:rPr>
          <w:rFonts w:hint="eastAsia"/>
          <w:spacing w:val="4"/>
          <w:position w:val="23"/>
          <w:lang w:val="en-US" w:eastAsia="zh-CN"/>
        </w:rPr>
        <w:t>主要原因：无公车。</w:t>
      </w:r>
    </w:p>
    <w:p>
      <w:pPr>
        <w:spacing w:line="298" w:lineRule="auto"/>
        <w:rPr>
          <w:rFonts w:ascii="Arial"/>
          <w:sz w:val="21"/>
        </w:rPr>
      </w:pPr>
    </w:p>
    <w:p>
      <w:pPr>
        <w:pStyle w:val="7"/>
        <w:rPr>
          <w:rFonts w:ascii="Arial"/>
          <w:sz w:val="21"/>
        </w:rPr>
      </w:pPr>
    </w:p>
    <w:p>
      <w:pPr>
        <w:pStyle w:val="7"/>
        <w:rPr>
          <w:rFonts w:ascii="Arial"/>
          <w:sz w:val="21"/>
        </w:rPr>
      </w:pPr>
    </w:p>
    <w:p>
      <w:pPr>
        <w:pStyle w:val="7"/>
        <w:rPr>
          <w:rFonts w:ascii="Arial"/>
          <w:sz w:val="21"/>
        </w:rPr>
      </w:pPr>
    </w:p>
    <w:p>
      <w:pPr>
        <w:spacing w:line="299" w:lineRule="auto"/>
        <w:rPr>
          <w:rFonts w:ascii="Arial"/>
          <w:sz w:val="21"/>
        </w:rPr>
      </w:pPr>
    </w:p>
    <w:p>
      <w:pPr>
        <w:spacing w:line="299" w:lineRule="auto"/>
        <w:rPr>
          <w:rFonts w:ascii="Arial"/>
          <w:sz w:val="21"/>
        </w:rPr>
      </w:pPr>
    </w:p>
    <w:p>
      <w:pPr>
        <w:pStyle w:val="8"/>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pPr>
        <w:spacing w:line="324" w:lineRule="auto"/>
        <w:rPr>
          <w:rFonts w:ascii="Arial"/>
          <w:sz w:val="21"/>
        </w:rPr>
      </w:pPr>
    </w:p>
    <w:p>
      <w:pPr>
        <w:spacing w:line="324" w:lineRule="auto"/>
        <w:rPr>
          <w:rFonts w:ascii="Arial"/>
          <w:sz w:val="21"/>
        </w:rPr>
      </w:pPr>
    </w:p>
    <w:p>
      <w:pPr>
        <w:spacing w:before="102" w:line="234" w:lineRule="auto"/>
        <w:ind w:left="670"/>
        <w:outlineLvl w:val="6"/>
        <w:rPr>
          <w:rFonts w:ascii="楷体" w:hAnsi="楷体" w:eastAsia="楷体" w:cs="楷体"/>
          <w:sz w:val="31"/>
          <w:szCs w:val="31"/>
        </w:rPr>
      </w:pPr>
      <w:r>
        <w:rPr>
          <w:rFonts w:ascii="楷体" w:hAnsi="楷体" w:eastAsia="楷体" w:cs="楷体"/>
          <w:spacing w:val="-4"/>
          <w:sz w:val="31"/>
          <w:szCs w:val="31"/>
          <w14:textOutline w14:w="4064" w14:cap="flat" w14:cmpd="sng">
            <w14:solidFill>
              <w14:srgbClr w14:val="000000"/>
            </w14:solidFill>
            <w14:prstDash w14:val="solid"/>
            <w14:miter w14:val="0"/>
          </w14:textOutline>
        </w:rPr>
        <w:t>一、收入科目</w:t>
      </w:r>
    </w:p>
    <w:p>
      <w:pPr>
        <w:pStyle w:val="8"/>
        <w:spacing w:before="217" w:line="600" w:lineRule="exact"/>
        <w:ind w:left="675"/>
        <w:rPr>
          <w:position w:val="21"/>
        </w:rPr>
      </w:pPr>
      <w:r>
        <w:rPr>
          <w:position w:val="21"/>
        </w:rPr>
        <w:t>（一）财政拨款：</w:t>
      </w:r>
      <w:r>
        <w:rPr>
          <w:rFonts w:hint="eastAsia"/>
          <w:position w:val="21"/>
        </w:rPr>
        <w:t>指市级财政当年拨付的资金。</w:t>
      </w:r>
    </w:p>
    <w:p>
      <w:pPr>
        <w:pStyle w:val="8"/>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position w:val="21"/>
        </w:rPr>
      </w:pPr>
      <w:r>
        <w:rPr>
          <w:position w:val="21"/>
        </w:rPr>
        <w:t>（二）</w:t>
      </w:r>
      <w:r>
        <w:rPr>
          <w:rFonts w:hint="eastAsia"/>
          <w:position w:val="21"/>
        </w:rPr>
        <w:t>事业收入：指事业单位开展专业业务活动及辅助活动取得的收入。</w:t>
      </w:r>
    </w:p>
    <w:p>
      <w:pPr>
        <w:pStyle w:val="8"/>
        <w:spacing w:before="217" w:line="600" w:lineRule="exact"/>
        <w:ind w:left="675"/>
      </w:pPr>
      <w:r>
        <w:rPr>
          <w:position w:val="21"/>
        </w:rPr>
        <w:t>（三） 事业单位经营收入：指事业单位在专业业务活动</w:t>
      </w:r>
    </w:p>
    <w:p>
      <w:pPr>
        <w:pStyle w:val="8"/>
        <w:spacing w:before="1" w:line="226" w:lineRule="auto"/>
        <w:ind w:left="38"/>
      </w:pPr>
      <w:r>
        <w:rPr>
          <w:spacing w:val="6"/>
        </w:rPr>
        <w:t>及辅助活动之外开展非独立核算经营活动取得的收入。</w:t>
      </w:r>
    </w:p>
    <w:p>
      <w:pPr>
        <w:pStyle w:val="8"/>
        <w:spacing w:before="219" w:line="600" w:lineRule="exact"/>
        <w:ind w:left="675"/>
      </w:pPr>
      <w:r>
        <w:rPr>
          <w:spacing w:val="7"/>
          <w:position w:val="21"/>
        </w:rPr>
        <w:t>（四）其他收入：指除财政拨款、事业收入、事业单位</w:t>
      </w:r>
    </w:p>
    <w:p>
      <w:pPr>
        <w:pStyle w:val="8"/>
        <w:spacing w:before="1" w:line="229" w:lineRule="auto"/>
        <w:ind w:left="34"/>
      </w:pPr>
      <w:r>
        <w:rPr>
          <w:spacing w:val="4"/>
        </w:rPr>
        <w:t>经营收入等以外的各项收入。</w:t>
      </w:r>
    </w:p>
    <w:p>
      <w:pPr>
        <w:pStyle w:val="8"/>
        <w:spacing w:before="215" w:line="600" w:lineRule="exact"/>
        <w:ind w:left="678"/>
      </w:pPr>
      <w:r>
        <w:rPr>
          <w:spacing w:val="9"/>
          <w:position w:val="21"/>
        </w:rPr>
        <w:t>（五）上年结转和结余：填列 2023</w:t>
      </w:r>
      <w:r>
        <w:rPr>
          <w:spacing w:val="-36"/>
          <w:position w:val="21"/>
        </w:rPr>
        <w:t xml:space="preserve"> </w:t>
      </w:r>
      <w:r>
        <w:rPr>
          <w:spacing w:val="9"/>
          <w:position w:val="21"/>
        </w:rPr>
        <w:t>年全部结转和结余</w:t>
      </w:r>
    </w:p>
    <w:p>
      <w:pPr>
        <w:pStyle w:val="8"/>
        <w:spacing w:before="1" w:line="224" w:lineRule="auto"/>
        <w:jc w:val="right"/>
      </w:pPr>
      <w:r>
        <w:rPr>
          <w:spacing w:val="6"/>
        </w:rPr>
        <w:t>的资金数，包括当年结转结余资金和历年滚存结转结余资金。</w:t>
      </w:r>
    </w:p>
    <w:p>
      <w:pPr>
        <w:numPr>
          <w:ilvl w:val="0"/>
          <w:numId w:val="2"/>
        </w:numPr>
        <w:spacing w:before="222" w:line="234" w:lineRule="auto"/>
        <w:ind w:left="666"/>
        <w:outlineLvl w:val="6"/>
        <w:rPr>
          <w:rFonts w:ascii="楷体" w:hAnsi="楷体" w:eastAsia="楷体" w:cs="楷体"/>
          <w:spacing w:val="9"/>
          <w:sz w:val="31"/>
          <w:szCs w:val="31"/>
          <w14:textOutline w14:w="4064" w14:cap="flat" w14:cmpd="sng">
            <w14:solidFill>
              <w14:srgbClr w14:val="000000"/>
            </w14:solidFill>
            <w14:prstDash w14:val="solid"/>
            <w14:miter w14:val="0"/>
          </w14:textOutline>
        </w:rPr>
      </w:pPr>
      <w:r>
        <w:rPr>
          <w:rFonts w:ascii="楷体" w:hAnsi="楷体" w:eastAsia="楷体" w:cs="楷体"/>
          <w:spacing w:val="9"/>
          <w:sz w:val="31"/>
          <w:szCs w:val="31"/>
          <w14:textOutline w14:w="4064" w14:cap="flat" w14:cmpd="sng">
            <w14:solidFill>
              <w14:srgbClr w14:val="000000"/>
            </w14:solidFill>
            <w14:prstDash w14:val="solid"/>
            <w14:miter w14:val="0"/>
          </w14:textOutline>
        </w:rPr>
        <w:t>支出科目</w:t>
      </w:r>
    </w:p>
    <w:p>
      <w:pPr>
        <w:pStyle w:val="8"/>
        <w:tabs>
          <w:tab w:val="left" w:pos="8609"/>
        </w:tabs>
        <w:spacing w:before="216" w:line="357" w:lineRule="auto"/>
        <w:ind w:left="39" w:firstLine="683" w:firstLineChars="211"/>
        <w:jc w:val="both"/>
        <w:rPr>
          <w:rFonts w:hint="eastAsia"/>
          <w:spacing w:val="7"/>
        </w:rPr>
      </w:pPr>
      <w:r>
        <w:rPr>
          <w:rFonts w:hint="eastAsia"/>
          <w:spacing w:val="7"/>
        </w:rPr>
        <w:t>对部门预算中涉及的支出功能分类科目（明细到项级），结合部门实际，参照《2023年政府收支分类科目》的规范说明进行解释。</w:t>
      </w:r>
    </w:p>
    <w:p>
      <w:pPr>
        <w:pStyle w:val="8"/>
        <w:tabs>
          <w:tab w:val="left" w:pos="8609"/>
        </w:tabs>
        <w:spacing w:before="216" w:line="357" w:lineRule="auto"/>
        <w:ind w:left="39" w:firstLine="683" w:firstLineChars="211"/>
        <w:jc w:val="both"/>
        <w:rPr>
          <w:rFonts w:hint="eastAsia"/>
          <w:spacing w:val="7"/>
        </w:rPr>
      </w:pPr>
      <w:r>
        <w:rPr>
          <w:rFonts w:hint="eastAsia"/>
          <w:spacing w:val="7"/>
        </w:rPr>
        <w:t>（一）一般公共服务支出：反映行政事业单位的相关支出。</w:t>
      </w:r>
    </w:p>
    <w:p>
      <w:pPr>
        <w:pStyle w:val="8"/>
        <w:tabs>
          <w:tab w:val="left" w:pos="8609"/>
        </w:tabs>
        <w:spacing w:before="216" w:line="357" w:lineRule="auto"/>
        <w:ind w:left="39" w:firstLine="683" w:firstLineChars="211"/>
        <w:jc w:val="both"/>
        <w:rPr>
          <w:rFonts w:hint="eastAsia"/>
          <w:spacing w:val="7"/>
        </w:rPr>
      </w:pPr>
      <w:r>
        <w:rPr>
          <w:rFonts w:hint="eastAsia"/>
          <w:spacing w:val="7"/>
        </w:rPr>
        <w:t>（二）社会保障和就业支出：反映机关事业单位实施养老保险制度由单位缴纳的基本养老保险费支出。</w:t>
      </w:r>
    </w:p>
    <w:p>
      <w:pPr>
        <w:pStyle w:val="8"/>
        <w:tabs>
          <w:tab w:val="left" w:pos="8609"/>
        </w:tabs>
        <w:spacing w:before="216" w:line="357" w:lineRule="auto"/>
        <w:ind w:left="39" w:firstLine="683" w:firstLineChars="211"/>
        <w:jc w:val="both"/>
        <w:rPr>
          <w:rFonts w:hint="eastAsia"/>
          <w:spacing w:val="7"/>
        </w:rPr>
      </w:pPr>
      <w:r>
        <w:rPr>
          <w:rFonts w:hint="eastAsia"/>
          <w:spacing w:val="7"/>
        </w:rPr>
        <w:t>（三）卫生健康支出：反映行政事业单位医疗方面的支出。</w:t>
      </w:r>
    </w:p>
    <w:p>
      <w:pPr>
        <w:pStyle w:val="8"/>
        <w:tabs>
          <w:tab w:val="left" w:pos="8609"/>
        </w:tabs>
        <w:spacing w:before="216" w:line="357" w:lineRule="auto"/>
        <w:ind w:left="39" w:firstLine="683" w:firstLineChars="211"/>
        <w:jc w:val="both"/>
        <w:rPr>
          <w:rFonts w:hint="eastAsia"/>
          <w:spacing w:val="7"/>
        </w:rPr>
      </w:pPr>
      <w:r>
        <w:rPr>
          <w:rFonts w:hint="eastAsia"/>
          <w:spacing w:val="7"/>
        </w:rPr>
        <w:t>（四）住房保障支出：反映行政事业单位按人力资源和社会保障部、财政部规定的基本工资和津贴补贴以及规定比例为职工缴纳的住房公积金。</w:t>
      </w:r>
    </w:p>
    <w:p>
      <w:pPr>
        <w:spacing w:before="213" w:line="232" w:lineRule="auto"/>
        <w:ind w:left="660"/>
        <w:outlineLvl w:val="6"/>
        <w:rPr>
          <w:rFonts w:ascii="楷体" w:hAnsi="楷体" w:eastAsia="楷体" w:cs="楷体"/>
          <w:sz w:val="31"/>
          <w:szCs w:val="31"/>
        </w:rPr>
      </w:pPr>
      <w:r>
        <w:rPr>
          <w:rFonts w:ascii="楷体" w:hAnsi="楷体" w:eastAsia="楷体" w:cs="楷体"/>
          <w:spacing w:val="10"/>
          <w:sz w:val="31"/>
          <w:szCs w:val="31"/>
          <w14:textOutline w14:w="4064" w14:cap="flat" w14:cmpd="sng">
            <w14:solidFill>
              <w14:srgbClr w14:val="000000"/>
            </w14:solidFill>
            <w14:prstDash w14:val="solid"/>
            <w14:miter w14:val="0"/>
          </w14:textOutline>
        </w:rPr>
        <w:t>三、相关专业名词</w:t>
      </w:r>
    </w:p>
    <w:p>
      <w:pPr>
        <w:pStyle w:val="8"/>
        <w:tabs>
          <w:tab w:val="left" w:pos="8609"/>
        </w:tabs>
        <w:spacing w:before="216" w:line="357" w:lineRule="auto"/>
        <w:ind w:left="39" w:firstLine="683" w:firstLineChars="211"/>
        <w:jc w:val="both"/>
        <w:rPr>
          <w:spacing w:val="7"/>
        </w:rPr>
      </w:pPr>
      <w:r>
        <w:rPr>
          <w:spacing w:val="7"/>
        </w:rPr>
        <w:t>（一）机关运行费： 指用一般公共预算财政拨款安排的 为保障行政单位（含参照公务员法管理的事业单位）运行用 于购买货物和服务的各项资金，包括办公费、印刷费、邮电 费、差旅费、会议费、福利费、日常维修费、专用材料及一 般设备购置费、办公用房水电费、办公用房取暖费、办公用房物业管理费、公务用车运行维护费以及其他费用。</w:t>
      </w:r>
    </w:p>
    <w:p>
      <w:pPr>
        <w:pStyle w:val="8"/>
        <w:spacing w:before="221" w:line="600" w:lineRule="exact"/>
        <w:jc w:val="right"/>
      </w:pPr>
      <w:r>
        <w:rPr>
          <w:spacing w:val="-11"/>
          <w:position w:val="21"/>
        </w:rPr>
        <w:t>（二）“三公”经费：指用财政拨款安排的因公出国（</w:t>
      </w:r>
      <w:r>
        <w:rPr>
          <w:spacing w:val="-12"/>
          <w:position w:val="21"/>
        </w:rPr>
        <w:t>境）</w:t>
      </w:r>
    </w:p>
    <w:p>
      <w:pPr>
        <w:pStyle w:val="8"/>
        <w:spacing w:before="1" w:line="225" w:lineRule="auto"/>
        <w:ind w:left="44"/>
      </w:pPr>
      <w:r>
        <w:rPr>
          <w:spacing w:val="3"/>
        </w:rPr>
        <w:t>费、公务用车购置及运行维护费和公务接待</w:t>
      </w:r>
      <w:r>
        <w:rPr>
          <w:spacing w:val="2"/>
        </w:rPr>
        <w:t>费。其中， 因公</w:t>
      </w:r>
    </w:p>
    <w:p>
      <w:pPr>
        <w:pStyle w:val="8"/>
        <w:tabs>
          <w:tab w:val="left" w:pos="8609"/>
        </w:tabs>
        <w:spacing w:before="216" w:line="357" w:lineRule="auto"/>
        <w:ind w:left="39" w:firstLine="27"/>
        <w:jc w:val="both"/>
      </w:pPr>
      <w:r>
        <w:rPr>
          <w:spacing w:val="-7"/>
        </w:rPr>
        <w:t>出国（境） 费反映单位公务出国（境）</w:t>
      </w:r>
      <w:r>
        <w:rPr>
          <w:spacing w:val="68"/>
        </w:rPr>
        <w:t xml:space="preserve"> </w:t>
      </w:r>
      <w:r>
        <w:rPr>
          <w:spacing w:val="-7"/>
        </w:rPr>
        <w:t>的国际旅费、国外城</w:t>
      </w:r>
      <w:r>
        <w:t xml:space="preserve">   </w:t>
      </w:r>
      <w:r>
        <w:rPr>
          <w:spacing w:val="7"/>
        </w:rPr>
        <w:t>市间交通费、住宿费、伙食费、培训费、公杂费等支出；公</w:t>
      </w:r>
      <w:r>
        <w:rPr>
          <w:spacing w:val="19"/>
        </w:rPr>
        <w:t xml:space="preserve">务用车购置及运行维护费反映单位公务用车车辆购置支出  </w:t>
      </w:r>
      <w:r>
        <w:rPr>
          <w:spacing w:val="-4"/>
        </w:rPr>
        <w:t>（含车辆购置税、牌照费</w:t>
      </w:r>
      <w:r>
        <w:rPr>
          <w:spacing w:val="-6"/>
        </w:rPr>
        <w:t>）</w:t>
      </w:r>
      <w:r>
        <w:rPr>
          <w:spacing w:val="-31"/>
        </w:rPr>
        <w:t xml:space="preserve"> </w:t>
      </w:r>
      <w:r>
        <w:rPr>
          <w:spacing w:val="-6"/>
        </w:rPr>
        <w:t>，</w:t>
      </w:r>
      <w:r>
        <w:rPr>
          <w:spacing w:val="-4"/>
        </w:rPr>
        <w:t>按规定保留的公务用车燃料费、</w:t>
      </w:r>
      <w:r>
        <w:t xml:space="preserve">  </w:t>
      </w:r>
      <w:r>
        <w:rPr>
          <w:spacing w:val="13"/>
        </w:rPr>
        <w:t>维修费、过桥过路费、保险费、安全奖励费 用等支出；公</w:t>
      </w:r>
      <w:r>
        <w:rPr>
          <w:spacing w:val="7"/>
        </w:rPr>
        <w:t>务接待费反映单位按规定开支的各类公务接待（含外宾接待）</w:t>
      </w:r>
    </w:p>
    <w:p>
      <w:pPr>
        <w:pStyle w:val="8"/>
        <w:spacing w:before="1" w:line="229" w:lineRule="auto"/>
        <w:ind w:left="34"/>
      </w:pPr>
      <w:r>
        <w:rPr>
          <w:spacing w:val="-9"/>
        </w:rPr>
        <w:t>支出。</w:t>
      </w:r>
    </w:p>
    <w:p>
      <w:pPr>
        <w:spacing w:line="225" w:lineRule="auto"/>
        <w:sectPr>
          <w:pgSz w:w="11905" w:h="16840"/>
          <w:pgMar w:top="1431" w:right="1666" w:bottom="0" w:left="1785" w:header="0" w:footer="0" w:gutter="0"/>
          <w:cols w:space="720" w:num="1"/>
        </w:sectPr>
      </w:pPr>
      <w:bookmarkStart w:id="0" w:name="_GoBack"/>
      <w:bookmarkEnd w:id="0"/>
    </w:p>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CA1B0"/>
    <w:multiLevelType w:val="singleLevel"/>
    <w:tmpl w:val="E9BCA1B0"/>
    <w:lvl w:ilvl="0" w:tentative="0">
      <w:start w:val="1"/>
      <w:numFmt w:val="decimal"/>
      <w:suff w:val="nothing"/>
      <w:lvlText w:val="%1）"/>
      <w:lvlJc w:val="left"/>
    </w:lvl>
  </w:abstractNum>
  <w:abstractNum w:abstractNumId="1">
    <w:nsid w:val="0A1D13AD"/>
    <w:multiLevelType w:val="singleLevel"/>
    <w:tmpl w:val="0A1D13A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NmJiYzViNTcxNDBkYzBhOGE1Y2E5YTc4NjcwNzgifQ=="/>
  </w:docVars>
  <w:rsids>
    <w:rsidRoot w:val="00000000"/>
    <w:rsid w:val="00806172"/>
    <w:rsid w:val="043467F3"/>
    <w:rsid w:val="0A64358B"/>
    <w:rsid w:val="16BD06F9"/>
    <w:rsid w:val="1952091A"/>
    <w:rsid w:val="22737119"/>
    <w:rsid w:val="44C012D8"/>
    <w:rsid w:val="4EFA56A9"/>
    <w:rsid w:val="5854137A"/>
    <w:rsid w:val="5AB865E5"/>
    <w:rsid w:val="5E5041D4"/>
    <w:rsid w:val="5E604DE2"/>
    <w:rsid w:val="611A085E"/>
    <w:rsid w:val="6673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2"/>
    <w:basedOn w:val="1"/>
    <w:next w:val="1"/>
    <w:qFormat/>
    <w:uiPriority w:val="0"/>
    <w:pPr>
      <w:keepNext/>
      <w:keepLines/>
      <w:spacing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cs="Times New Roman"/>
      <w:szCs w:val="20"/>
    </w:rPr>
  </w:style>
  <w:style w:type="paragraph" w:styleId="7">
    <w:name w:val="Normal Indent"/>
    <w:basedOn w:val="1"/>
    <w:qFormat/>
    <w:uiPriority w:val="0"/>
    <w:pPr>
      <w:spacing w:line="560" w:lineRule="exact"/>
      <w:ind w:firstLine="420"/>
    </w:pPr>
    <w:rPr>
      <w:rFonts w:ascii="Times New Roman" w:hAnsi="Times New Roman" w:eastAsia="仿宋" w:cs="Times New Roman"/>
      <w:szCs w:val="24"/>
    </w:rPr>
  </w:style>
  <w:style w:type="paragraph" w:styleId="8">
    <w:name w:val="Body Text"/>
    <w:basedOn w:val="1"/>
    <w:qFormat/>
    <w:uiPriority w:val="0"/>
    <w:rPr>
      <w:rFonts w:ascii="仿宋" w:hAnsi="仿宋" w:eastAsia="仿宋" w:cs="仿宋"/>
      <w:sz w:val="31"/>
      <w:szCs w:val="31"/>
      <w:lang w:val="en-US" w:eastAsia="en-US" w:bidi="ar-SA"/>
    </w:rPr>
  </w:style>
  <w:style w:type="paragraph" w:styleId="9">
    <w:name w:val="index 9"/>
    <w:basedOn w:val="1"/>
    <w:next w:val="1"/>
    <w:qFormat/>
    <w:uiPriority w:val="0"/>
    <w:pPr>
      <w:ind w:left="3360"/>
      <w:jc w:val="left"/>
    </w:pPr>
  </w:style>
  <w:style w:type="paragraph" w:styleId="10">
    <w:name w:val="Normal (Web)"/>
    <w:basedOn w:val="1"/>
    <w:next w:val="9"/>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2665</Words>
  <Characters>2868</Characters>
  <Lines>0</Lines>
  <Paragraphs>0</Paragraphs>
  <TotalTime>0</TotalTime>
  <ScaleCrop>false</ScaleCrop>
  <LinksUpToDate>false</LinksUpToDate>
  <CharactersWithSpaces>2992</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小欣欣</cp:lastModifiedBy>
  <dcterms:modified xsi:type="dcterms:W3CDTF">2025-06-25T09:06:38Z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1957E35416E24A3EB51D7176C31B2FFF_12</vt:lpwstr>
  </property>
</Properties>
</file>