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1348">
      <w:pPr>
        <w:spacing w:before="99" w:line="226" w:lineRule="auto"/>
        <w:ind w:left="2220" w:hanging="2220" w:hangingChars="500"/>
        <w:outlineLvl w:val="0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12EEC9EB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20E4D1E9">
      <w:pPr>
        <w:spacing w:line="450" w:lineRule="auto"/>
        <w:rPr>
          <w:rFonts w:ascii="Arial"/>
          <w:sz w:val="21"/>
        </w:rPr>
      </w:pPr>
    </w:p>
    <w:p w14:paraId="0E4D8B87">
      <w:pPr>
        <w:pStyle w:val="7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5B5B05B2">
      <w:pPr>
        <w:pStyle w:val="7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66E96A18">
      <w:pPr>
        <w:pStyle w:val="7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587AF3B5">
      <w:pPr>
        <w:pStyle w:val="7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1E628D94">
      <w:pPr>
        <w:pStyle w:val="7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3169E65F">
      <w:pPr>
        <w:pStyle w:val="7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68616631">
      <w:pPr>
        <w:pStyle w:val="7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448A1AA7">
      <w:pPr>
        <w:pStyle w:val="7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5F47F02D">
      <w:pPr>
        <w:pStyle w:val="7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50C85E47">
      <w:pPr>
        <w:pStyle w:val="7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609E63EE">
      <w:pPr>
        <w:pStyle w:val="7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61CA6694">
      <w:pPr>
        <w:pStyle w:val="7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5B4EDCDD">
      <w:pPr>
        <w:pStyle w:val="7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2EC3E794">
      <w:pPr>
        <w:pStyle w:val="7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39B05152">
      <w:pPr>
        <w:pStyle w:val="7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45319157">
      <w:pPr>
        <w:pStyle w:val="7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5D37A9D7">
      <w:pPr>
        <w:pStyle w:val="7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01B79746">
      <w:pPr>
        <w:pStyle w:val="7"/>
        <w:spacing w:before="241" w:line="228" w:lineRule="auto"/>
        <w:ind w:left="1324"/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年“三公”经费预算情况说明</w:t>
      </w:r>
    </w:p>
    <w:p w14:paraId="39F35FC6">
      <w:pPr>
        <w:pStyle w:val="7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12627C78">
      <w:pPr>
        <w:pStyle w:val="7"/>
        <w:spacing w:before="161" w:line="228" w:lineRule="auto"/>
        <w:rPr>
          <w:rFonts w:ascii="Arial"/>
          <w:sz w:val="21"/>
        </w:rPr>
      </w:pPr>
    </w:p>
    <w:p w14:paraId="050D59CB">
      <w:pPr>
        <w:spacing w:line="265" w:lineRule="auto"/>
        <w:rPr>
          <w:rFonts w:ascii="Arial"/>
          <w:sz w:val="21"/>
        </w:rPr>
      </w:pPr>
    </w:p>
    <w:p w14:paraId="1109181B">
      <w:pPr>
        <w:spacing w:line="266" w:lineRule="auto"/>
        <w:rPr>
          <w:rFonts w:ascii="Arial"/>
          <w:sz w:val="21"/>
        </w:rPr>
      </w:pPr>
    </w:p>
    <w:p w14:paraId="771B7ACB">
      <w:pPr>
        <w:spacing w:line="266" w:lineRule="auto"/>
        <w:rPr>
          <w:rFonts w:ascii="Arial"/>
          <w:sz w:val="21"/>
        </w:rPr>
      </w:pPr>
    </w:p>
    <w:p w14:paraId="4DC3F569">
      <w:pPr>
        <w:spacing w:line="266" w:lineRule="auto"/>
        <w:rPr>
          <w:rFonts w:ascii="Arial"/>
          <w:sz w:val="21"/>
        </w:rPr>
      </w:pPr>
    </w:p>
    <w:p w14:paraId="390CAD54">
      <w:pPr>
        <w:pStyle w:val="7"/>
        <w:spacing w:before="101" w:line="228" w:lineRule="auto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2FBDDA8E">
      <w:pPr>
        <w:spacing w:line="335" w:lineRule="auto"/>
        <w:rPr>
          <w:rFonts w:ascii="Arial"/>
          <w:sz w:val="21"/>
        </w:rPr>
      </w:pPr>
    </w:p>
    <w:p w14:paraId="280B785B">
      <w:pPr>
        <w:spacing w:line="336" w:lineRule="auto"/>
        <w:rPr>
          <w:rFonts w:ascii="Arial"/>
          <w:sz w:val="21"/>
        </w:rPr>
      </w:pPr>
    </w:p>
    <w:p w14:paraId="14B16948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一、部门主要职责</w:t>
      </w:r>
    </w:p>
    <w:p w14:paraId="7F2DEF6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 w14:paraId="39E79501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2、负责精神文明建设工作，积极组织以提高市民质素为目的的活动，树立文明新风。 </w:t>
      </w:r>
    </w:p>
    <w:p w14:paraId="17E741C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3、按照职责范围，负责街道辖区内的城市建设和管理、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市容环境卫生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、环境保护、市政、等监督、管理、服务工作。 </w:t>
      </w:r>
    </w:p>
    <w:p w14:paraId="4B5FD1A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4、负责街道辖区内的维护稳定及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社会治安综合治理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工作，依照有关规定做好出租屋和外来暂住人员的管理工作；负责民事调解，法律服务工作，维护居民的合法权益。 </w:t>
      </w:r>
    </w:p>
    <w:p w14:paraId="21113C5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5 、负责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社区建设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和管理，积极开展社区服务工作，大力兴办社区福利事业，发动和组织社区成员开展各类社区公益活动；负责拥军优属、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优抚安置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社会救济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、社会福利、社区文化、科普、体育、教育等工作。 </w:t>
      </w:r>
    </w:p>
    <w:p w14:paraId="21B4183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 xml:space="preserve">        </w:t>
      </w:r>
    </w:p>
    <w:p w14:paraId="2A5F6D5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7、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负责计划生育、劳动就业、安全生产管理、初级卫生保健、民兵、兵役、侨务等工作；尊重少数民族的风俗习惯，保障少数民族的权益。 </w:t>
      </w:r>
    </w:p>
    <w:p w14:paraId="0A30EEE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8、指导和帮助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居民委员会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搞好组织建设和制度建设，发挥居委会的群众自治组织作用。 </w:t>
      </w:r>
    </w:p>
    <w:p w14:paraId="6578771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9、配合有关部门做好防汛、防风、防火、防震、防灾和抢险工作。 </w:t>
      </w:r>
    </w:p>
    <w:p w14:paraId="521A625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10、向区人民政府反映居民群众的意见和要求，办理人民群众来信来访事项。 </w:t>
      </w:r>
    </w:p>
    <w:p w14:paraId="6F651B01">
      <w:pPr>
        <w:pStyle w:val="7"/>
        <w:spacing w:before="239" w:line="222" w:lineRule="auto"/>
        <w:ind w:left="673"/>
        <w:rPr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   11、承办区委、区政府和上级部门交办的其他事项</w:t>
      </w:r>
      <w:r>
        <w:rPr>
          <w:spacing w:val="-4"/>
          <w:sz w:val="32"/>
          <w:szCs w:val="32"/>
        </w:rPr>
        <w:t>。</w:t>
      </w:r>
    </w:p>
    <w:p w14:paraId="0B39D595"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6D2E44FB">
      <w:pPr>
        <w:snapToGrid w:val="0"/>
        <w:spacing w:line="520" w:lineRule="exact"/>
        <w:ind w:firstLine="84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本部门共有预算单位1个，即部门本级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019665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景德镇市珠山区珠山街道办事处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共有预算单位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个，即部门本级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编制数为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人，其中：行政编制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人、参照公务员管理事业编制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人、全额补助事业编制0人。实有人数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人，其中：在职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人，包括行政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人、全额补助1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人；退休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人。</w:t>
      </w:r>
    </w:p>
    <w:p w14:paraId="2FA6A1E0">
      <w:pPr>
        <w:spacing w:line="249" w:lineRule="auto"/>
        <w:rPr>
          <w:rFonts w:ascii="Arial"/>
          <w:sz w:val="21"/>
        </w:rPr>
      </w:pPr>
    </w:p>
    <w:p w14:paraId="7267661D">
      <w:pPr>
        <w:pStyle w:val="7"/>
        <w:spacing w:before="104" w:line="222" w:lineRule="auto"/>
        <w:ind w:left="1064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1A182B7F">
      <w:pPr>
        <w:spacing w:line="249" w:lineRule="auto"/>
        <w:rPr>
          <w:rFonts w:ascii="Arial"/>
          <w:sz w:val="21"/>
        </w:rPr>
      </w:pPr>
    </w:p>
    <w:p w14:paraId="061FF2A6">
      <w:pPr>
        <w:spacing w:line="249" w:lineRule="auto"/>
        <w:rPr>
          <w:rFonts w:ascii="Arial"/>
          <w:sz w:val="21"/>
        </w:rPr>
      </w:pPr>
    </w:p>
    <w:p w14:paraId="131EFCC4">
      <w:pPr>
        <w:pStyle w:val="7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江西省财政厅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502C0927"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tbl>
      <w:tblPr>
        <w:tblStyle w:val="10"/>
        <w:tblW w:w="14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6"/>
        <w:gridCol w:w="1779"/>
        <w:gridCol w:w="5597"/>
        <w:gridCol w:w="1205"/>
      </w:tblGrid>
      <w:tr w14:paraId="301D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收支预算总表</w:t>
            </w:r>
          </w:p>
        </w:tc>
      </w:tr>
      <w:tr w14:paraId="7CBB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填报单位:[401]景德镇市珠山区珠山街道办事处 , [401001]景德镇市珠山区珠山街道办事处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D589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E96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B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096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6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 w14:paraId="2A38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项目(按支出功能科目类级)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 w14:paraId="7FF7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76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C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2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419.45</w:t>
            </w:r>
          </w:p>
        </w:tc>
      </w:tr>
      <w:tr w14:paraId="08A6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（一）一般公共预算收入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3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6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26.48</w:t>
            </w:r>
          </w:p>
        </w:tc>
      </w:tr>
      <w:tr w14:paraId="2A57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（二）政府性基金预算收入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1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C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10.76</w:t>
            </w:r>
          </w:p>
        </w:tc>
      </w:tr>
      <w:tr w14:paraId="7FD9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（三）国有资本经营预算收入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D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9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184.06</w:t>
            </w:r>
          </w:p>
        </w:tc>
      </w:tr>
      <w:tr w14:paraId="31A0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66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二、教育收费资金收入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23.17</w:t>
            </w:r>
          </w:p>
        </w:tc>
      </w:tr>
      <w:tr w14:paraId="666E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5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4DE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四、事业单位经营收入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6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9F4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3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D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843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DA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9B0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B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03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A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1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4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3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8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</w:tr>
      <w:tr w14:paraId="5CC6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八、使用非财政拨款结余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C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8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57A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九、上年结转（结余）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9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3D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82D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4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5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6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F4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52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0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5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  <w:tc>
          <w:tcPr>
            <w:tcW w:w="5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2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663.91</w:t>
            </w:r>
          </w:p>
        </w:tc>
      </w:tr>
    </w:tbl>
    <w:p w14:paraId="6779106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69591B48"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54824A4">
      <w:pPr>
        <w:pStyle w:val="2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165AF0B">
      <w:pPr>
        <w:pStyle w:val="3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65DEA95">
      <w:pPr>
        <w:rPr>
          <w:rFonts w:ascii="Arial"/>
          <w:sz w:val="21"/>
        </w:rPr>
      </w:pPr>
    </w:p>
    <w:p w14:paraId="36FAFEF1">
      <w:pPr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object>
          <v:shape id="_x0000_i1025" o:spt="75" type="#_x0000_t75" style="height:418.95pt;width:737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</w:p>
    <w:p w14:paraId="3F44C857">
      <w:pPr>
        <w:pStyle w:val="2"/>
        <w:rPr>
          <w:rFonts w:ascii="Arial" w:hAnsi="Arial" w:eastAsia="Arial" w:cs="Arial"/>
          <w:sz w:val="21"/>
          <w:szCs w:val="21"/>
        </w:rPr>
      </w:pPr>
    </w:p>
    <w:p w14:paraId="5382D2C9">
      <w:pPr>
        <w:pStyle w:val="3"/>
        <w:rPr>
          <w:rFonts w:ascii="Arial" w:hAnsi="Arial" w:eastAsia="Arial" w:cs="Arial"/>
          <w:sz w:val="21"/>
          <w:szCs w:val="21"/>
        </w:rPr>
      </w:pPr>
    </w:p>
    <w:p w14:paraId="366637E2">
      <w:pPr>
        <w:pStyle w:val="5"/>
        <w:ind w:left="0" w:leftChars="0" w:firstLine="0" w:firstLineChars="0"/>
      </w:pPr>
    </w:p>
    <w:p w14:paraId="205D6094"/>
    <w:p w14:paraId="01C36EFA">
      <w:pPr>
        <w:pStyle w:val="2"/>
      </w:pPr>
    </w:p>
    <w:p w14:paraId="73C686EA">
      <w:pPr>
        <w:pStyle w:val="4"/>
        <w:jc w:val="both"/>
      </w:pPr>
    </w:p>
    <w:p w14:paraId="4DD586A5">
      <w:pPr>
        <w:pStyle w:val="5"/>
        <w:ind w:left="0" w:leftChars="0" w:firstLine="0" w:firstLineChars="0"/>
      </w:pPr>
      <w:r>
        <w:object>
          <v:shape id="_x0000_i1026" o:spt="75" type="#_x0000_t75" style="height:464.5pt;width:643.5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8">
            <o:LockedField>false</o:LockedField>
          </o:OLEObject>
        </w:object>
      </w:r>
    </w:p>
    <w:p w14:paraId="6A8AAAB0"/>
    <w:p w14:paraId="40AC4FCB">
      <w:pPr>
        <w:pStyle w:val="2"/>
      </w:pPr>
    </w:p>
    <w:p w14:paraId="0BF356E1">
      <w:pPr>
        <w:pStyle w:val="3"/>
      </w:pPr>
    </w:p>
    <w:p w14:paraId="1658BE98">
      <w:pPr>
        <w:pStyle w:val="4"/>
      </w:pPr>
    </w:p>
    <w:p w14:paraId="626F84E4">
      <w:pPr>
        <w:pStyle w:val="5"/>
      </w:pPr>
    </w:p>
    <w:p w14:paraId="580FC14D"/>
    <w:p w14:paraId="12ADA1FB">
      <w:pPr>
        <w:pStyle w:val="2"/>
      </w:pPr>
      <w:r>
        <w:object>
          <v:shape id="_x0000_i1027" o:spt="75" type="#_x0000_t75" style="height:382.85pt;width:690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8" ShapeID="_x0000_i1027" DrawAspect="Content" ObjectID="_1468075727" r:id="rId10">
            <o:LockedField>false</o:LockedField>
          </o:OLEObject>
        </w:object>
      </w:r>
    </w:p>
    <w:p w14:paraId="3216131C">
      <w:pPr>
        <w:pStyle w:val="5"/>
        <w:ind w:left="0" w:leftChars="0" w:firstLine="0" w:firstLineChars="0"/>
      </w:pPr>
    </w:p>
    <w:p w14:paraId="24E22FD0"/>
    <w:p w14:paraId="341E2835">
      <w:pPr>
        <w:pStyle w:val="2"/>
      </w:pPr>
    </w:p>
    <w:p w14:paraId="465032E9">
      <w:pPr>
        <w:pStyle w:val="2"/>
      </w:pPr>
    </w:p>
    <w:p w14:paraId="0AF8D819">
      <w:pPr>
        <w:pStyle w:val="3"/>
      </w:pPr>
    </w:p>
    <w:p w14:paraId="3EA2FA68">
      <w:pPr>
        <w:pStyle w:val="4"/>
      </w:pPr>
    </w:p>
    <w:p w14:paraId="51C5A8FC">
      <w:pPr>
        <w:pStyle w:val="5"/>
      </w:pPr>
    </w:p>
    <w:p w14:paraId="056813D0"/>
    <w:p w14:paraId="1B994FE8">
      <w:pPr>
        <w:pStyle w:val="2"/>
      </w:pPr>
    </w:p>
    <w:p w14:paraId="31804B3F">
      <w:pPr>
        <w:pStyle w:val="5"/>
        <w:ind w:left="0" w:leftChars="0" w:firstLine="0" w:firstLineChars="0"/>
      </w:pPr>
    </w:p>
    <w:p w14:paraId="7427E6CC">
      <w:pPr>
        <w:pStyle w:val="3"/>
        <w:ind w:left="0" w:leftChars="0" w:firstLine="0" w:firstLineChars="0"/>
      </w:pPr>
    </w:p>
    <w:p w14:paraId="6F3309E5">
      <w:pPr>
        <w:pStyle w:val="6"/>
        <w:bidi w:val="0"/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30BEC601">
      <w:pPr>
        <w:spacing w:line="359" w:lineRule="auto"/>
        <w:rPr>
          <w:rFonts w:ascii="Arial"/>
          <w:sz w:val="21"/>
        </w:rPr>
      </w:pPr>
      <w:r>
        <w:rPr>
          <w:rFonts w:ascii="Arial"/>
          <w:sz w:val="21"/>
        </w:rPr>
        <w:object>
          <v:shape id="_x0000_i1028" o:spt="75" type="#_x0000_t75" style="height:705.25pt;width:502.4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8" ShapeID="_x0000_i1028" DrawAspect="Content" ObjectID="_1468075728" r:id="rId12">
            <o:LockedField>false</o:LockedField>
          </o:OLEObject>
        </w:object>
      </w:r>
    </w:p>
    <w:p w14:paraId="573879DC">
      <w:pPr>
        <w:pStyle w:val="2"/>
        <w:rPr>
          <w:rFonts w:ascii="Arial"/>
          <w:sz w:val="21"/>
        </w:rPr>
      </w:pPr>
    </w:p>
    <w:p w14:paraId="3E3A9105">
      <w:pPr>
        <w:pStyle w:val="3"/>
        <w:rPr>
          <w:rFonts w:ascii="Arial"/>
          <w:sz w:val="21"/>
        </w:rPr>
      </w:pPr>
    </w:p>
    <w:p w14:paraId="22CA9A82">
      <w:pPr>
        <w:pStyle w:val="4"/>
        <w:rPr>
          <w:rFonts w:ascii="Arial"/>
          <w:sz w:val="21"/>
        </w:rPr>
      </w:pPr>
    </w:p>
    <w:p w14:paraId="3C928DFF">
      <w:pPr>
        <w:pStyle w:val="5"/>
        <w:rPr>
          <w:rFonts w:ascii="Arial"/>
          <w:sz w:val="21"/>
        </w:rPr>
      </w:pPr>
    </w:p>
    <w:p w14:paraId="4CE6F990"/>
    <w:p w14:paraId="1AAC8A53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object>
          <v:shape id="_x0000_i1029" o:spt="75" type="#_x0000_t75" style="height:609.6pt;width:364.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8" ShapeID="_x0000_i1029" DrawAspect="Content" ObjectID="_1468075729" r:id="rId14">
            <o:LockedField>false</o:LockedField>
          </o:OLEObject>
        </w:object>
      </w:r>
    </w:p>
    <w:p w14:paraId="5A9DD927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0B289BC4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7975EE5E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6FE2BB61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14401A6A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14CB0F9F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31412D66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4AE2D62C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6D66E47D">
      <w:pPr>
        <w:spacing w:before="71" w:line="220" w:lineRule="auto"/>
        <w:ind w:firstLine="920" w:firstLineChars="4600"/>
        <w:rPr>
          <w:rFonts w:ascii="Arial" w:hAnsi="Arial" w:eastAsia="Arial" w:cs="Arial"/>
          <w:sz w:val="2"/>
          <w:szCs w:val="2"/>
        </w:rPr>
      </w:pPr>
    </w:p>
    <w:p w14:paraId="266F0E20">
      <w:pPr>
        <w:spacing w:before="71" w:line="220" w:lineRule="auto"/>
        <w:ind w:firstLine="23920" w:firstLineChars="4600"/>
        <w:rPr>
          <w:rFonts w:ascii="Arial" w:hAnsi="Arial" w:eastAsia="Arial" w:cs="Arial"/>
          <w:sz w:val="52"/>
          <w:szCs w:val="52"/>
        </w:rPr>
      </w:pPr>
    </w:p>
    <w:p w14:paraId="5C98992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object>
          <v:shape id="_x0000_i1030" o:spt="75" type="#_x0000_t75" style="height:169.35pt;width:479.5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Excel.Sheet.8" ShapeID="_x0000_i1030" DrawAspect="Content" ObjectID="_1468075730" r:id="rId16">
            <o:LockedField>false</o:LockedField>
          </o:OLEObject>
        </w:object>
      </w:r>
    </w:p>
    <w:p w14:paraId="63D885C4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776965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37281A7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829370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4087C0D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AB0E6F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6E9EFE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A28BA0C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EBD941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E418916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81C220E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32E0F3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object>
          <v:shape id="_x0000_i1031" o:spt="75" type="#_x0000_t75" style="height:156.1pt;width:502.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Excel.Sheet.8" ShapeID="_x0000_i1031" DrawAspect="Content" ObjectID="_1468075731" r:id="rId18">
            <o:LockedField>false</o:LockedField>
          </o:OLEObject>
        </w:object>
      </w:r>
    </w:p>
    <w:p w14:paraId="7B00473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0FC770C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CC8367D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6F4DAB0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A8C55A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3B070FA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BE3B4A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55CAA61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68E4A9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object>
          <v:shape id="_x0000_i1032" o:spt="75" type="#_x0000_t75" style="height:139.25pt;width:502.3pt;" o:ole="t" filled="f" o:preferrelative="t" stroked="f" coordsize="21600,21600">
            <v:path/>
            <v:fill on="f" focussize="0,0"/>
            <v:stroke on="f"/>
            <v:imagedata r:id="rId21" o:title=""/>
            <o:lock v:ext="edit" aspectratio="f"/>
            <w10:wrap type="none"/>
            <w10:anchorlock/>
          </v:shape>
          <o:OLEObject Type="Embed" ProgID="Excel.Sheet.8" ShapeID="_x0000_i1032" DrawAspect="Content" ObjectID="_1468075732" r:id="rId20">
            <o:LockedField>false</o:LockedField>
          </o:OLEObject>
        </w:object>
      </w:r>
    </w:p>
    <w:p w14:paraId="5B70D70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B9A91AA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28933D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95EA1C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DF11475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8DF955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C5A90D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531C75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0531B45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E3F50F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DE5A2B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6BF9C6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7D4920A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EF414E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7127F34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77390E0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4FF61D5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223A30C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65F481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E6EC3F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7679EDE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C45124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2EBC164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7EFD6B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DE2FF2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06C2A83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E133EC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21843FA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99C63E2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D2FBFE0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9D86C20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F1370E1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52C6C36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AF62A5C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FE2F706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437BC3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DACEB84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D8C66F1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278B4C8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A1F976F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E7164CE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51E9D1C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22339DD9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6473465D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BACA71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3C930F3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788A171E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5506EAF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195A5A3D">
      <w:pPr>
        <w:spacing w:before="71" w:line="220" w:lineRule="auto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object>
          <v:shape id="_x0000_i1033" o:spt="75" type="#_x0000_t75" style="height:289.9pt;width:502.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Excel.Sheet.8" ShapeID="_x0000_i1033" DrawAspect="Content" ObjectID="_1468075733" r:id="rId22">
            <o:LockedField>false</o:LockedField>
          </o:OLEObject>
        </w:object>
      </w:r>
    </w:p>
    <w:p w14:paraId="70F73F35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CA6DB3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E7B9C56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0214C05B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90824D7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3737AC44">
      <w:pPr>
        <w:spacing w:before="71" w:line="220" w:lineRule="auto"/>
        <w:rPr>
          <w:rFonts w:ascii="Arial" w:hAnsi="Arial" w:eastAsia="Arial" w:cs="Arial"/>
          <w:sz w:val="2"/>
          <w:szCs w:val="2"/>
        </w:rPr>
      </w:pPr>
    </w:p>
    <w:p w14:paraId="4073B6D5">
      <w:pPr>
        <w:rPr>
          <w:rFonts w:hint="eastAsia" w:eastAsia="宋体" w:cs="Arial"/>
          <w:sz w:val="2"/>
          <w:szCs w:val="2"/>
          <w:lang w:val="en-US" w:eastAsia="zh-CN"/>
        </w:rPr>
      </w:pPr>
      <w:r>
        <w:rPr>
          <w:rFonts w:ascii="Arial" w:hAnsi="Arial" w:eastAsia="Arial" w:cs="Arial"/>
          <w:sz w:val="2"/>
          <w:szCs w:val="2"/>
        </w:rPr>
        <w:object>
          <v:shape id="_x0000_i1034" o:spt="75" type="#_x0000_t75" style="height:252.55pt;width:502.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f"/>
            <w10:wrap type="none"/>
            <w10:anchorlock/>
          </v:shape>
          <o:OLEObject Type="Embed" ProgID="Excel.Sheet.8" ShapeID="_x0000_i1034" DrawAspect="Content" ObjectID="_1468075734" r:id="rId24">
            <o:LockedField>false</o:LockedField>
          </o:OLEObject>
        </w:object>
      </w:r>
      <w:r>
        <w:rPr>
          <w:rFonts w:ascii="Arial" w:hAnsi="Arial" w:eastAsia="Arial" w:cs="Arial"/>
          <w:sz w:val="2"/>
          <w:szCs w:val="2"/>
        </w:rPr>
        <w:br w:type="column"/>
      </w:r>
      <w:r>
        <w:rPr>
          <w:rFonts w:hint="eastAsia" w:eastAsia="宋体" w:cs="Arial"/>
          <w:sz w:val="2"/>
          <w:szCs w:val="2"/>
          <w:lang w:val="en-US" w:eastAsia="zh-CN"/>
        </w:rPr>
        <w:t xml:space="preserve">                                                                                                                                                      </w:t>
      </w:r>
    </w:p>
    <w:p w14:paraId="69635DD6">
      <w:pPr>
        <w:pStyle w:val="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object>
          <v:shape id="_x0000_i1035" o:spt="75" type="#_x0000_t75" style="height:598.5pt;width:502.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f"/>
            <w10:wrap type="none"/>
            <w10:anchorlock/>
          </v:shape>
          <o:OLEObject Type="Embed" ProgID="Excel.Sheet.12" ShapeID="_x0000_i1035" DrawAspect="Content" ObjectID="_1468075735" r:id="rId26">
            <o:LockedField>false</o:LockedField>
          </o:OLEObject>
        </w:object>
      </w:r>
    </w:p>
    <w:p w14:paraId="63F07EE7">
      <w:pPr>
        <w:pStyle w:val="3"/>
        <w:ind w:left="0" w:leftChars="0" w:firstLine="0" w:firstLineChars="0"/>
        <w:rPr>
          <w:rFonts w:ascii="Arial" w:hAnsi="Arial" w:eastAsia="Arial" w:cs="Arial"/>
          <w:sz w:val="21"/>
          <w:szCs w:val="21"/>
        </w:rPr>
      </w:pPr>
    </w:p>
    <w:p w14:paraId="4227FCDF">
      <w:pPr>
        <w:pStyle w:val="2"/>
        <w:rPr>
          <w:rFonts w:hint="eastAsia" w:eastAsia="宋体"/>
          <w:lang w:eastAsia="zh-CN"/>
        </w:rPr>
      </w:pPr>
    </w:p>
    <w:p w14:paraId="3E6890E5">
      <w:pPr>
        <w:pStyle w:val="3"/>
        <w:ind w:left="0" w:leftChars="0" w:firstLine="0" w:firstLineChars="0"/>
        <w:rPr>
          <w:rFonts w:hint="eastAsia"/>
          <w:lang w:eastAsia="zh-CN"/>
        </w:rPr>
        <w:sectPr>
          <w:pgSz w:w="11905" w:h="16840"/>
          <w:pgMar w:top="840" w:right="936" w:bottom="0" w:left="916" w:header="0" w:footer="0" w:gutter="0"/>
          <w:cols w:space="720" w:num="1"/>
        </w:sectPr>
      </w:pPr>
      <w:r>
        <w:rPr>
          <w:rFonts w:hint="eastAsia"/>
          <w:lang w:eastAsia="zh-CN"/>
        </w:rPr>
        <w:object>
          <v:shape id="_x0000_i1036" o:spt="75" type="#_x0000_t75" style="height:737.3pt;width:502.4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f"/>
            <w10:wrap type="none"/>
            <w10:anchorlock/>
          </v:shape>
          <o:OLEObject Type="Embed" ProgID="Excel.Sheet.12" ShapeID="_x0000_i1036" DrawAspect="Content" ObjectID="_1468075736" r:id="rId28">
            <o:LockedField>false</o:LockedField>
          </o:OLEObject>
        </w:object>
      </w:r>
    </w:p>
    <w:p w14:paraId="168F0DA2">
      <w:pPr>
        <w:pStyle w:val="7"/>
        <w:spacing w:before="101" w:line="228" w:lineRule="auto"/>
        <w:ind w:left="3824" w:leftChars="278" w:hanging="3240" w:hangingChars="1000"/>
        <w:rPr>
          <w:rFonts w:ascii="Arial"/>
          <w:sz w:val="21"/>
        </w:rPr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江西省景德镇市珠山区珠山街道办事处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505D944C">
      <w:pPr>
        <w:spacing w:line="336" w:lineRule="auto"/>
        <w:rPr>
          <w:rFonts w:ascii="Arial"/>
          <w:sz w:val="21"/>
        </w:rPr>
      </w:pPr>
    </w:p>
    <w:p w14:paraId="5D9B647C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005043F1">
      <w:pPr>
        <w:pStyle w:val="7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70A890B0">
      <w:pPr>
        <w:pStyle w:val="7"/>
        <w:spacing w:before="237" w:line="372" w:lineRule="auto"/>
        <w:ind w:left="34" w:right="12" w:firstLine="633"/>
        <w:jc w:val="both"/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江西省景德镇市珠山区珠山街道办事处</w:t>
      </w:r>
      <w:r>
        <w:rPr>
          <w:spacing w:val="11"/>
        </w:rPr>
        <w:t>收入预算总额为</w:t>
      </w:r>
      <w:r>
        <w:rPr>
          <w:rFonts w:hint="eastAsia"/>
          <w:spacing w:val="5"/>
          <w:lang w:val="en-US" w:eastAsia="zh-CN"/>
        </w:rPr>
        <w:t>663.91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较上年预算安排增加</w:t>
      </w:r>
      <w:r>
        <w:rPr>
          <w:rFonts w:hint="eastAsia"/>
          <w:spacing w:val="5"/>
          <w:lang w:val="en-US" w:eastAsia="zh-CN"/>
        </w:rPr>
        <w:t>242.71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spacing w:val="-93"/>
        </w:rPr>
        <w:t xml:space="preserve"> </w:t>
      </w:r>
      <w:r>
        <w:rPr>
          <w:rFonts w:hint="eastAsia"/>
          <w:spacing w:val="4"/>
          <w:lang w:val="en-US" w:eastAsia="zh-CN"/>
        </w:rPr>
        <w:t>663.91</w:t>
      </w:r>
      <w:r>
        <w:rPr>
          <w:spacing w:val="10"/>
        </w:rPr>
        <w:t>万元,较上年预算安排增加</w:t>
      </w:r>
      <w:r>
        <w:rPr>
          <w:rFonts w:hint="eastAsia"/>
          <w:spacing w:val="5"/>
          <w:lang w:val="en-US" w:eastAsia="zh-CN"/>
        </w:rPr>
        <w:t>242.71</w:t>
      </w:r>
      <w:r>
        <w:rPr>
          <w:spacing w:val="10"/>
        </w:rPr>
        <w:t>万元;教育收费资金收</w:t>
      </w:r>
      <w:r>
        <w:t xml:space="preserve"> </w:t>
      </w:r>
      <w:r>
        <w:rPr>
          <w:spacing w:val="8"/>
        </w:rPr>
        <w:t>入</w:t>
      </w:r>
      <w:r>
        <w:rPr>
          <w:rFonts w:hint="eastAsia"/>
          <w:spacing w:val="-45"/>
          <w:lang w:val="en-US" w:eastAsia="zh-CN"/>
        </w:rPr>
        <w:t>0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万元;事业</w:t>
      </w:r>
      <w:r>
        <w:t xml:space="preserve"> </w:t>
      </w:r>
      <w:r>
        <w:rPr>
          <w:spacing w:val="8"/>
        </w:rPr>
        <w:t>单位经营收入</w:t>
      </w:r>
      <w:r>
        <w:rPr>
          <w:spacing w:val="-16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万元,与上年持平;其他收入</w:t>
      </w:r>
      <w:r>
        <w:rPr>
          <w:spacing w:val="-53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万元,较</w:t>
      </w:r>
      <w:r>
        <w:t xml:space="preserve"> </w:t>
      </w:r>
      <w:r>
        <w:rPr>
          <w:spacing w:val="-3"/>
        </w:rPr>
        <w:t>上年预算安排增加</w:t>
      </w:r>
      <w:r>
        <w:rPr>
          <w:spacing w:val="-41"/>
        </w:rPr>
        <w:t xml:space="preserve"> 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3"/>
        </w:rPr>
        <w:t>万元,</w:t>
      </w:r>
      <w:r>
        <w:rPr>
          <w:spacing w:val="3"/>
        </w:rPr>
        <w:t>较上年预算安排减少</w:t>
      </w:r>
      <w:r>
        <w:rPr>
          <w:rFonts w:hint="eastAsia"/>
          <w:spacing w:val="-57"/>
          <w:lang w:val="en-US" w:eastAsia="zh-CN"/>
        </w:rPr>
        <w:t>0</w:t>
      </w:r>
      <w:r>
        <w:rPr>
          <w:spacing w:val="3"/>
        </w:rPr>
        <w:t>万元。</w:t>
      </w:r>
    </w:p>
    <w:p w14:paraId="200C2D38">
      <w:pPr>
        <w:pStyle w:val="7"/>
        <w:spacing w:before="241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22306AD7">
      <w:pPr>
        <w:bidi w:val="0"/>
        <w:ind w:firstLine="644" w:firstLineChars="200"/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2024 年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江西省景德镇市珠山区珠山街道办事处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支出预算总额为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663.91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万元,较上年预算安排增加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242.71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万元。</w:t>
      </w:r>
    </w:p>
    <w:p w14:paraId="177FD02F">
      <w:pPr>
        <w:pStyle w:val="7"/>
        <w:spacing w:before="238" w:line="372" w:lineRule="auto"/>
        <w:ind w:left="36" w:right="12" w:firstLine="63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按支出项目类别划分：基本支出 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391.91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万元,较上年</w:t>
      </w:r>
      <w:r>
        <w:rPr>
          <w:spacing w:val="5"/>
        </w:rPr>
        <w:t>预算安排</w:t>
      </w:r>
      <w:r>
        <w:rPr>
          <w:rFonts w:hint="eastAsia"/>
          <w:spacing w:val="5"/>
          <w:lang w:eastAsia="zh-CN"/>
        </w:rPr>
        <w:t>增加了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210.39</w:t>
      </w:r>
      <w:r>
        <w:rPr>
          <w:spacing w:val="5"/>
        </w:rPr>
        <w:t>万元;其中：工资福利支出</w:t>
      </w:r>
      <w:r>
        <w:rPr>
          <w:spacing w:val="-57"/>
        </w:rPr>
        <w:t xml:space="preserve"> </w:t>
      </w:r>
      <w:r>
        <w:rPr>
          <w:rFonts w:hint="eastAsia"/>
          <w:spacing w:val="5"/>
          <w:lang w:val="en-US" w:eastAsia="zh-CN"/>
        </w:rPr>
        <w:t>235.16</w:t>
      </w:r>
      <w:r>
        <w:rPr>
          <w:spacing w:val="16"/>
        </w:rPr>
        <w:t>万元,商品和服务支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出6.24万元,</w:t>
      </w:r>
      <w:r>
        <w:rPr>
          <w:spacing w:val="16"/>
        </w:rPr>
        <w:t>对个人和家庭的补助</w:t>
      </w:r>
      <w:r>
        <w:rPr>
          <w:rFonts w:hint="eastAsia"/>
          <w:lang w:val="en-US" w:eastAsia="zh-CN"/>
        </w:rPr>
        <w:t>150.33</w:t>
      </w:r>
      <w:r>
        <w:rPr>
          <w:spacing w:val="4"/>
        </w:rPr>
        <w:t>万元,资本性支出</w:t>
      </w:r>
      <w:r>
        <w:rPr>
          <w:spacing w:val="-56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万元。项</w:t>
      </w:r>
      <w:r>
        <w:rPr>
          <w:spacing w:val="16"/>
        </w:rPr>
        <w:t>目支出</w:t>
      </w:r>
      <w:r>
        <w:rPr>
          <w:rFonts w:hint="eastAsia"/>
          <w:spacing w:val="16"/>
          <w:lang w:val="en-US" w:eastAsia="zh-CN"/>
        </w:rPr>
        <w:t>272</w:t>
      </w:r>
      <w:r>
        <w:rPr>
          <w:spacing w:val="16"/>
        </w:rPr>
        <w:t>万元,较上</w:t>
      </w:r>
      <w:r>
        <w:t>年预算安排</w:t>
      </w:r>
      <w:r>
        <w:rPr>
          <w:rFonts w:hint="eastAsia"/>
          <w:lang w:val="en-US" w:eastAsia="zh-CN"/>
        </w:rPr>
        <w:t>减少767.68</w:t>
      </w:r>
      <w:r>
        <w:t>万元;其中： 工资福利支</w:t>
      </w:r>
      <w:r>
        <w:rPr>
          <w:spacing w:val="8"/>
        </w:rPr>
        <w:t>出</w:t>
      </w:r>
      <w:r>
        <w:rPr>
          <w:rFonts w:hint="eastAsia"/>
          <w:spacing w:val="-35"/>
          <w:lang w:val="en-US" w:eastAsia="zh-CN"/>
        </w:rPr>
        <w:t>0</w:t>
      </w:r>
      <w:r>
        <w:rPr>
          <w:spacing w:val="-45"/>
        </w:rPr>
        <w:t xml:space="preserve"> </w:t>
      </w:r>
      <w:r>
        <w:rPr>
          <w:spacing w:val="8"/>
        </w:rPr>
        <w:t>万元,商品和服务支出</w:t>
      </w:r>
      <w:r>
        <w:rPr>
          <w:spacing w:val="-5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7"/>
        </w:rPr>
        <w:t>万元,</w:t>
      </w:r>
      <w:r>
        <w:rPr>
          <w:color w:val="000000" w:themeColor="text1"/>
          <w:spacing w:val="7"/>
          <w14:textFill>
            <w14:solidFill>
              <w14:schemeClr w14:val="tx1"/>
            </w14:solidFill>
          </w14:textFill>
        </w:rPr>
        <w:t>其他支出</w:t>
      </w:r>
      <w:r>
        <w:rPr>
          <w:rFonts w:hint="eastAsia"/>
          <w:color w:val="000000" w:themeColor="text1"/>
          <w:spacing w:val="-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万元。</w:t>
      </w:r>
    </w:p>
    <w:p w14:paraId="0EF99252">
      <w:pPr>
        <w:pStyle w:val="7"/>
        <w:spacing w:before="230" w:line="372" w:lineRule="auto"/>
        <w:ind w:left="34" w:right="12" w:firstLine="639"/>
        <w:jc w:val="both"/>
        <w:rPr>
          <w:rFonts w:hint="default" w:eastAsia="仿宋"/>
          <w:lang w:val="en-US" w:eastAsia="zh-CN"/>
        </w:rPr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419.45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-23"/>
          <w:lang w:val="en-US" w:eastAsia="zh-CN"/>
        </w:rPr>
        <w:t>201.83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rPr>
          <w:spacing w:val="8"/>
        </w:rPr>
        <w:t>出</w:t>
      </w:r>
      <w:r>
        <w:rPr>
          <w:rFonts w:hint="eastAsia"/>
          <w:spacing w:val="-33"/>
          <w:lang w:val="en-US" w:eastAsia="zh-CN"/>
        </w:rPr>
        <w:t>26.48</w:t>
      </w:r>
      <w:r>
        <w:rPr>
          <w:spacing w:val="8"/>
        </w:rPr>
        <w:t>万元,较上年预算安排增加</w:t>
      </w:r>
      <w:r>
        <w:rPr>
          <w:spacing w:val="-59"/>
        </w:rPr>
        <w:t xml:space="preserve"> </w:t>
      </w:r>
      <w:r>
        <w:rPr>
          <w:rFonts w:hint="eastAsia"/>
          <w:spacing w:val="8"/>
          <w:lang w:val="en-US" w:eastAsia="zh-CN"/>
        </w:rPr>
        <w:t>7.71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rPr>
          <w:spacing w:val="8"/>
        </w:rPr>
        <w:t>康支出</w:t>
      </w:r>
      <w:r>
        <w:rPr>
          <w:rFonts w:hint="eastAsia"/>
          <w:spacing w:val="-40"/>
          <w:lang w:val="en-US" w:eastAsia="zh-CN"/>
        </w:rPr>
        <w:t>10.76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3.48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-59"/>
        </w:rPr>
        <w:t>支出</w:t>
      </w:r>
      <w:r>
        <w:rPr>
          <w:rFonts w:hint="eastAsia"/>
          <w:spacing w:val="8"/>
          <w:lang w:val="en-US" w:eastAsia="zh-CN"/>
        </w:rPr>
        <w:t>23.17万元,</w:t>
      </w:r>
      <w:r>
        <w:rPr>
          <w:spacing w:val="2"/>
        </w:rPr>
        <w:t>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7.5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184.06万元，比上年预算安排增加22.2万元。</w:t>
      </w:r>
    </w:p>
    <w:p w14:paraId="7AA4F07A">
      <w:pPr>
        <w:pStyle w:val="7"/>
        <w:spacing w:before="238" w:line="372" w:lineRule="auto"/>
        <w:ind w:left="33" w:right="13" w:firstLine="640"/>
        <w:jc w:val="both"/>
      </w:pPr>
      <w:r>
        <w:rPr>
          <w:spacing w:val="6"/>
        </w:rPr>
        <w:t>按支出经济分类划分：工资福利支出</w:t>
      </w:r>
      <w:r>
        <w:rPr>
          <w:spacing w:val="-57"/>
        </w:rPr>
        <w:t xml:space="preserve"> </w:t>
      </w:r>
      <w:r>
        <w:rPr>
          <w:rFonts w:hint="eastAsia"/>
          <w:spacing w:val="6"/>
          <w:lang w:val="en-US" w:eastAsia="zh-CN"/>
        </w:rPr>
        <w:t>235.16</w:t>
      </w:r>
      <w:r>
        <w:rPr>
          <w:spacing w:val="5"/>
        </w:rPr>
        <w:t>万元,较</w:t>
      </w:r>
      <w:r>
        <w:t xml:space="preserve"> </w:t>
      </w:r>
      <w:r>
        <w:rPr>
          <w:spacing w:val="10"/>
        </w:rPr>
        <w:t>上年预算安排</w:t>
      </w:r>
      <w:r>
        <w:rPr>
          <w:rFonts w:hint="eastAsia"/>
          <w:spacing w:val="10"/>
          <w:lang w:val="en-US" w:eastAsia="zh-CN"/>
        </w:rPr>
        <w:t>增加76.4</w:t>
      </w:r>
      <w:r>
        <w:rPr>
          <w:spacing w:val="-42"/>
        </w:rPr>
        <w:t xml:space="preserve"> </w:t>
      </w:r>
      <w:r>
        <w:rPr>
          <w:spacing w:val="10"/>
        </w:rPr>
        <w:t>万元;商品和服务支出</w:t>
      </w:r>
      <w:r>
        <w:rPr>
          <w:spacing w:val="-26"/>
        </w:rPr>
        <w:t xml:space="preserve"> </w:t>
      </w:r>
      <w:r>
        <w:rPr>
          <w:rFonts w:hint="eastAsia"/>
          <w:spacing w:val="10"/>
          <w:lang w:val="en-US" w:eastAsia="zh-CN"/>
        </w:rPr>
        <w:t>6.42</w:t>
      </w:r>
      <w:r>
        <w:rPr>
          <w:spacing w:val="11"/>
        </w:rPr>
        <w:t>万元,较上年预算安排</w:t>
      </w:r>
      <w:r>
        <w:rPr>
          <w:rFonts w:hint="eastAsia"/>
          <w:spacing w:val="11"/>
          <w:lang w:eastAsia="zh-CN"/>
        </w:rPr>
        <w:t>增加</w:t>
      </w:r>
      <w:r>
        <w:rPr>
          <w:rFonts w:hint="eastAsia"/>
          <w:spacing w:val="11"/>
          <w:lang w:val="en-US" w:eastAsia="zh-CN"/>
        </w:rPr>
        <w:t>0.7</w:t>
      </w:r>
      <w:r>
        <w:rPr>
          <w:spacing w:val="11"/>
        </w:rPr>
        <w:t>万元;对个人和家庭的补</w:t>
      </w:r>
      <w:r>
        <w:rPr>
          <w:spacing w:val="10"/>
        </w:rPr>
        <w:t xml:space="preserve"> 助</w:t>
      </w:r>
      <w:r>
        <w:rPr>
          <w:rFonts w:hint="eastAsia"/>
          <w:spacing w:val="10"/>
          <w:lang w:val="en-US" w:eastAsia="zh-CN"/>
        </w:rPr>
        <w:t>150.33</w:t>
      </w:r>
      <w:r>
        <w:rPr>
          <w:spacing w:val="10"/>
        </w:rPr>
        <w:t xml:space="preserve"> 万元</w:t>
      </w:r>
      <w:r>
        <w:rPr>
          <w:spacing w:val="4"/>
        </w:rPr>
        <w:t>,较上年预算安排增加</w:t>
      </w:r>
      <w:r>
        <w:rPr>
          <w:spacing w:val="-44"/>
        </w:rPr>
        <w:t xml:space="preserve"> </w:t>
      </w:r>
      <w:r>
        <w:rPr>
          <w:rFonts w:hint="eastAsia"/>
          <w:spacing w:val="-44"/>
          <w:lang w:val="en-US" w:eastAsia="zh-CN"/>
        </w:rPr>
        <w:t>133.28</w:t>
      </w:r>
      <w:r>
        <w:rPr>
          <w:spacing w:val="4"/>
        </w:rPr>
        <w:t>万元;资本性</w:t>
      </w:r>
      <w:r>
        <w:t xml:space="preserve"> </w:t>
      </w:r>
      <w:r>
        <w:rPr>
          <w:spacing w:val="4"/>
        </w:rPr>
        <w:t>支出</w:t>
      </w:r>
      <w:r>
        <w:rPr>
          <w:spacing w:val="-69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4"/>
        </w:rPr>
        <w:t>万元;其</w:t>
      </w:r>
      <w:r>
        <w:rPr>
          <w:spacing w:val="3"/>
        </w:rPr>
        <w:t>他支出</w:t>
      </w:r>
      <w:r>
        <w:rPr>
          <w:rFonts w:hint="eastAsia"/>
          <w:spacing w:val="-54"/>
          <w:lang w:val="en-US" w:eastAsia="zh-CN"/>
        </w:rPr>
        <w:t>0</w:t>
      </w:r>
      <w:r>
        <w:rPr>
          <w:spacing w:val="-53"/>
        </w:rPr>
        <w:t xml:space="preserve"> </w:t>
      </w:r>
      <w:r>
        <w:rPr>
          <w:spacing w:val="3"/>
        </w:rPr>
        <w:t>万元,较上年预算安排增加</w:t>
      </w:r>
      <w:r>
        <w:rPr>
          <w:spacing w:val="-62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3"/>
        </w:rPr>
        <w:t>万元。</w:t>
      </w:r>
    </w:p>
    <w:p w14:paraId="36BDBC80">
      <w:pPr>
        <w:pStyle w:val="7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162E60C4">
      <w:pPr>
        <w:pStyle w:val="7"/>
        <w:spacing w:before="239" w:line="372" w:lineRule="auto"/>
        <w:ind w:left="36" w:right="13" w:firstLine="637"/>
        <w:rPr>
          <w:spacing w:val="1"/>
        </w:rPr>
      </w:pP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2024 年</w:t>
      </w:r>
      <w:r>
        <w:rPr>
          <w:rFonts w:hint="eastAsia"/>
          <w:spacing w:val="1"/>
          <w:lang w:eastAsia="zh-CN"/>
        </w:rPr>
        <w:t>江西省景德镇市珠山区珠山街道办事处</w:t>
      </w:r>
      <w:r>
        <w:rPr>
          <w:spacing w:val="1"/>
        </w:rPr>
        <w:t xml:space="preserve">财政拨款支出预算总额 </w:t>
      </w:r>
      <w:r>
        <w:rPr>
          <w:rFonts w:hint="eastAsia"/>
          <w:spacing w:val="1"/>
          <w:lang w:val="en-US" w:eastAsia="zh-CN"/>
        </w:rPr>
        <w:t>663.91</w:t>
      </w:r>
      <w:r>
        <w:rPr>
          <w:spacing w:val="1"/>
        </w:rPr>
        <w:t>万元,较上年预算安排增</w:t>
      </w:r>
      <w:r>
        <w:rPr>
          <w:rFonts w:hint="eastAsia"/>
          <w:spacing w:val="1"/>
          <w:lang w:eastAsia="zh-CN"/>
        </w:rPr>
        <w:t>加</w:t>
      </w:r>
      <w:r>
        <w:rPr>
          <w:rFonts w:hint="eastAsia"/>
          <w:spacing w:val="1"/>
          <w:lang w:val="en-US" w:eastAsia="zh-CN"/>
        </w:rPr>
        <w:t>242.71</w:t>
      </w:r>
      <w:r>
        <w:rPr>
          <w:spacing w:val="1"/>
        </w:rPr>
        <w:t>万元。</w:t>
      </w:r>
    </w:p>
    <w:p w14:paraId="5A2F6EE9">
      <w:pPr>
        <w:pStyle w:val="7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按支出功能科目划分：一般公共服务支出</w:t>
      </w:r>
      <w:r>
        <w:rPr>
          <w:rFonts w:hint="eastAsia"/>
          <w:spacing w:val="1"/>
          <w:lang w:val="en-US" w:eastAsia="zh-CN"/>
        </w:rPr>
        <w:t>419.45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</w:t>
      </w:r>
      <w:r>
        <w:rPr>
          <w:rFonts w:hint="eastAsia"/>
          <w:spacing w:val="4"/>
          <w:lang w:val="en-US" w:eastAsia="zh-CN"/>
        </w:rPr>
        <w:t>减少598.17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rFonts w:hint="eastAsia"/>
          <w:spacing w:val="-33"/>
          <w:lang w:val="en-US" w:eastAsia="zh-CN"/>
        </w:rPr>
        <w:t>26.48</w:t>
      </w:r>
      <w:r>
        <w:rPr>
          <w:spacing w:val="8"/>
        </w:rPr>
        <w:t>万元,较上年预算安排增加</w:t>
      </w:r>
      <w:r>
        <w:rPr>
          <w:spacing w:val="-59"/>
        </w:rPr>
        <w:t xml:space="preserve"> </w:t>
      </w:r>
      <w:r>
        <w:rPr>
          <w:rFonts w:hint="eastAsia"/>
          <w:spacing w:val="8"/>
          <w:lang w:val="en-US" w:eastAsia="zh-CN"/>
        </w:rPr>
        <w:t>7.71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rPr>
          <w:spacing w:val="8"/>
        </w:rPr>
        <w:t>康支</w:t>
      </w:r>
      <w:r>
        <w:rPr>
          <w:rFonts w:hint="eastAsia"/>
          <w:spacing w:val="2"/>
          <w:lang w:val="en-US" w:eastAsia="zh-CN"/>
        </w:rPr>
        <w:t>出10.76万元</w:t>
      </w:r>
      <w:r>
        <w:rPr>
          <w:spacing w:val="8"/>
        </w:rPr>
        <w:t>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3.48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-59"/>
        </w:rPr>
        <w:t>支出</w:t>
      </w:r>
      <w:r>
        <w:rPr>
          <w:rFonts w:hint="eastAsia"/>
          <w:spacing w:val="8"/>
          <w:lang w:val="en-US" w:eastAsia="zh-CN"/>
        </w:rPr>
        <w:t>23.17万元,</w:t>
      </w:r>
      <w:r>
        <w:rPr>
          <w:spacing w:val="2"/>
        </w:rPr>
        <w:t>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7.5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184.06万元，比上年预算安排增加22.2万元。</w:t>
      </w:r>
    </w:p>
    <w:p w14:paraId="7168F35D">
      <w:pPr>
        <w:pStyle w:val="7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按支出项目类别划分：</w:t>
      </w:r>
      <w:r>
        <w:rPr>
          <w:rFonts w:hint="eastAsia"/>
          <w:spacing w:val="2"/>
          <w:lang w:val="en-US" w:eastAsia="en-US"/>
        </w:rPr>
        <w:t xml:space="preserve">基本支出 </w:t>
      </w:r>
      <w:r>
        <w:rPr>
          <w:rFonts w:hint="eastAsia"/>
          <w:spacing w:val="2"/>
          <w:lang w:val="en-US" w:eastAsia="zh-CN"/>
        </w:rPr>
        <w:t>391.91</w:t>
      </w:r>
      <w:r>
        <w:rPr>
          <w:rFonts w:hint="eastAsia"/>
          <w:spacing w:val="2"/>
          <w:lang w:val="en-US" w:eastAsia="en-US"/>
        </w:rPr>
        <w:t>万元,较上年</w:t>
      </w:r>
      <w:r>
        <w:rPr>
          <w:rFonts w:hint="eastAsia"/>
          <w:spacing w:val="2"/>
          <w:lang w:eastAsia="zh-CN"/>
        </w:rPr>
        <w:t>预算安排增加了</w:t>
      </w:r>
      <w:r>
        <w:rPr>
          <w:rFonts w:hint="eastAsia"/>
          <w:spacing w:val="2"/>
          <w:lang w:val="en-US" w:eastAsia="zh-CN"/>
        </w:rPr>
        <w:t>210.39</w:t>
      </w:r>
      <w:r>
        <w:rPr>
          <w:rFonts w:hint="eastAsia"/>
          <w:spacing w:val="2"/>
          <w:lang w:eastAsia="zh-CN"/>
        </w:rPr>
        <w:t xml:space="preserve">万元;其中：工资福利支出 </w:t>
      </w:r>
      <w:r>
        <w:rPr>
          <w:rFonts w:hint="eastAsia"/>
          <w:spacing w:val="2"/>
          <w:lang w:val="en-US" w:eastAsia="zh-CN"/>
        </w:rPr>
        <w:t>235.16</w:t>
      </w:r>
      <w:r>
        <w:rPr>
          <w:rFonts w:hint="eastAsia"/>
          <w:spacing w:val="2"/>
          <w:lang w:eastAsia="zh-CN"/>
        </w:rPr>
        <w:t>万元,商品和服务支出</w:t>
      </w:r>
      <w:r>
        <w:rPr>
          <w:rFonts w:hint="eastAsia"/>
          <w:spacing w:val="2"/>
          <w:lang w:val="en-US" w:eastAsia="zh-CN"/>
        </w:rPr>
        <w:t>6.42</w:t>
      </w:r>
      <w:r>
        <w:rPr>
          <w:rFonts w:hint="eastAsia"/>
          <w:spacing w:val="2"/>
          <w:lang w:eastAsia="zh-CN"/>
        </w:rPr>
        <w:t xml:space="preserve">万元,对个人和家庭的补助 </w:t>
      </w:r>
      <w:r>
        <w:rPr>
          <w:rFonts w:hint="eastAsia"/>
          <w:spacing w:val="2"/>
          <w:lang w:val="en-US" w:eastAsia="zh-CN"/>
        </w:rPr>
        <w:t>150.33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万元。项目支出</w:t>
      </w:r>
      <w:r>
        <w:rPr>
          <w:rFonts w:hint="eastAsia"/>
          <w:spacing w:val="2"/>
          <w:lang w:val="en-US" w:eastAsia="zh-CN"/>
        </w:rPr>
        <w:t>272</w:t>
      </w:r>
      <w:r>
        <w:rPr>
          <w:rFonts w:hint="eastAsia"/>
          <w:spacing w:val="2"/>
          <w:lang w:eastAsia="zh-CN"/>
        </w:rPr>
        <w:t xml:space="preserve">万元,较上年预算安排增加 </w:t>
      </w:r>
      <w:r>
        <w:rPr>
          <w:rFonts w:hint="eastAsia"/>
          <w:spacing w:val="2"/>
          <w:lang w:val="en-US" w:eastAsia="zh-CN"/>
        </w:rPr>
        <w:t>32.32</w:t>
      </w:r>
      <w:r>
        <w:rPr>
          <w:rFonts w:hint="eastAsia"/>
          <w:spacing w:val="2"/>
          <w:lang w:eastAsia="zh-CN"/>
        </w:rPr>
        <w:t>万元;其中： 工资福利支出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万元,商品和服务支出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万元,对个人和家庭的补助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万元,其他支出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</w:t>
      </w:r>
    </w:p>
    <w:p w14:paraId="0C7A79CB">
      <w:pPr>
        <w:pStyle w:val="7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6794968F">
      <w:pPr>
        <w:pStyle w:val="7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 w14:paraId="07B5AFC9">
      <w:pPr>
        <w:pStyle w:val="7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2192F4DB">
      <w:pPr>
        <w:pStyle w:val="7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 w14:paraId="143A5D2C">
      <w:pPr>
        <w:pStyle w:val="7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75632F71">
      <w:pPr>
        <w:pStyle w:val="7"/>
        <w:spacing w:before="280" w:line="579" w:lineRule="exact"/>
        <w:ind w:right="14"/>
        <w:jc w:val="center"/>
      </w:pPr>
      <w:r>
        <w:rPr>
          <w:spacing w:val="-3"/>
          <w:position w:val="19"/>
        </w:rPr>
        <w:t>2024</w:t>
      </w:r>
      <w:r>
        <w:rPr>
          <w:spacing w:val="-33"/>
          <w:position w:val="19"/>
        </w:rPr>
        <w:t xml:space="preserve"> </w:t>
      </w:r>
      <w:r>
        <w:rPr>
          <w:spacing w:val="-3"/>
          <w:position w:val="19"/>
        </w:rPr>
        <w:t>年部门机关运行费预算</w:t>
      </w:r>
      <w:r>
        <w:rPr>
          <w:rFonts w:hint="eastAsia"/>
          <w:spacing w:val="-3"/>
          <w:position w:val="19"/>
          <w:lang w:val="en-US" w:eastAsia="zh-CN"/>
        </w:rPr>
        <w:t xml:space="preserve">  6.42</w:t>
      </w:r>
      <w:r>
        <w:rPr>
          <w:spacing w:val="-3"/>
          <w:position w:val="19"/>
        </w:rPr>
        <w:t>万元，</w:t>
      </w:r>
      <w:r>
        <w:rPr>
          <w:spacing w:val="-63"/>
          <w:position w:val="19"/>
        </w:rPr>
        <w:t xml:space="preserve"> </w:t>
      </w:r>
      <w:r>
        <w:rPr>
          <w:spacing w:val="-3"/>
          <w:position w:val="19"/>
        </w:rPr>
        <w:t>比</w:t>
      </w:r>
      <w:r>
        <w:rPr>
          <w:spacing w:val="-60"/>
          <w:position w:val="19"/>
        </w:rPr>
        <w:t xml:space="preserve"> </w:t>
      </w:r>
      <w:r>
        <w:rPr>
          <w:spacing w:val="-3"/>
          <w:position w:val="19"/>
        </w:rPr>
        <w:t>2023</w:t>
      </w:r>
      <w:r>
        <w:rPr>
          <w:spacing w:val="-49"/>
          <w:position w:val="19"/>
        </w:rPr>
        <w:t xml:space="preserve"> </w:t>
      </w:r>
      <w:r>
        <w:rPr>
          <w:spacing w:val="-3"/>
          <w:position w:val="19"/>
        </w:rPr>
        <w:t>年预</w:t>
      </w:r>
    </w:p>
    <w:p w14:paraId="1C860C02">
      <w:pPr>
        <w:pStyle w:val="7"/>
        <w:spacing w:before="2" w:line="227" w:lineRule="auto"/>
        <w:ind w:left="34"/>
      </w:pPr>
      <w:r>
        <w:rPr>
          <w:spacing w:val="-1"/>
        </w:rPr>
        <w:t>算</w:t>
      </w:r>
      <w:r>
        <w:rPr>
          <w:rFonts w:hint="eastAsia"/>
          <w:spacing w:val="-1"/>
          <w:lang w:eastAsia="zh-CN"/>
        </w:rPr>
        <w:t>减少</w:t>
      </w:r>
      <w:r>
        <w:rPr>
          <w:rFonts w:hint="eastAsia"/>
          <w:spacing w:val="-1"/>
          <w:lang w:val="en-US" w:eastAsia="zh-CN"/>
        </w:rPr>
        <w:t>0.7</w:t>
      </w:r>
      <w:r>
        <w:rPr>
          <w:spacing w:val="-1"/>
        </w:rPr>
        <w:t>万元，</w:t>
      </w:r>
      <w:r>
        <w:rPr>
          <w:rFonts w:hint="eastAsia"/>
          <w:spacing w:val="-1"/>
          <w:lang w:eastAsia="zh-CN"/>
        </w:rPr>
        <w:t>减少了</w:t>
      </w:r>
      <w:r>
        <w:rPr>
          <w:spacing w:val="-39"/>
        </w:rPr>
        <w:t xml:space="preserve"> </w:t>
      </w:r>
      <w:r>
        <w:rPr>
          <w:rFonts w:hint="eastAsia"/>
          <w:spacing w:val="-1"/>
          <w:lang w:val="en-US" w:eastAsia="zh-CN"/>
        </w:rPr>
        <w:t>12</w:t>
      </w:r>
      <w:r>
        <w:rPr>
          <w:spacing w:val="-1"/>
        </w:rPr>
        <w:t>%。</w:t>
      </w:r>
    </w:p>
    <w:p w14:paraId="20D02152">
      <w:pPr>
        <w:pStyle w:val="7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2FFF41CC">
      <w:pPr>
        <w:pStyle w:val="7"/>
        <w:spacing w:before="239" w:line="372" w:lineRule="auto"/>
        <w:ind w:left="37" w:right="12" w:firstLine="631"/>
        <w:jc w:val="both"/>
      </w:pPr>
      <w:r>
        <w:rPr>
          <w:spacing w:val="11"/>
        </w:rPr>
        <w:t>2024</w:t>
      </w:r>
      <w:r>
        <w:rPr>
          <w:spacing w:val="-26"/>
        </w:rPr>
        <w:t xml:space="preserve"> </w:t>
      </w:r>
      <w:r>
        <w:rPr>
          <w:spacing w:val="11"/>
        </w:rPr>
        <w:t>年部门所属各单位政府采购总额</w:t>
      </w:r>
      <w:r>
        <w:rPr>
          <w:spacing w:val="-41"/>
        </w:rPr>
        <w:t xml:space="preserve"> 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其中: 政府采购货物预算</w:t>
      </w:r>
      <w:r>
        <w:rPr>
          <w:spacing w:val="-29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万元, 政府采购工程预算</w:t>
      </w:r>
    </w:p>
    <w:p w14:paraId="2EC1AD78">
      <w:pPr>
        <w:pStyle w:val="7"/>
        <w:spacing w:before="2" w:line="227" w:lineRule="auto"/>
        <w:ind w:left="31"/>
      </w:pPr>
      <w:r>
        <w:rPr>
          <w:rFonts w:hint="eastAsia"/>
          <w:spacing w:val="4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万元, 政府采购服务预算</w:t>
      </w:r>
      <w:r>
        <w:rPr>
          <w:spacing w:val="-58"/>
        </w:rPr>
        <w:t xml:space="preserve"> 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万元。</w:t>
      </w:r>
    </w:p>
    <w:p w14:paraId="3BB15DE6">
      <w:pPr>
        <w:pStyle w:val="7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3F75E52C">
      <w:pPr>
        <w:pStyle w:val="7"/>
        <w:spacing w:before="240" w:line="632" w:lineRule="exact"/>
        <w:jc w:val="center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7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 w14:paraId="238D0C81">
      <w:pPr>
        <w:pStyle w:val="7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0</w:t>
      </w:r>
      <w:r>
        <w:rPr>
          <w:spacing w:val="-7"/>
          <w:sz w:val="32"/>
          <w:szCs w:val="32"/>
        </w:rPr>
        <w:t>辆。</w:t>
      </w:r>
    </w:p>
    <w:p w14:paraId="3A04C673">
      <w:pPr>
        <w:pStyle w:val="7"/>
        <w:spacing w:before="237" w:line="624" w:lineRule="exact"/>
        <w:ind w:right="16"/>
        <w:jc w:val="center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 w14:paraId="3CC60E58">
      <w:pPr>
        <w:pStyle w:val="7"/>
        <w:spacing w:line="223" w:lineRule="auto"/>
        <w:ind w:left="33"/>
        <w:rPr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 w14:paraId="06FDBEE7">
      <w:pPr>
        <w:pStyle w:val="7"/>
        <w:spacing w:before="242" w:line="228" w:lineRule="auto"/>
        <w:ind w:left="720"/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pacing w:val="5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(九）</w:t>
      </w:r>
      <w:r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2024年应急管理资金</w:t>
      </w:r>
      <w:bookmarkStart w:id="0" w:name="_GoBack"/>
      <w:bookmarkEnd w:id="0"/>
    </w:p>
    <w:p w14:paraId="7C7198E5">
      <w:pPr>
        <w:pStyle w:val="7"/>
        <w:spacing w:before="230" w:line="372" w:lineRule="auto"/>
        <w:ind w:left="34" w:right="12" w:firstLine="639"/>
        <w:jc w:val="both"/>
        <w:rPr>
          <w:rFonts w:hint="eastAsia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一、项目概述：按照《自然灾害救助条例》、《国家自然灾害救助应急预案》《江西省自然灾害救助应急预案》等规定，安排灾区群众紧急转移安置，保障受灾群众基本生活，维护社会稳定。</w:t>
      </w:r>
    </w:p>
    <w:p w14:paraId="1FA9A026">
      <w:pPr>
        <w:rPr>
          <w:rFonts w:hint="eastAsia"/>
          <w:spacing w:val="2"/>
          <w:lang w:val="en-US" w:eastAsia="zh-CN"/>
        </w:rPr>
      </w:pPr>
    </w:p>
    <w:p w14:paraId="297A63CF">
      <w:pPr>
        <w:pStyle w:val="7"/>
        <w:spacing w:before="230" w:line="372" w:lineRule="auto"/>
        <w:ind w:left="34" w:right="12" w:firstLine="639"/>
        <w:jc w:val="both"/>
        <w:rPr>
          <w:rFonts w:hint="eastAsia"/>
          <w:spacing w:val="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二、立项依据：</w:t>
      </w:r>
      <w:r>
        <w:rPr>
          <w:rFonts w:hint="eastAsia"/>
          <w:spacing w:val="2"/>
          <w:lang w:val="en-US" w:eastAsia="zh-CN"/>
        </w:rPr>
        <w:t>按照《自然灾害救助条例》、《国家自然灾害救助应急预案》《江西省自然灾害救助应急预案》等规定，安排灾区群众紧急转移安置，保障受灾群众基本生活，维护社会稳定。</w:t>
      </w:r>
    </w:p>
    <w:p w14:paraId="0962D10B">
      <w:pPr>
        <w:pStyle w:val="2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三、实施主体：珠山区珠山街道办事处</w:t>
      </w:r>
    </w:p>
    <w:p w14:paraId="532882CB">
      <w:pPr>
        <w:pStyle w:val="7"/>
        <w:spacing w:before="230" w:line="372" w:lineRule="auto"/>
        <w:ind w:left="34" w:right="12" w:firstLine="639"/>
        <w:jc w:val="both"/>
        <w:rPr>
          <w:rFonts w:hint="eastAsia"/>
          <w:spacing w:val="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四、实施方案：根据</w:t>
      </w:r>
      <w:r>
        <w:rPr>
          <w:rFonts w:hint="eastAsia"/>
          <w:spacing w:val="2"/>
          <w:lang w:val="en-US" w:eastAsia="zh-CN"/>
        </w:rPr>
        <w:t>《自然灾害救助条例》、《国家自然灾害救助应急预案》《江西省自然灾害救助应急预案》等规定，按照区应急管理局统一安排，安排灾区群众紧急转移安置，保障受灾群众基本生活，维护社会稳定。</w:t>
      </w:r>
    </w:p>
    <w:p w14:paraId="6BE2AFA8">
      <w:pPr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五、实施周期：2024年度</w:t>
      </w:r>
    </w:p>
    <w:p w14:paraId="1D7FF846">
      <w:pPr>
        <w:pStyle w:val="2"/>
        <w:rPr>
          <w:rFonts w:hint="default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    六、年度预算安排：2万元</w:t>
      </w:r>
    </w:p>
    <w:p w14:paraId="36B3B03A">
      <w:pPr>
        <w:pStyle w:val="7"/>
        <w:spacing w:before="240" w:line="624" w:lineRule="exact"/>
        <w:ind w:left="7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2E768DC9">
      <w:pPr>
        <w:pStyle w:val="7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2024 年</w:t>
      </w:r>
      <w:r>
        <w:rPr>
          <w:rFonts w:hint="eastAsia"/>
          <w:spacing w:val="5"/>
          <w:position w:val="23"/>
          <w:lang w:eastAsia="zh-CN"/>
        </w:rPr>
        <w:t>江西省景德镇市珠山区珠山街道办事处</w:t>
      </w:r>
      <w:r>
        <w:rPr>
          <w:spacing w:val="5"/>
          <w:position w:val="23"/>
        </w:rPr>
        <w:t>财政拨</w:t>
      </w:r>
    </w:p>
    <w:p w14:paraId="112E4EF7">
      <w:pPr>
        <w:pStyle w:val="7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款"三公"经费安排</w:t>
      </w:r>
      <w:r>
        <w:rPr>
          <w:rFonts w:hint="eastAsia"/>
          <w:spacing w:val="5"/>
          <w:position w:val="23"/>
          <w:lang w:val="en-US" w:eastAsia="zh-CN"/>
        </w:rPr>
        <w:t>5.13</w:t>
      </w:r>
      <w:r>
        <w:rPr>
          <w:spacing w:val="5"/>
          <w:position w:val="23"/>
        </w:rPr>
        <w:t>万元，其中：</w:t>
      </w:r>
    </w:p>
    <w:p w14:paraId="44A9F8F5">
      <w:pPr>
        <w:pStyle w:val="7"/>
        <w:spacing w:before="240" w:line="624" w:lineRule="exact"/>
        <w:ind w:left="706"/>
      </w:pPr>
      <w:r>
        <w:rPr>
          <w:spacing w:val="5"/>
          <w:position w:val="23"/>
        </w:rPr>
        <w:t>因公出国</w:t>
      </w:r>
      <w:r>
        <w:rPr>
          <w:spacing w:val="-50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万元,与上年持平，主要原因是：与上</w:t>
      </w:r>
    </w:p>
    <w:p w14:paraId="4B77A566">
      <w:pPr>
        <w:pStyle w:val="7"/>
        <w:spacing w:before="2" w:line="226" w:lineRule="auto"/>
        <w:ind w:left="40"/>
      </w:pPr>
      <w:r>
        <w:rPr>
          <w:spacing w:val="5"/>
        </w:rPr>
        <w:t>年安排保持一致。</w:t>
      </w:r>
    </w:p>
    <w:p w14:paraId="394F1F5F">
      <w:pPr>
        <w:pStyle w:val="7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 xml:space="preserve">公务接待 </w:t>
      </w:r>
      <w:r>
        <w:rPr>
          <w:rFonts w:hint="eastAsia"/>
          <w:spacing w:val="5"/>
          <w:position w:val="23"/>
          <w:lang w:val="en-US" w:eastAsia="zh-CN"/>
        </w:rPr>
        <w:t>5.13</w:t>
      </w:r>
      <w:r>
        <w:rPr>
          <w:spacing w:val="5"/>
          <w:position w:val="23"/>
        </w:rPr>
        <w:t xml:space="preserve"> 万元,与上年</w:t>
      </w:r>
      <w:r>
        <w:rPr>
          <w:rFonts w:hint="eastAsia"/>
          <w:spacing w:val="5"/>
          <w:position w:val="23"/>
          <w:lang w:eastAsia="zh-CN"/>
        </w:rPr>
        <w:t>减少</w:t>
      </w:r>
      <w:r>
        <w:rPr>
          <w:rFonts w:hint="eastAsia"/>
          <w:spacing w:val="5"/>
          <w:position w:val="23"/>
          <w:lang w:val="en-US" w:eastAsia="zh-CN"/>
        </w:rPr>
        <w:t>0.05万元</w:t>
      </w:r>
      <w:r>
        <w:rPr>
          <w:spacing w:val="5"/>
          <w:position w:val="23"/>
        </w:rPr>
        <w:t>，主要原因</w:t>
      </w:r>
    </w:p>
    <w:p w14:paraId="62AFDF3C">
      <w:pPr>
        <w:pStyle w:val="7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是：</w:t>
      </w:r>
      <w:r>
        <w:rPr>
          <w:rFonts w:hint="eastAsia"/>
          <w:spacing w:val="5"/>
          <w:position w:val="23"/>
          <w:lang w:eastAsia="zh-CN"/>
        </w:rPr>
        <w:t>减少预算</w:t>
      </w:r>
      <w:r>
        <w:rPr>
          <w:spacing w:val="5"/>
          <w:position w:val="23"/>
        </w:rPr>
        <w:t>。</w:t>
      </w:r>
    </w:p>
    <w:p w14:paraId="2AC52EFA">
      <w:pPr>
        <w:pStyle w:val="7"/>
        <w:spacing w:before="240" w:line="624" w:lineRule="exact"/>
        <w:ind w:firstLine="640" w:firstLineChars="200"/>
        <w:rPr>
          <w:spacing w:val="5"/>
          <w:position w:val="23"/>
        </w:rPr>
      </w:pPr>
      <w:r>
        <w:rPr>
          <w:spacing w:val="5"/>
          <w:position w:val="23"/>
        </w:rPr>
        <w:t>公务用车运行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5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5"/>
          <w:position w:val="23"/>
        </w:rPr>
        <w:t>。</w:t>
      </w:r>
    </w:p>
    <w:p w14:paraId="3070A088">
      <w:pPr>
        <w:pStyle w:val="7"/>
        <w:spacing w:before="2" w:line="226" w:lineRule="auto"/>
        <w:ind w:firstLine="644" w:firstLineChars="200"/>
      </w:pPr>
      <w:r>
        <w:rPr>
          <w:spacing w:val="6"/>
          <w:position w:val="23"/>
        </w:rPr>
        <w:t>公务用车购置</w:t>
      </w:r>
      <w:r>
        <w:rPr>
          <w:spacing w:val="-41"/>
          <w:position w:val="23"/>
        </w:rPr>
        <w:t xml:space="preserve"> </w:t>
      </w:r>
      <w:r>
        <w:rPr>
          <w:spacing w:val="6"/>
          <w:position w:val="23"/>
        </w:rPr>
        <w:t>0</w:t>
      </w:r>
      <w:r>
        <w:rPr>
          <w:spacing w:val="-52"/>
          <w:position w:val="23"/>
        </w:rPr>
        <w:t xml:space="preserve"> </w:t>
      </w:r>
      <w:r>
        <w:rPr>
          <w:spacing w:val="6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2"/>
        </w:rPr>
        <w:t>。</w:t>
      </w:r>
    </w:p>
    <w:p w14:paraId="4587A0F6">
      <w:pPr>
        <w:spacing w:line="299" w:lineRule="auto"/>
        <w:rPr>
          <w:rFonts w:ascii="Arial"/>
          <w:sz w:val="21"/>
        </w:rPr>
      </w:pPr>
    </w:p>
    <w:p w14:paraId="5EE33E41">
      <w:pPr>
        <w:pStyle w:val="7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5D2147AD">
      <w:pPr>
        <w:spacing w:line="324" w:lineRule="auto"/>
        <w:rPr>
          <w:rFonts w:ascii="Arial"/>
          <w:sz w:val="21"/>
        </w:rPr>
      </w:pPr>
    </w:p>
    <w:p w14:paraId="18D00A5E">
      <w:pPr>
        <w:spacing w:line="324" w:lineRule="auto"/>
        <w:rPr>
          <w:rFonts w:ascii="Arial"/>
          <w:sz w:val="21"/>
        </w:rPr>
      </w:pPr>
    </w:p>
    <w:p w14:paraId="65BCE2DD"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41D84C73">
      <w:pPr>
        <w:pStyle w:val="7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 w14:paraId="50223CFF">
      <w:pPr>
        <w:pStyle w:val="7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</w:t>
      </w:r>
      <w:r>
        <w:rPr>
          <w:spacing w:val="99"/>
        </w:rPr>
        <w:t xml:space="preserve"> </w:t>
      </w:r>
      <w:r>
        <w:rPr>
          <w:spacing w:val="-1"/>
        </w:rPr>
        <w:t>高校委托培养费，函大、</w:t>
      </w:r>
      <w:r>
        <w:rPr>
          <w:spacing w:val="-2"/>
        </w:rPr>
        <w:t>电大、夜大及短</w:t>
      </w:r>
    </w:p>
    <w:p w14:paraId="000B574E">
      <w:pPr>
        <w:pStyle w:val="7"/>
        <w:spacing w:line="228" w:lineRule="auto"/>
        <w:ind w:left="36"/>
      </w:pPr>
      <w:r>
        <w:rPr>
          <w:spacing w:val="5"/>
        </w:rPr>
        <w:t>训班培训费等教育收费取得的收入。</w:t>
      </w:r>
    </w:p>
    <w:p w14:paraId="523CFDA9">
      <w:pPr>
        <w:pStyle w:val="7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276BFB93">
      <w:pPr>
        <w:pStyle w:val="7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5D4205E3">
      <w:pPr>
        <w:pStyle w:val="7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58DC777F">
      <w:pPr>
        <w:pStyle w:val="7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14E39A6F">
      <w:pPr>
        <w:pStyle w:val="7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7CB824AC">
      <w:pPr>
        <w:pStyle w:val="7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4892ACED"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55A2CE35">
      <w:pPr>
        <w:pStyle w:val="7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 w14:paraId="15879984">
      <w:pPr>
        <w:pStyle w:val="7"/>
        <w:spacing w:line="228" w:lineRule="auto"/>
        <w:ind w:left="53"/>
      </w:pPr>
      <w:r>
        <w:rPr>
          <w:spacing w:val="-5"/>
        </w:rPr>
        <w:t>的基本支出。</w:t>
      </w:r>
    </w:p>
    <w:p w14:paraId="6903C1E4">
      <w:pPr>
        <w:pStyle w:val="7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 w14:paraId="2E203292">
      <w:pPr>
        <w:pStyle w:val="7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 w14:paraId="6C8CDB5A">
      <w:pPr>
        <w:pStyle w:val="7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 w14:paraId="3F1444C0">
      <w:pPr>
        <w:pStyle w:val="7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 w14:paraId="017D87C2">
      <w:pPr>
        <w:pStyle w:val="7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 w14:paraId="077362FB">
      <w:pPr>
        <w:pStyle w:val="7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 w14:paraId="1772878D">
      <w:pPr>
        <w:pStyle w:val="7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 w14:paraId="610F698E">
      <w:pPr>
        <w:pStyle w:val="7"/>
        <w:spacing w:before="2" w:line="229" w:lineRule="auto"/>
        <w:ind w:left="53"/>
      </w:pPr>
      <w:r>
        <w:rPr>
          <w:spacing w:val="-10"/>
        </w:rPr>
        <w:t>的支出。</w:t>
      </w:r>
    </w:p>
    <w:p w14:paraId="280F2780">
      <w:pPr>
        <w:pStyle w:val="7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 w14:paraId="47349CA0">
      <w:pPr>
        <w:pStyle w:val="7"/>
        <w:spacing w:before="2" w:line="229" w:lineRule="auto"/>
        <w:ind w:left="49"/>
      </w:pPr>
      <w:r>
        <w:rPr>
          <w:spacing w:val="-6"/>
        </w:rPr>
        <w:t>险费支出。</w:t>
      </w:r>
    </w:p>
    <w:p w14:paraId="4D7D0283"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13E01B14">
      <w:pPr>
        <w:pStyle w:val="7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 w14:paraId="7C6FF47F">
      <w:pPr>
        <w:pStyle w:val="7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 w14:paraId="360B785D">
      <w:pPr>
        <w:pStyle w:val="7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 w14:paraId="50018DE7">
      <w:pPr>
        <w:pStyle w:val="7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 w14:paraId="4D76D15F">
      <w:pPr>
        <w:pStyle w:val="7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 w14:paraId="1F81B631">
      <w:pPr>
        <w:pStyle w:val="7"/>
        <w:spacing w:before="1" w:line="229" w:lineRule="auto"/>
        <w:ind w:left="34"/>
      </w:pPr>
      <w:r>
        <w:rPr>
          <w:spacing w:val="-9"/>
        </w:rPr>
        <w:t>支出。</w:t>
      </w:r>
    </w:p>
    <w:p w14:paraId="3EA7D559">
      <w:pPr>
        <w:pStyle w:val="7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 w14:paraId="435294AB">
      <w:pPr>
        <w:pStyle w:val="7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JiZTE4NjBkMzJkZmI0OWQ3OThiY2U0Mzk0YmU2YWEifQ=="/>
  </w:docVars>
  <w:rsids>
    <w:rsidRoot w:val="00000000"/>
    <w:rsid w:val="1C2F75F9"/>
    <w:rsid w:val="483401DB"/>
    <w:rsid w:val="6A7F059E"/>
    <w:rsid w:val="7D5D4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 w:cs="Courier New"/>
      <w:szCs w:val="21"/>
    </w:rPr>
  </w:style>
  <w:style w:type="paragraph" w:customStyle="1" w:styleId="3">
    <w:name w:val="表格样式 1 A"/>
    <w:next w:val="4"/>
    <w:autoRedefine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4"/>
    <w:basedOn w:val="1"/>
    <w:next w:val="1"/>
    <w:autoRedefine/>
    <w:qFormat/>
    <w:uiPriority w:val="0"/>
    <w:pPr>
      <w:ind w:left="630"/>
    </w:pPr>
  </w:style>
  <w:style w:type="paragraph" w:styleId="7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12.e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e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emf"/><Relationship Id="rId24" Type="http://schemas.openxmlformats.org/officeDocument/2006/relationships/oleObject" Target="embeddings/oleObject10.bin"/><Relationship Id="rId23" Type="http://schemas.openxmlformats.org/officeDocument/2006/relationships/image" Target="media/image9.emf"/><Relationship Id="rId22" Type="http://schemas.openxmlformats.org/officeDocument/2006/relationships/oleObject" Target="embeddings/oleObject9.bin"/><Relationship Id="rId21" Type="http://schemas.openxmlformats.org/officeDocument/2006/relationships/image" Target="media/image8.e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emf"/><Relationship Id="rId18" Type="http://schemas.openxmlformats.org/officeDocument/2006/relationships/oleObject" Target="embeddings/oleObject7.bin"/><Relationship Id="rId17" Type="http://schemas.openxmlformats.org/officeDocument/2006/relationships/image" Target="media/image6.emf"/><Relationship Id="rId16" Type="http://schemas.openxmlformats.org/officeDocument/2006/relationships/oleObject" Target="embeddings/oleObject6.bin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4297</Words>
  <Characters>4681</Characters>
  <TotalTime>10</TotalTime>
  <ScaleCrop>false</ScaleCrop>
  <LinksUpToDate>false</LinksUpToDate>
  <CharactersWithSpaces>5141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MA婷婷</cp:lastModifiedBy>
  <dcterms:modified xsi:type="dcterms:W3CDTF">2025-06-26T07:54:24Z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2052-12.1.0.21541</vt:lpwstr>
  </property>
  <property fmtid="{D5CDD505-2E9C-101B-9397-08002B2CF9AE}" pid="5" name="ICV">
    <vt:lpwstr>E78EAE8DCD994071AD07D93AF4CC59A4_13</vt:lpwstr>
  </property>
  <property fmtid="{D5CDD505-2E9C-101B-9397-08002B2CF9AE}" pid="6" name="KSOTemplateDocerSaveRecord">
    <vt:lpwstr>eyJoZGlkIjoiZThmNjAzMWJlZjFkMmQwODUwMTJkYzE2ODFiYmFmYTciLCJ1c2VySWQiOiIzMzM5ODYyMjgifQ==</vt:lpwstr>
  </property>
</Properties>
</file>