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E5863">
      <w:pPr>
        <w:pStyle w:val="5"/>
        <w:spacing w:before="0" w:after="0" w:line="240" w:lineRule="auto"/>
        <w:jc w:val="center"/>
        <w:rPr>
          <w:rFonts w:hint="eastAsia" w:ascii="黑体" w:hAnsi="黑体" w:eastAsia="黑体" w:cs="黑体"/>
          <w:sz w:val="36"/>
          <w:szCs w:val="36"/>
          <w:lang w:val="en-US" w:eastAsia="zh-CN"/>
        </w:rPr>
      </w:pPr>
      <w:bookmarkStart w:id="0" w:name="_GoBack"/>
      <w:bookmarkEnd w:id="0"/>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珠山区卫生健康综合监督执法局</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14:paraId="7A4DF758">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4C51B57E">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rPr>
        <w:t>概况</w:t>
      </w:r>
    </w:p>
    <w:p w14:paraId="2D3C0E56">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1136CB9E">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3A96EA9C">
      <w:pPr>
        <w:pStyle w:val="2"/>
        <w:rPr>
          <w:rFonts w:hint="eastAsia"/>
        </w:rPr>
      </w:pPr>
    </w:p>
    <w:p w14:paraId="32216394">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432C0B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color="auto" w:fill="FFFFFF"/>
        </w:rPr>
        <w:t>一、2023年部门预算收支情况说明</w:t>
      </w:r>
    </w:p>
    <w:p w14:paraId="5271A2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        1、预算收入情况</w:t>
      </w:r>
    </w:p>
    <w:p w14:paraId="345774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        2、预算支出情况</w:t>
      </w:r>
    </w:p>
    <w:p w14:paraId="4CFF52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        3、财政拨款支出情况</w:t>
      </w:r>
    </w:p>
    <w:p w14:paraId="4F3B5F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        4、政府采购预算情况</w:t>
      </w:r>
    </w:p>
    <w:p w14:paraId="7D41EA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        5、政府基金收支情况</w:t>
      </w:r>
    </w:p>
    <w:p w14:paraId="382EFC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        6、机关运行经费情况</w:t>
      </w:r>
    </w:p>
    <w:p w14:paraId="0A92F9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        7、国有资产占用情况</w:t>
      </w:r>
    </w:p>
    <w:p w14:paraId="230EB1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        8、整体绩效目标设置情况</w:t>
      </w:r>
    </w:p>
    <w:p w14:paraId="6BF3A5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w:t>
      </w:r>
      <w:r>
        <w:rPr>
          <w:rFonts w:hint="eastAsia" w:ascii="仿宋" w:hAnsi="仿宋" w:eastAsia="仿宋" w:cs="仿宋"/>
          <w:caps w:val="0"/>
          <w:color w:val="333333"/>
          <w:spacing w:val="0"/>
          <w:sz w:val="32"/>
          <w:szCs w:val="32"/>
          <w:shd w:val="clear" w:color="auto" w:fill="FFFFFF"/>
          <w:lang w:val="en-US" w:eastAsia="zh-CN"/>
        </w:rPr>
        <w:t xml:space="preserve">  </w:t>
      </w:r>
      <w:r>
        <w:rPr>
          <w:rFonts w:hint="eastAsia" w:ascii="仿宋" w:hAnsi="仿宋" w:eastAsia="仿宋" w:cs="仿宋"/>
          <w:caps w:val="0"/>
          <w:color w:val="333333"/>
          <w:spacing w:val="0"/>
          <w:sz w:val="32"/>
          <w:szCs w:val="32"/>
          <w:shd w:val="clear" w:color="auto" w:fill="FFFFFF"/>
        </w:rPr>
        <w:t>二、2023年“三公”经费预算情况说明</w:t>
      </w:r>
    </w:p>
    <w:p w14:paraId="53357A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ascii="仿宋_GB2312" w:eastAsia="仿宋_GB2312" w:cs="Times New Roman"/>
          <w:sz w:val="32"/>
          <w:szCs w:val="32"/>
        </w:rPr>
      </w:pPr>
    </w:p>
    <w:p w14:paraId="217BB582">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742C60E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1767714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7CD84E4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20613AD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6EE532B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734B9B6F">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4F94FCB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24623E02">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3FE3D114">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38BEE894">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2FF96638">
      <w:pPr>
        <w:ind w:firstLine="640"/>
        <w:rPr>
          <w:rFonts w:hint="eastAsia" w:ascii="黑体" w:hAnsi="宋体" w:eastAsia="黑体" w:cs="黑体"/>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6212A765">
      <w:pPr>
        <w:pStyle w:val="2"/>
        <w:rPr>
          <w:rFonts w:hint="eastAsia"/>
        </w:rPr>
      </w:pPr>
    </w:p>
    <w:p w14:paraId="5CF397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pPr>
      <w:r>
        <w:rPr>
          <w:rFonts w:hint="eastAsia" w:ascii="黑体" w:hAnsi="黑体" w:eastAsia="黑体" w:cs="黑体"/>
          <w:b/>
          <w:bCs/>
          <w:caps w:val="0"/>
          <w:color w:val="333333"/>
          <w:spacing w:val="0"/>
          <w:sz w:val="32"/>
          <w:szCs w:val="32"/>
          <w:shd w:val="clear" w:color="auto" w:fill="FFFFFF"/>
        </w:rPr>
        <w:t>第一部分</w:t>
      </w:r>
      <w:r>
        <w:rPr>
          <w:rFonts w:hint="eastAsia" w:ascii="黑体" w:hAnsi="宋体" w:eastAsia="黑体" w:cs="黑体"/>
          <w:sz w:val="32"/>
          <w:szCs w:val="32"/>
          <w:lang w:val="en-US" w:eastAsia="zh-CN"/>
        </w:rPr>
        <w:t>珠山区卫生健康综合监督执法局</w:t>
      </w:r>
      <w:r>
        <w:rPr>
          <w:rFonts w:hint="eastAsia" w:ascii="黑体" w:hAnsi="黑体" w:eastAsia="黑体" w:cs="黑体"/>
          <w:b/>
          <w:bCs/>
          <w:caps w:val="0"/>
          <w:color w:val="333333"/>
          <w:spacing w:val="0"/>
          <w:sz w:val="32"/>
          <w:szCs w:val="32"/>
          <w:shd w:val="clear" w:color="auto" w:fill="FFFFFF"/>
        </w:rPr>
        <w:t>概况</w:t>
      </w:r>
    </w:p>
    <w:p w14:paraId="3C0B0EC9">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rPr>
      </w:pPr>
      <w:r>
        <w:rPr>
          <w:rFonts w:hint="eastAsia" w:ascii="黑体" w:hAnsi="黑体" w:eastAsia="黑体" w:cs="黑体"/>
          <w:b w:val="0"/>
          <w:bCs/>
          <w:color w:val="auto"/>
          <w:sz w:val="32"/>
          <w:szCs w:val="32"/>
          <w:highlight w:val="none"/>
          <w:shd w:val="clear" w:color="auto" w:fill="auto"/>
        </w:rPr>
        <w:t>部门主要职责</w:t>
      </w:r>
    </w:p>
    <w:p w14:paraId="73E370B9">
      <w:pPr>
        <w:spacing w:before="43" w:line="250" w:lineRule="auto"/>
        <w:ind w:left="29" w:firstLine="649"/>
        <w:rPr>
          <w:rFonts w:ascii="仿宋" w:hAnsi="仿宋" w:eastAsia="仿宋" w:cs="仿宋"/>
          <w:sz w:val="31"/>
          <w:szCs w:val="31"/>
        </w:rPr>
      </w:pPr>
      <w:r>
        <w:rPr>
          <w:rFonts w:ascii="仿宋" w:hAnsi="仿宋" w:eastAsia="仿宋" w:cs="仿宋"/>
          <w:color w:val="333333"/>
          <w:spacing w:val="9"/>
          <w:sz w:val="31"/>
          <w:szCs w:val="31"/>
        </w:rPr>
        <w:t>珠山区卫生计生综合监督执法局是区卫健委行使卫</w:t>
      </w:r>
      <w:r>
        <w:rPr>
          <w:rFonts w:ascii="仿宋" w:hAnsi="仿宋" w:eastAsia="仿宋" w:cs="仿宋"/>
          <w:color w:val="333333"/>
          <w:spacing w:val="6"/>
          <w:sz w:val="31"/>
          <w:szCs w:val="31"/>
        </w:rPr>
        <w:t>生</w:t>
      </w:r>
      <w:r>
        <w:rPr>
          <w:rFonts w:ascii="仿宋" w:hAnsi="仿宋" w:eastAsia="仿宋" w:cs="仿宋"/>
          <w:color w:val="333333"/>
          <w:sz w:val="31"/>
          <w:szCs w:val="31"/>
        </w:rPr>
        <w:t xml:space="preserve">  </w:t>
      </w:r>
      <w:r>
        <w:rPr>
          <w:rFonts w:ascii="仿宋" w:hAnsi="仿宋" w:eastAsia="仿宋" w:cs="仿宋"/>
          <w:color w:val="333333"/>
          <w:spacing w:val="18"/>
          <w:sz w:val="31"/>
          <w:szCs w:val="31"/>
        </w:rPr>
        <w:t>监</w:t>
      </w:r>
      <w:r>
        <w:rPr>
          <w:rFonts w:ascii="仿宋" w:hAnsi="仿宋" w:eastAsia="仿宋" w:cs="仿宋"/>
          <w:color w:val="333333"/>
          <w:spacing w:val="9"/>
          <w:sz w:val="31"/>
          <w:szCs w:val="31"/>
        </w:rPr>
        <w:t>督执法职能的执行机构，为区卫健委直属事业单位，于</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200</w:t>
      </w:r>
      <w:r>
        <w:rPr>
          <w:rFonts w:ascii="仿宋" w:hAnsi="仿宋" w:eastAsia="仿宋" w:cs="仿宋"/>
          <w:color w:val="333333"/>
          <w:spacing w:val="-9"/>
          <w:sz w:val="31"/>
          <w:szCs w:val="31"/>
        </w:rPr>
        <w:t>7</w:t>
      </w:r>
      <w:r>
        <w:rPr>
          <w:rFonts w:ascii="仿宋" w:hAnsi="仿宋" w:eastAsia="仿宋" w:cs="仿宋"/>
          <w:color w:val="333333"/>
          <w:spacing w:val="-6"/>
          <w:sz w:val="31"/>
          <w:szCs w:val="31"/>
        </w:rPr>
        <w:t xml:space="preserve"> 年 2 月成立，原名珠山区卫生监督所，2017 年 12 月更</w:t>
      </w:r>
      <w:r>
        <w:rPr>
          <w:rFonts w:ascii="仿宋" w:hAnsi="仿宋" w:eastAsia="仿宋" w:cs="仿宋"/>
          <w:color w:val="333333"/>
          <w:sz w:val="31"/>
          <w:szCs w:val="31"/>
        </w:rPr>
        <w:t xml:space="preserve"> </w:t>
      </w:r>
      <w:r>
        <w:rPr>
          <w:rFonts w:ascii="仿宋" w:hAnsi="仿宋" w:eastAsia="仿宋" w:cs="仿宋"/>
          <w:color w:val="333333"/>
          <w:spacing w:val="1"/>
          <w:sz w:val="31"/>
          <w:szCs w:val="31"/>
        </w:rPr>
        <w:t>名为珠山区卫生计生</w:t>
      </w:r>
      <w:r>
        <w:rPr>
          <w:rFonts w:ascii="仿宋" w:hAnsi="仿宋" w:eastAsia="仿宋" w:cs="仿宋"/>
          <w:color w:val="333333"/>
          <w:sz w:val="31"/>
          <w:szCs w:val="31"/>
        </w:rPr>
        <w:t xml:space="preserve">综合监督执法局。全局共有职工 11 名， </w:t>
      </w:r>
      <w:r>
        <w:rPr>
          <w:rFonts w:ascii="仿宋" w:hAnsi="仿宋" w:eastAsia="仿宋" w:cs="仿宋"/>
          <w:color w:val="333333"/>
          <w:spacing w:val="9"/>
          <w:sz w:val="31"/>
          <w:szCs w:val="31"/>
        </w:rPr>
        <w:t>办公用房十间，卫生监督执法车两辆。其主要职能是在区</w:t>
      </w:r>
      <w:r>
        <w:rPr>
          <w:rFonts w:ascii="仿宋" w:hAnsi="仿宋" w:eastAsia="仿宋" w:cs="仿宋"/>
          <w:color w:val="333333"/>
          <w:spacing w:val="6"/>
          <w:sz w:val="31"/>
          <w:szCs w:val="31"/>
        </w:rPr>
        <w:t>卫</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健委</w:t>
      </w:r>
      <w:r>
        <w:rPr>
          <w:rFonts w:ascii="仿宋" w:hAnsi="仿宋" w:eastAsia="仿宋" w:cs="仿宋"/>
          <w:color w:val="333333"/>
          <w:spacing w:val="12"/>
          <w:sz w:val="31"/>
          <w:szCs w:val="31"/>
        </w:rPr>
        <w:t>领</w:t>
      </w:r>
      <w:r>
        <w:rPr>
          <w:rFonts w:ascii="仿宋" w:hAnsi="仿宋" w:eastAsia="仿宋" w:cs="仿宋"/>
          <w:color w:val="333333"/>
          <w:spacing w:val="8"/>
          <w:sz w:val="31"/>
          <w:szCs w:val="31"/>
        </w:rPr>
        <w:t>导下，依法在全区公共卫生、医疗、妇幼保健、疾病</w:t>
      </w:r>
      <w:r>
        <w:rPr>
          <w:rFonts w:ascii="仿宋" w:hAnsi="仿宋" w:eastAsia="仿宋" w:cs="仿宋"/>
          <w:color w:val="333333"/>
          <w:sz w:val="31"/>
          <w:szCs w:val="31"/>
        </w:rPr>
        <w:t xml:space="preserve"> </w:t>
      </w:r>
      <w:r>
        <w:rPr>
          <w:rFonts w:ascii="仿宋" w:hAnsi="仿宋" w:eastAsia="仿宋" w:cs="仿宋"/>
          <w:color w:val="333333"/>
          <w:spacing w:val="9"/>
          <w:sz w:val="31"/>
          <w:szCs w:val="31"/>
        </w:rPr>
        <w:t>预防控制等领域开展综合卫生健康监督执法工作</w:t>
      </w:r>
      <w:r>
        <w:rPr>
          <w:rFonts w:ascii="仿宋" w:hAnsi="仿宋" w:eastAsia="仿宋" w:cs="仿宋"/>
          <w:color w:val="333333"/>
          <w:spacing w:val="5"/>
          <w:sz w:val="31"/>
          <w:szCs w:val="31"/>
        </w:rPr>
        <w:t>。</w:t>
      </w:r>
      <w:r>
        <w:rPr>
          <w:rFonts w:ascii="仿宋" w:hAnsi="仿宋" w:eastAsia="仿宋" w:cs="仿宋"/>
          <w:color w:val="333333"/>
          <w:spacing w:val="14"/>
          <w:sz w:val="31"/>
          <w:szCs w:val="31"/>
        </w:rPr>
        <w:t>受区</w:t>
      </w:r>
      <w:r>
        <w:rPr>
          <w:rFonts w:ascii="仿宋" w:hAnsi="仿宋" w:eastAsia="仿宋" w:cs="仿宋"/>
          <w:color w:val="333333"/>
          <w:spacing w:val="11"/>
          <w:sz w:val="31"/>
          <w:szCs w:val="31"/>
        </w:rPr>
        <w:t>卫</w:t>
      </w:r>
      <w:r>
        <w:rPr>
          <w:rFonts w:ascii="仿宋" w:hAnsi="仿宋" w:eastAsia="仿宋" w:cs="仿宋"/>
          <w:color w:val="333333"/>
          <w:spacing w:val="7"/>
          <w:sz w:val="31"/>
          <w:szCs w:val="31"/>
        </w:rPr>
        <w:t>健委委托，具体承担卫生法律法规和规章等的监</w:t>
      </w:r>
      <w:r>
        <w:rPr>
          <w:rFonts w:ascii="仿宋" w:hAnsi="仿宋" w:eastAsia="仿宋" w:cs="仿宋"/>
          <w:color w:val="333333"/>
          <w:sz w:val="31"/>
          <w:szCs w:val="31"/>
        </w:rPr>
        <w:t xml:space="preserve"> </w:t>
      </w:r>
      <w:r>
        <w:rPr>
          <w:rFonts w:ascii="仿宋" w:hAnsi="仿宋" w:eastAsia="仿宋" w:cs="仿宋"/>
          <w:color w:val="333333"/>
          <w:spacing w:val="3"/>
          <w:sz w:val="31"/>
          <w:szCs w:val="31"/>
        </w:rPr>
        <w:t>督管理职责。</w:t>
      </w:r>
    </w:p>
    <w:p w14:paraId="1D21255B">
      <w:pPr>
        <w:spacing w:line="250" w:lineRule="auto"/>
        <w:ind w:left="52" w:right="88" w:firstLine="627"/>
        <w:rPr>
          <w:rFonts w:ascii="仿宋" w:hAnsi="仿宋" w:eastAsia="仿宋" w:cs="仿宋"/>
          <w:sz w:val="31"/>
          <w:szCs w:val="31"/>
        </w:rPr>
      </w:pPr>
      <w:r>
        <w:rPr>
          <w:rFonts w:ascii="仿宋" w:hAnsi="仿宋" w:eastAsia="仿宋" w:cs="仿宋"/>
          <w:color w:val="333333"/>
          <w:spacing w:val="14"/>
          <w:sz w:val="31"/>
          <w:szCs w:val="31"/>
        </w:rPr>
        <w:t>(</w:t>
      </w:r>
      <w:r>
        <w:rPr>
          <w:rFonts w:ascii="仿宋" w:hAnsi="仿宋" w:eastAsia="仿宋" w:cs="仿宋"/>
          <w:color w:val="333333"/>
          <w:spacing w:val="10"/>
          <w:sz w:val="31"/>
          <w:szCs w:val="31"/>
        </w:rPr>
        <w:t>一</w:t>
      </w:r>
      <w:r>
        <w:rPr>
          <w:rFonts w:ascii="仿宋" w:hAnsi="仿宋" w:eastAsia="仿宋" w:cs="仿宋"/>
          <w:color w:val="333333"/>
          <w:spacing w:val="7"/>
          <w:sz w:val="31"/>
          <w:szCs w:val="31"/>
        </w:rPr>
        <w:t>) 负责组织实施行政区域内卫生健康专项整治和日</w:t>
      </w:r>
      <w:r>
        <w:rPr>
          <w:rFonts w:ascii="仿宋" w:hAnsi="仿宋" w:eastAsia="仿宋" w:cs="仿宋"/>
          <w:color w:val="333333"/>
          <w:sz w:val="31"/>
          <w:szCs w:val="31"/>
        </w:rPr>
        <w:t xml:space="preserve"> </w:t>
      </w:r>
      <w:r>
        <w:rPr>
          <w:rFonts w:ascii="仿宋" w:hAnsi="仿宋" w:eastAsia="仿宋" w:cs="仿宋"/>
          <w:color w:val="333333"/>
          <w:spacing w:val="6"/>
          <w:sz w:val="31"/>
          <w:szCs w:val="31"/>
        </w:rPr>
        <w:t>常监</w:t>
      </w:r>
      <w:r>
        <w:rPr>
          <w:rFonts w:ascii="仿宋" w:hAnsi="仿宋" w:eastAsia="仿宋" w:cs="仿宋"/>
          <w:color w:val="333333"/>
          <w:spacing w:val="3"/>
          <w:sz w:val="31"/>
          <w:szCs w:val="31"/>
        </w:rPr>
        <w:t>督检查工作。</w:t>
      </w:r>
    </w:p>
    <w:p w14:paraId="1BCF2FC2">
      <w:pPr>
        <w:spacing w:line="250" w:lineRule="auto"/>
        <w:ind w:left="42" w:right="90" w:firstLine="637"/>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二) 对公共场所卫生、生活饮用水卫生、学校卫生及</w:t>
      </w:r>
      <w:r>
        <w:rPr>
          <w:rFonts w:ascii="仿宋" w:hAnsi="仿宋" w:eastAsia="仿宋" w:cs="仿宋"/>
          <w:color w:val="333333"/>
          <w:sz w:val="31"/>
          <w:szCs w:val="31"/>
        </w:rPr>
        <w:t xml:space="preserve"> </w:t>
      </w:r>
      <w:r>
        <w:rPr>
          <w:rFonts w:ascii="仿宋" w:hAnsi="仿宋" w:eastAsia="仿宋" w:cs="仿宋"/>
          <w:color w:val="333333"/>
          <w:spacing w:val="9"/>
          <w:sz w:val="31"/>
          <w:szCs w:val="31"/>
        </w:rPr>
        <w:t>消</w:t>
      </w:r>
      <w:r>
        <w:rPr>
          <w:rFonts w:ascii="仿宋" w:hAnsi="仿宋" w:eastAsia="仿宋" w:cs="仿宋"/>
          <w:color w:val="333333"/>
          <w:spacing w:val="8"/>
          <w:sz w:val="31"/>
          <w:szCs w:val="31"/>
        </w:rPr>
        <w:t>毒产品和涉及饮用水安全产品进行监督检查。</w:t>
      </w:r>
    </w:p>
    <w:p w14:paraId="2DD2396E">
      <w:pPr>
        <w:spacing w:line="250" w:lineRule="auto"/>
        <w:ind w:left="38" w:right="88" w:firstLine="641"/>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三) 对医疗机构、采供血机构及其从业人员的执业活</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动</w:t>
      </w:r>
      <w:r>
        <w:rPr>
          <w:rFonts w:ascii="仿宋" w:hAnsi="仿宋" w:eastAsia="仿宋" w:cs="仿宋"/>
          <w:color w:val="333333"/>
          <w:spacing w:val="8"/>
          <w:sz w:val="31"/>
          <w:szCs w:val="31"/>
        </w:rPr>
        <w:t>进</w:t>
      </w:r>
      <w:r>
        <w:rPr>
          <w:rFonts w:ascii="仿宋" w:hAnsi="仿宋" w:eastAsia="仿宋" w:cs="仿宋"/>
          <w:color w:val="333333"/>
          <w:spacing w:val="7"/>
          <w:sz w:val="31"/>
          <w:szCs w:val="31"/>
        </w:rPr>
        <w:t>行监督检查，查处违法行为。</w:t>
      </w:r>
    </w:p>
    <w:p w14:paraId="777F78CA">
      <w:pPr>
        <w:spacing w:before="1" w:line="226" w:lineRule="auto"/>
        <w:ind w:left="680"/>
        <w:rPr>
          <w:rFonts w:ascii="仿宋" w:hAnsi="仿宋" w:eastAsia="仿宋" w:cs="仿宋"/>
          <w:sz w:val="31"/>
          <w:szCs w:val="31"/>
        </w:rPr>
      </w:pPr>
      <w:r>
        <w:rPr>
          <w:rFonts w:ascii="仿宋" w:hAnsi="仿宋" w:eastAsia="仿宋" w:cs="仿宋"/>
          <w:color w:val="333333"/>
          <w:spacing w:val="7"/>
          <w:sz w:val="31"/>
          <w:szCs w:val="31"/>
        </w:rPr>
        <w:t>(四) 打击非法行医和非法采供血</w:t>
      </w:r>
      <w:r>
        <w:rPr>
          <w:rFonts w:ascii="仿宋" w:hAnsi="仿宋" w:eastAsia="仿宋" w:cs="仿宋"/>
          <w:color w:val="333333"/>
          <w:spacing w:val="5"/>
          <w:sz w:val="31"/>
          <w:szCs w:val="31"/>
        </w:rPr>
        <w:t>。</w:t>
      </w:r>
    </w:p>
    <w:p w14:paraId="52C30F94">
      <w:pPr>
        <w:spacing w:before="39" w:line="228" w:lineRule="auto"/>
        <w:ind w:left="680"/>
        <w:rPr>
          <w:rFonts w:ascii="仿宋" w:hAnsi="仿宋" w:eastAsia="仿宋" w:cs="仿宋"/>
          <w:sz w:val="31"/>
          <w:szCs w:val="31"/>
        </w:rPr>
      </w:pPr>
      <w:r>
        <w:rPr>
          <w:rFonts w:ascii="仿宋" w:hAnsi="仿宋" w:eastAsia="仿宋" w:cs="仿宋"/>
          <w:color w:val="333333"/>
          <w:spacing w:val="27"/>
          <w:sz w:val="31"/>
          <w:szCs w:val="31"/>
        </w:rPr>
        <w:t>(</w:t>
      </w:r>
      <w:r>
        <w:rPr>
          <w:rFonts w:ascii="仿宋" w:hAnsi="仿宋" w:eastAsia="仿宋" w:cs="仿宋"/>
          <w:color w:val="333333"/>
          <w:spacing w:val="16"/>
          <w:sz w:val="31"/>
          <w:szCs w:val="31"/>
        </w:rPr>
        <w:t>五) 整顿和规范医疗服务秩序。</w:t>
      </w:r>
    </w:p>
    <w:p w14:paraId="61F2D613">
      <w:pPr>
        <w:spacing w:before="38" w:line="250" w:lineRule="auto"/>
        <w:ind w:left="35" w:right="90" w:firstLine="645"/>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六) 对医疗卫生机构的放射诊疗、职业健康检查和职</w:t>
      </w:r>
      <w:r>
        <w:rPr>
          <w:rFonts w:ascii="仿宋" w:hAnsi="仿宋" w:eastAsia="仿宋" w:cs="仿宋"/>
          <w:color w:val="333333"/>
          <w:sz w:val="31"/>
          <w:szCs w:val="31"/>
        </w:rPr>
        <w:t xml:space="preserve"> </w:t>
      </w:r>
      <w:r>
        <w:rPr>
          <w:rFonts w:ascii="仿宋" w:hAnsi="仿宋" w:eastAsia="仿宋" w:cs="仿宋"/>
          <w:color w:val="333333"/>
          <w:spacing w:val="15"/>
          <w:sz w:val="31"/>
          <w:szCs w:val="31"/>
        </w:rPr>
        <w:t>业</w:t>
      </w:r>
      <w:r>
        <w:rPr>
          <w:rFonts w:ascii="仿宋" w:hAnsi="仿宋" w:eastAsia="仿宋" w:cs="仿宋"/>
          <w:color w:val="333333"/>
          <w:spacing w:val="8"/>
          <w:sz w:val="31"/>
          <w:szCs w:val="31"/>
        </w:rPr>
        <w:t>病诊断工作进行监督检查，查处违法行为。</w:t>
      </w:r>
    </w:p>
    <w:p w14:paraId="7F391C12">
      <w:pPr>
        <w:spacing w:before="5" w:line="256" w:lineRule="auto"/>
        <w:ind w:left="37" w:right="87" w:firstLine="642"/>
      </w:pPr>
      <w:r>
        <w:rPr>
          <w:rFonts w:ascii="仿宋" w:hAnsi="仿宋" w:eastAsia="仿宋" w:cs="仿宋"/>
          <w:color w:val="333333"/>
          <w:spacing w:val="18"/>
          <w:sz w:val="31"/>
          <w:szCs w:val="31"/>
        </w:rPr>
        <w:t>(</w:t>
      </w:r>
      <w:r>
        <w:rPr>
          <w:rFonts w:ascii="仿宋" w:hAnsi="仿宋" w:eastAsia="仿宋" w:cs="仿宋"/>
          <w:color w:val="333333"/>
          <w:spacing w:val="14"/>
          <w:sz w:val="31"/>
          <w:szCs w:val="31"/>
        </w:rPr>
        <w:t>七) 对医疗机构、采供血机构、疾病预防控制机构的</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传</w:t>
      </w:r>
      <w:r>
        <w:rPr>
          <w:rFonts w:ascii="仿宋" w:hAnsi="仿宋" w:eastAsia="仿宋" w:cs="仿宋"/>
          <w:color w:val="333333"/>
          <w:spacing w:val="14"/>
          <w:sz w:val="31"/>
          <w:szCs w:val="31"/>
        </w:rPr>
        <w:t>染</w:t>
      </w:r>
      <w:r>
        <w:rPr>
          <w:rFonts w:ascii="仿宋" w:hAnsi="仿宋" w:eastAsia="仿宋" w:cs="仿宋"/>
          <w:color w:val="333333"/>
          <w:spacing w:val="8"/>
          <w:sz w:val="31"/>
          <w:szCs w:val="31"/>
        </w:rPr>
        <w:t>病疫情报告、疫情控制措施、消毒隔离制度执行情况、</w:t>
      </w:r>
      <w:r>
        <w:rPr>
          <w:rFonts w:ascii="仿宋" w:hAnsi="仿宋" w:eastAsia="仿宋" w:cs="仿宋"/>
          <w:color w:val="333333"/>
          <w:sz w:val="31"/>
          <w:szCs w:val="31"/>
        </w:rPr>
        <w:t xml:space="preserve"> </w:t>
      </w:r>
      <w:r>
        <w:rPr>
          <w:rFonts w:ascii="仿宋" w:hAnsi="仿宋" w:eastAsia="仿宋" w:cs="仿宋"/>
          <w:color w:val="333333"/>
          <w:spacing w:val="8"/>
          <w:sz w:val="31"/>
          <w:szCs w:val="31"/>
        </w:rPr>
        <w:t>医疗废物处置情况和菌 (毒) 种管理情况等进行监督检查</w:t>
      </w:r>
      <w:r>
        <w:rPr>
          <w:rFonts w:ascii="仿宋" w:hAnsi="仿宋" w:eastAsia="仿宋" w:cs="仿宋"/>
          <w:color w:val="333333"/>
          <w:spacing w:val="6"/>
          <w:sz w:val="31"/>
          <w:szCs w:val="31"/>
        </w:rPr>
        <w:t>，查</w:t>
      </w:r>
      <w:r>
        <w:rPr>
          <w:rFonts w:ascii="仿宋" w:hAnsi="仿宋" w:eastAsia="仿宋" w:cs="仿宋"/>
          <w:color w:val="333333"/>
          <w:spacing w:val="5"/>
          <w:sz w:val="31"/>
          <w:szCs w:val="31"/>
        </w:rPr>
        <w:t>处违法行为。</w:t>
      </w:r>
    </w:p>
    <w:p w14:paraId="4F477178">
      <w:pPr>
        <w:spacing w:before="72" w:line="250" w:lineRule="auto"/>
        <w:ind w:left="38" w:right="113" w:firstLine="641"/>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八) 对母婴保健机构、计划生育技术服务机构服务内</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容</w:t>
      </w:r>
      <w:r>
        <w:rPr>
          <w:rFonts w:ascii="仿宋" w:hAnsi="仿宋" w:eastAsia="仿宋" w:cs="仿宋"/>
          <w:color w:val="333333"/>
          <w:spacing w:val="12"/>
          <w:sz w:val="31"/>
          <w:szCs w:val="31"/>
        </w:rPr>
        <w:t>和</w:t>
      </w:r>
      <w:r>
        <w:rPr>
          <w:rFonts w:ascii="仿宋" w:hAnsi="仿宋" w:eastAsia="仿宋" w:cs="仿宋"/>
          <w:color w:val="333333"/>
          <w:spacing w:val="7"/>
          <w:sz w:val="31"/>
          <w:szCs w:val="31"/>
        </w:rPr>
        <w:t>从业人员的行为规范进行监督。</w:t>
      </w:r>
    </w:p>
    <w:p w14:paraId="1636303B">
      <w:pPr>
        <w:spacing w:line="250" w:lineRule="auto"/>
        <w:ind w:left="47" w:firstLine="632"/>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九) 依法打击“非医学需要的胎儿性别鉴定和非医学</w:t>
      </w:r>
      <w:r>
        <w:rPr>
          <w:rFonts w:ascii="仿宋" w:hAnsi="仿宋" w:eastAsia="仿宋" w:cs="仿宋"/>
          <w:color w:val="333333"/>
          <w:sz w:val="31"/>
          <w:szCs w:val="31"/>
        </w:rPr>
        <w:t xml:space="preserve"> </w:t>
      </w:r>
      <w:r>
        <w:rPr>
          <w:rFonts w:ascii="仿宋" w:hAnsi="仿宋" w:eastAsia="仿宋" w:cs="仿宋"/>
          <w:color w:val="333333"/>
          <w:spacing w:val="1"/>
          <w:sz w:val="31"/>
          <w:szCs w:val="31"/>
        </w:rPr>
        <w:t>需要选择性别的人工终止妊娠”</w:t>
      </w:r>
      <w:r>
        <w:rPr>
          <w:rFonts w:ascii="仿宋" w:hAnsi="仿宋" w:eastAsia="仿宋" w:cs="仿宋"/>
          <w:color w:val="333333"/>
          <w:sz w:val="31"/>
          <w:szCs w:val="31"/>
        </w:rPr>
        <w:t xml:space="preserve"> (以下简称“两非”) 行为。</w:t>
      </w:r>
    </w:p>
    <w:p w14:paraId="50A3396B">
      <w:pPr>
        <w:spacing w:line="250" w:lineRule="auto"/>
        <w:ind w:left="35" w:right="113" w:firstLine="645"/>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十) 查处计划生育违法违纪案件，对重大违法违纪案</w:t>
      </w:r>
      <w:r>
        <w:rPr>
          <w:rFonts w:ascii="仿宋" w:hAnsi="仿宋" w:eastAsia="仿宋" w:cs="仿宋"/>
          <w:color w:val="333333"/>
          <w:sz w:val="31"/>
          <w:szCs w:val="31"/>
        </w:rPr>
        <w:t xml:space="preserve"> </w:t>
      </w:r>
      <w:r>
        <w:rPr>
          <w:rFonts w:ascii="仿宋" w:hAnsi="仿宋" w:eastAsia="仿宋" w:cs="仿宋"/>
          <w:color w:val="333333"/>
          <w:spacing w:val="6"/>
          <w:sz w:val="31"/>
          <w:szCs w:val="31"/>
        </w:rPr>
        <w:t>件进行督查督办</w:t>
      </w:r>
      <w:r>
        <w:rPr>
          <w:rFonts w:ascii="仿宋" w:hAnsi="仿宋" w:eastAsia="仿宋" w:cs="仿宋"/>
          <w:color w:val="333333"/>
          <w:spacing w:val="5"/>
          <w:sz w:val="31"/>
          <w:szCs w:val="31"/>
        </w:rPr>
        <w:t>。</w:t>
      </w:r>
    </w:p>
    <w:p w14:paraId="63347A56">
      <w:pPr>
        <w:spacing w:line="250" w:lineRule="auto"/>
        <w:ind w:left="44" w:right="114" w:firstLine="636"/>
        <w:rPr>
          <w:rFonts w:ascii="仿宋" w:hAnsi="仿宋" w:eastAsia="仿宋" w:cs="仿宋"/>
          <w:sz w:val="31"/>
          <w:szCs w:val="31"/>
        </w:rPr>
      </w:pPr>
      <w:r>
        <w:rPr>
          <w:rFonts w:ascii="仿宋" w:hAnsi="仿宋" w:eastAsia="仿宋" w:cs="仿宋"/>
          <w:color w:val="333333"/>
          <w:spacing w:val="16"/>
          <w:sz w:val="31"/>
          <w:szCs w:val="31"/>
        </w:rPr>
        <w:t>(</w:t>
      </w:r>
      <w:r>
        <w:rPr>
          <w:rFonts w:ascii="仿宋" w:hAnsi="仿宋" w:eastAsia="仿宋" w:cs="仿宋"/>
          <w:color w:val="333333"/>
          <w:spacing w:val="14"/>
          <w:sz w:val="31"/>
          <w:szCs w:val="31"/>
        </w:rPr>
        <w:t>十一) 对社区卫生服务机构综合监督执法进行指导和</w:t>
      </w:r>
      <w:r>
        <w:rPr>
          <w:rFonts w:ascii="仿宋" w:hAnsi="仿宋" w:eastAsia="仿宋" w:cs="仿宋"/>
          <w:color w:val="333333"/>
          <w:sz w:val="31"/>
          <w:szCs w:val="31"/>
        </w:rPr>
        <w:t xml:space="preserve"> </w:t>
      </w:r>
      <w:r>
        <w:rPr>
          <w:rFonts w:ascii="仿宋" w:hAnsi="仿宋" w:eastAsia="仿宋" w:cs="仿宋"/>
          <w:color w:val="333333"/>
          <w:spacing w:val="8"/>
          <w:sz w:val="31"/>
          <w:szCs w:val="31"/>
        </w:rPr>
        <w:t>督查，对监督协管员进行培训、业务指导</w:t>
      </w:r>
      <w:r>
        <w:rPr>
          <w:rFonts w:ascii="仿宋" w:hAnsi="仿宋" w:eastAsia="仿宋" w:cs="仿宋"/>
          <w:color w:val="333333"/>
          <w:spacing w:val="5"/>
          <w:sz w:val="31"/>
          <w:szCs w:val="31"/>
        </w:rPr>
        <w:t>。</w:t>
      </w:r>
    </w:p>
    <w:p w14:paraId="31C3A3DE">
      <w:pPr>
        <w:spacing w:line="250" w:lineRule="auto"/>
        <w:ind w:left="37" w:right="111" w:firstLine="642"/>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十二) 负责行政区域内卫生监督信息的收集、核实和</w:t>
      </w:r>
      <w:r>
        <w:rPr>
          <w:rFonts w:ascii="仿宋" w:hAnsi="仿宋" w:eastAsia="仿宋" w:cs="仿宋"/>
          <w:color w:val="333333"/>
          <w:sz w:val="31"/>
          <w:szCs w:val="31"/>
        </w:rPr>
        <w:t xml:space="preserve"> </w:t>
      </w:r>
      <w:r>
        <w:rPr>
          <w:rFonts w:ascii="仿宋" w:hAnsi="仿宋" w:eastAsia="仿宋" w:cs="仿宋"/>
          <w:color w:val="333333"/>
          <w:spacing w:val="-2"/>
          <w:sz w:val="31"/>
          <w:szCs w:val="31"/>
        </w:rPr>
        <w:t>上报。</w:t>
      </w:r>
    </w:p>
    <w:p w14:paraId="315BAEA5">
      <w:pPr>
        <w:spacing w:line="226" w:lineRule="auto"/>
        <w:ind w:left="680"/>
        <w:rPr>
          <w:rFonts w:ascii="仿宋" w:hAnsi="仿宋" w:eastAsia="仿宋" w:cs="仿宋"/>
          <w:sz w:val="31"/>
          <w:szCs w:val="31"/>
        </w:rPr>
      </w:pPr>
      <w:r>
        <w:rPr>
          <w:rFonts w:ascii="仿宋" w:hAnsi="仿宋" w:eastAsia="仿宋" w:cs="仿宋"/>
          <w:color w:val="333333"/>
          <w:spacing w:val="15"/>
          <w:sz w:val="31"/>
          <w:szCs w:val="31"/>
        </w:rPr>
        <w:t>(十三) 受理卫生健康违法行为的投诉、举报</w:t>
      </w:r>
      <w:r>
        <w:rPr>
          <w:rFonts w:ascii="仿宋" w:hAnsi="仿宋" w:eastAsia="仿宋" w:cs="仿宋"/>
          <w:color w:val="333333"/>
          <w:spacing w:val="12"/>
          <w:sz w:val="31"/>
          <w:szCs w:val="31"/>
        </w:rPr>
        <w:t>。</w:t>
      </w:r>
    </w:p>
    <w:p w14:paraId="20A2928A">
      <w:pPr>
        <w:spacing w:before="39" w:line="226" w:lineRule="auto"/>
        <w:ind w:left="680"/>
        <w:rPr>
          <w:rFonts w:ascii="仿宋" w:hAnsi="仿宋" w:eastAsia="仿宋" w:cs="仿宋"/>
          <w:sz w:val="31"/>
          <w:szCs w:val="31"/>
        </w:rPr>
      </w:pPr>
      <w:r>
        <w:rPr>
          <w:rFonts w:ascii="仿宋" w:hAnsi="仿宋" w:eastAsia="仿宋" w:cs="仿宋"/>
          <w:color w:val="333333"/>
          <w:spacing w:val="21"/>
          <w:sz w:val="31"/>
          <w:szCs w:val="31"/>
        </w:rPr>
        <w:t>(</w:t>
      </w:r>
      <w:r>
        <w:rPr>
          <w:rFonts w:ascii="仿宋" w:hAnsi="仿宋" w:eastAsia="仿宋" w:cs="仿宋"/>
          <w:color w:val="333333"/>
          <w:spacing w:val="14"/>
          <w:sz w:val="31"/>
          <w:szCs w:val="31"/>
        </w:rPr>
        <w:t>十四) 开展卫生健康法律法规宣传教育和执法检查。</w:t>
      </w:r>
    </w:p>
    <w:p w14:paraId="7CF04E78">
      <w:pPr>
        <w:spacing w:before="42" w:line="250" w:lineRule="auto"/>
        <w:ind w:left="37" w:right="111" w:firstLine="642"/>
        <w:rPr>
          <w:rFonts w:ascii="仿宋" w:hAnsi="仿宋" w:eastAsia="仿宋" w:cs="仿宋"/>
          <w:sz w:val="31"/>
          <w:szCs w:val="31"/>
        </w:rPr>
      </w:pPr>
      <w:r>
        <w:rPr>
          <w:rFonts w:ascii="仿宋" w:hAnsi="仿宋" w:eastAsia="仿宋" w:cs="仿宋"/>
          <w:color w:val="333333"/>
          <w:spacing w:val="18"/>
          <w:sz w:val="31"/>
          <w:szCs w:val="31"/>
        </w:rPr>
        <w:t>(</w:t>
      </w:r>
      <w:r>
        <w:rPr>
          <w:rFonts w:ascii="仿宋" w:hAnsi="仿宋" w:eastAsia="仿宋" w:cs="仿宋"/>
          <w:color w:val="333333"/>
          <w:spacing w:val="14"/>
          <w:sz w:val="31"/>
          <w:szCs w:val="31"/>
        </w:rPr>
        <w:t>十五) 完成区委、区政府及区卫生健康委员会交办的</w:t>
      </w:r>
      <w:r>
        <w:rPr>
          <w:rFonts w:ascii="仿宋" w:hAnsi="仿宋" w:eastAsia="仿宋" w:cs="仿宋"/>
          <w:color w:val="333333"/>
          <w:sz w:val="31"/>
          <w:szCs w:val="31"/>
        </w:rPr>
        <w:t xml:space="preserve"> </w:t>
      </w:r>
      <w:r>
        <w:rPr>
          <w:rFonts w:ascii="仿宋" w:hAnsi="仿宋" w:eastAsia="仿宋" w:cs="仿宋"/>
          <w:color w:val="333333"/>
          <w:spacing w:val="3"/>
          <w:sz w:val="31"/>
          <w:szCs w:val="31"/>
        </w:rPr>
        <w:t>其他事项。</w:t>
      </w:r>
    </w:p>
    <w:p w14:paraId="64EE13C9">
      <w:pPr>
        <w:spacing w:before="1" w:line="227" w:lineRule="auto"/>
        <w:ind w:left="686"/>
        <w:rPr>
          <w:rFonts w:ascii="仿宋" w:hAnsi="仿宋" w:eastAsia="仿宋" w:cs="仿宋"/>
          <w:sz w:val="31"/>
          <w:szCs w:val="31"/>
        </w:rPr>
      </w:pPr>
      <w:r>
        <w:rPr>
          <w:rFonts w:ascii="仿宋" w:hAnsi="仿宋" w:eastAsia="仿宋" w:cs="仿宋"/>
          <w:color w:val="333333"/>
          <w:spacing w:val="-18"/>
          <w:sz w:val="31"/>
          <w:szCs w:val="31"/>
        </w:rPr>
        <w:t xml:space="preserve"> 内设机构</w:t>
      </w:r>
    </w:p>
    <w:p w14:paraId="63C38974">
      <w:pPr>
        <w:spacing w:before="38" w:line="229" w:lineRule="auto"/>
        <w:ind w:left="680"/>
        <w:rPr>
          <w:rFonts w:ascii="仿宋" w:hAnsi="仿宋" w:eastAsia="仿宋" w:cs="仿宋"/>
          <w:sz w:val="31"/>
          <w:szCs w:val="31"/>
        </w:rPr>
      </w:pPr>
      <w:r>
        <w:rPr>
          <w:rFonts w:ascii="仿宋" w:hAnsi="仿宋" w:eastAsia="仿宋" w:cs="仿宋"/>
          <w:color w:val="333333"/>
          <w:spacing w:val="6"/>
          <w:sz w:val="31"/>
          <w:szCs w:val="31"/>
        </w:rPr>
        <w:t>(</w:t>
      </w:r>
      <w:r>
        <w:rPr>
          <w:rFonts w:ascii="仿宋" w:hAnsi="仿宋" w:eastAsia="仿宋" w:cs="仿宋"/>
          <w:color w:val="333333"/>
          <w:spacing w:val="4"/>
          <w:sz w:val="31"/>
          <w:szCs w:val="31"/>
        </w:rPr>
        <w:t xml:space="preserve"> 一) 办公室</w:t>
      </w:r>
    </w:p>
    <w:p w14:paraId="1121DF6C">
      <w:pPr>
        <w:spacing w:before="34" w:line="229" w:lineRule="auto"/>
        <w:ind w:left="680"/>
        <w:rPr>
          <w:rFonts w:ascii="仿宋" w:hAnsi="仿宋" w:eastAsia="仿宋" w:cs="仿宋"/>
          <w:sz w:val="31"/>
          <w:szCs w:val="31"/>
        </w:rPr>
      </w:pPr>
      <w:r>
        <w:rPr>
          <w:rFonts w:ascii="仿宋" w:hAnsi="仿宋" w:eastAsia="仿宋" w:cs="仿宋"/>
          <w:color w:val="333333"/>
          <w:spacing w:val="29"/>
          <w:sz w:val="31"/>
          <w:szCs w:val="31"/>
        </w:rPr>
        <w:t>(</w:t>
      </w:r>
      <w:r>
        <w:rPr>
          <w:rFonts w:ascii="仿宋" w:hAnsi="仿宋" w:eastAsia="仿宋" w:cs="仿宋"/>
          <w:color w:val="333333"/>
          <w:spacing w:val="26"/>
          <w:sz w:val="31"/>
          <w:szCs w:val="31"/>
        </w:rPr>
        <w:t>二) 监督一科</w:t>
      </w:r>
    </w:p>
    <w:p w14:paraId="3B48309F">
      <w:pPr>
        <w:spacing w:before="36" w:line="228" w:lineRule="auto"/>
        <w:ind w:left="680"/>
        <w:rPr>
          <w:rFonts w:ascii="仿宋" w:hAnsi="仿宋" w:eastAsia="仿宋" w:cs="仿宋"/>
          <w:color w:val="333333"/>
          <w:spacing w:val="24"/>
          <w:sz w:val="31"/>
          <w:szCs w:val="31"/>
        </w:rPr>
      </w:pPr>
      <w:r>
        <w:rPr>
          <w:rFonts w:ascii="仿宋" w:hAnsi="仿宋" w:eastAsia="仿宋" w:cs="仿宋"/>
          <w:color w:val="333333"/>
          <w:spacing w:val="30"/>
          <w:sz w:val="31"/>
          <w:szCs w:val="31"/>
        </w:rPr>
        <w:t>(</w:t>
      </w:r>
      <w:r>
        <w:rPr>
          <w:rFonts w:ascii="仿宋" w:hAnsi="仿宋" w:eastAsia="仿宋" w:cs="仿宋"/>
          <w:color w:val="333333"/>
          <w:spacing w:val="24"/>
          <w:sz w:val="31"/>
          <w:szCs w:val="31"/>
        </w:rPr>
        <w:t>三) 监督二科</w:t>
      </w:r>
    </w:p>
    <w:p w14:paraId="3FA2E4C0">
      <w:pPr>
        <w:tabs>
          <w:tab w:val="left" w:pos="2586"/>
        </w:tabs>
        <w:bidi w:val="0"/>
        <w:jc w:val="left"/>
        <w:rPr>
          <w:lang w:val="en-US" w:eastAsia="zh-CN"/>
        </w:rPr>
        <w:sectPr>
          <w:footerReference r:id="rId3" w:type="default"/>
          <w:pgSz w:w="11906" w:h="16839"/>
          <w:pgMar w:top="1431" w:right="1711" w:bottom="1156" w:left="1785" w:header="0" w:footer="996" w:gutter="0"/>
          <w:cols w:space="720" w:num="1"/>
        </w:sectPr>
      </w:pPr>
    </w:p>
    <w:p w14:paraId="4419ED61">
      <w:pPr>
        <w:pStyle w:val="2"/>
        <w:rPr>
          <w:rFonts w:hint="eastAsia" w:ascii="黑体" w:hAnsi="黑体" w:eastAsia="黑体" w:cs="黑体"/>
          <w:b w:val="0"/>
          <w:bCs/>
          <w:color w:val="auto"/>
          <w:sz w:val="32"/>
          <w:szCs w:val="32"/>
          <w:highlight w:val="none"/>
          <w:shd w:val="clear" w:color="auto" w:fill="auto"/>
        </w:rPr>
      </w:pPr>
    </w:p>
    <w:p w14:paraId="0F5B6B00">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14:paraId="1D9370D0">
      <w:pPr>
        <w:ind w:firstLine="640" w:firstLineChars="200"/>
        <w:rPr>
          <w:rFonts w:ascii="仿宋_GB2312" w:hAnsi="宋体" w:eastAsia="仿宋_GB2312" w:cs="仿宋_GB2312"/>
          <w:sz w:val="32"/>
          <w:szCs w:val="32"/>
        </w:rPr>
      </w:pPr>
      <w:r>
        <w:rPr>
          <w:rFonts w:hint="eastAsia" w:ascii="仿宋" w:hAnsi="仿宋" w:eastAsia="仿宋"/>
          <w:sz w:val="32"/>
          <w:szCs w:val="32"/>
        </w:rPr>
        <w:t>珠山区</w:t>
      </w:r>
      <w:r>
        <w:rPr>
          <w:rFonts w:hint="eastAsia" w:ascii="仿宋" w:hAnsi="仿宋" w:eastAsia="仿宋"/>
          <w:sz w:val="32"/>
          <w:szCs w:val="32"/>
          <w:lang w:val="en-US" w:eastAsia="zh-CN"/>
        </w:rPr>
        <w:t>卫生健康综合监督执法局</w:t>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 xml:space="preserve"> 12 </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 xml:space="preserve"> 0 </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 xml:space="preserve"> 12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 xml:space="preserve"> 3</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6C22CFB8">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珠山区卫生健康综合监督执法局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137BA1E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年部门预算收支情况说明</w:t>
      </w:r>
    </w:p>
    <w:p w14:paraId="2F7B5AD1">
      <w:pPr>
        <w:ind w:firstLine="482" w:firstLineChars="150"/>
        <w:rPr>
          <w:rFonts w:hint="eastAsia"/>
          <w:lang w:eastAsia="zh-CN"/>
        </w:rPr>
      </w:pPr>
      <w:r>
        <w:rPr>
          <w:rFonts w:hint="eastAsia" w:ascii="仿宋" w:hAnsi="仿宋" w:eastAsia="仿宋" w:cs="仿宋"/>
          <w:b/>
          <w:bCs/>
          <w:sz w:val="32"/>
          <w:szCs w:val="32"/>
        </w:rPr>
        <w:t>（一）预算收入情况</w:t>
      </w:r>
    </w:p>
    <w:p w14:paraId="4D1FD61E">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珠山区卫生健康综合监督执法局</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128.09</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增加7.28万元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color w:val="auto"/>
          <w:sz w:val="32"/>
          <w:szCs w:val="32"/>
          <w:highlight w:val="none"/>
          <w:shd w:val="clear" w:color="auto" w:fill="auto"/>
        </w:rPr>
        <w:t>其中：当年财政拨款收入</w:t>
      </w:r>
      <w:r>
        <w:rPr>
          <w:rFonts w:hint="eastAsia" w:ascii="仿宋" w:hAnsi="仿宋" w:eastAsia="仿宋" w:cs="仿宋"/>
          <w:color w:val="auto"/>
          <w:sz w:val="32"/>
          <w:szCs w:val="32"/>
          <w:highlight w:val="none"/>
          <w:shd w:val="clear" w:color="auto" w:fill="auto"/>
          <w:lang w:val="en-US" w:eastAsia="zh-CN"/>
        </w:rPr>
        <w:t>128.09</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14:paraId="3609D589">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14:paraId="1F65E6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卫生健康综合监督执法局</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128.09</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增加7.28万元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117.49</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91.72</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110.89</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6.24</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0.36</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10.60</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8.28</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10.60</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14:paraId="4A64D2EB">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社会保障和就业支出12.55</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9.8</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104.56</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81.63</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10.98</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8.57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3A68444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110.89</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86.57</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16.84</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13.15</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0.36</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0.28</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14:paraId="48A8847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14:paraId="083DD8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卫生健康综合监督执法局财政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128.09</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val="en-US" w:eastAsia="zh-CN"/>
        </w:rPr>
        <w:t>增加7.28万元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增加了工资福利预算经费</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color w:val="auto"/>
          <w:sz w:val="32"/>
          <w:szCs w:val="32"/>
          <w:highlight w:val="none"/>
          <w:shd w:val="clear" w:color="auto" w:fill="auto"/>
          <w:lang w:val="en-US" w:eastAsia="zh-CN"/>
        </w:rPr>
        <w:t>具体支出情况是：社会保障和就业支出12.55万元，占财政拨款支出9.8%；卫生健康支出104.56万元，占财政拨款支出81.63%；住房保障支出10.98万元，占财政拨款支出8.57%。</w:t>
      </w:r>
    </w:p>
    <w:p w14:paraId="446289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（四）政府采购预算情况</w:t>
      </w:r>
    </w:p>
    <w:p w14:paraId="50829454">
      <w:pPr>
        <w:keepNext w:val="0"/>
        <w:keepLines w:val="0"/>
        <w:widowControl/>
        <w:suppressLineNumbers w:val="0"/>
        <w:jc w:val="left"/>
        <w:rPr>
          <w:sz w:val="32"/>
          <w:szCs w:val="32"/>
        </w:rPr>
      </w:pPr>
      <w:r>
        <w:rPr>
          <w:rFonts w:hint="eastAsia" w:ascii="仿宋" w:hAnsi="仿宋" w:eastAsia="仿宋" w:cs="仿宋"/>
          <w:caps w:val="0"/>
          <w:color w:val="333333"/>
          <w:spacing w:val="0"/>
          <w:sz w:val="32"/>
          <w:szCs w:val="32"/>
          <w:shd w:val="clear" w:color="auto" w:fill="FFFFFF"/>
        </w:rPr>
        <w:t>2023年政府采购预算为</w:t>
      </w:r>
      <w:r>
        <w:rPr>
          <w:rFonts w:hint="eastAsia" w:ascii="仿宋" w:hAnsi="仿宋" w:eastAsia="仿宋" w:cs="仿宋"/>
          <w:caps w:val="0"/>
          <w:color w:val="333333"/>
          <w:spacing w:val="0"/>
          <w:sz w:val="32"/>
          <w:szCs w:val="32"/>
          <w:shd w:val="clear" w:color="auto" w:fill="FFFFFF"/>
          <w:lang w:val="en-US" w:eastAsia="zh-CN"/>
        </w:rPr>
        <w:t>2.48</w:t>
      </w:r>
      <w:r>
        <w:rPr>
          <w:rFonts w:hint="eastAsia" w:ascii="仿宋" w:hAnsi="仿宋" w:eastAsia="仿宋" w:cs="仿宋"/>
          <w:caps w:val="0"/>
          <w:color w:val="333333"/>
          <w:spacing w:val="0"/>
          <w:sz w:val="32"/>
          <w:szCs w:val="32"/>
          <w:shd w:val="clear" w:color="auto" w:fill="FFFFFF"/>
        </w:rPr>
        <w:t>万元，其中，部门</w:t>
      </w:r>
      <w:r>
        <w:rPr>
          <w:rFonts w:hint="eastAsia" w:ascii="仿宋" w:hAnsi="仿宋" w:eastAsia="仿宋" w:cs="仿宋"/>
          <w:caps w:val="0"/>
          <w:color w:val="333333"/>
          <w:spacing w:val="0"/>
          <w:sz w:val="32"/>
          <w:szCs w:val="32"/>
          <w:shd w:val="clear" w:color="auto" w:fill="FFFFFF"/>
          <w:lang w:val="en-US" w:eastAsia="zh-CN"/>
        </w:rPr>
        <w:t>分散</w:t>
      </w:r>
      <w:r>
        <w:rPr>
          <w:rFonts w:hint="eastAsia" w:ascii="仿宋" w:hAnsi="仿宋" w:eastAsia="仿宋" w:cs="仿宋"/>
          <w:caps w:val="0"/>
          <w:color w:val="333333"/>
          <w:spacing w:val="0"/>
          <w:sz w:val="32"/>
          <w:szCs w:val="32"/>
          <w:shd w:val="clear" w:color="auto" w:fill="FFFFFF"/>
        </w:rPr>
        <w:t>采购</w:t>
      </w:r>
      <w:r>
        <w:rPr>
          <w:rFonts w:hint="eastAsia" w:ascii="仿宋" w:hAnsi="仿宋" w:eastAsia="仿宋" w:cs="仿宋"/>
          <w:caps w:val="0"/>
          <w:color w:val="333333"/>
          <w:spacing w:val="0"/>
          <w:sz w:val="32"/>
          <w:szCs w:val="32"/>
          <w:shd w:val="clear" w:color="auto" w:fill="FFFFFF"/>
          <w:lang w:val="en-US" w:eastAsia="zh-CN"/>
        </w:rPr>
        <w:t>2.48</w:t>
      </w:r>
      <w:r>
        <w:rPr>
          <w:rFonts w:hint="eastAsia" w:ascii="仿宋" w:hAnsi="仿宋" w:eastAsia="仿宋" w:cs="仿宋"/>
          <w:caps w:val="0"/>
          <w:color w:val="333333"/>
          <w:spacing w:val="0"/>
          <w:sz w:val="32"/>
          <w:szCs w:val="32"/>
          <w:shd w:val="clear" w:color="auto" w:fill="FFFFFF"/>
        </w:rPr>
        <w:t>万元。</w:t>
      </w:r>
      <w:r>
        <w:rPr>
          <w:rFonts w:hint="eastAsia" w:ascii="仿宋" w:hAnsi="仿宋" w:eastAsia="仿宋" w:cs="仿宋"/>
          <w:color w:val="000000"/>
          <w:kern w:val="0"/>
          <w:sz w:val="32"/>
          <w:szCs w:val="32"/>
          <w:lang w:val="en-US" w:eastAsia="zh-CN" w:bidi="ar"/>
        </w:rPr>
        <w:t xml:space="preserve"> 政府采购货物预算2.48 万元, 政府采购工程预算 </w:t>
      </w:r>
    </w:p>
    <w:p w14:paraId="245C8BC1">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0 万元, 政府采购服务预算 0 万元。</w:t>
      </w:r>
    </w:p>
    <w:p w14:paraId="28BCF2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p>
    <w:p w14:paraId="289E46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（五）政府基金收支情况</w:t>
      </w:r>
    </w:p>
    <w:p w14:paraId="6EFCC0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shd w:val="clear" w:color="auto" w:fill="FFFFFF"/>
        </w:rPr>
      </w:pPr>
      <w:r>
        <w:rPr>
          <w:rFonts w:hint="eastAsia" w:ascii="仿宋" w:hAnsi="仿宋" w:eastAsia="仿宋" w:cs="仿宋"/>
          <w:caps w:val="0"/>
          <w:color w:val="333333"/>
          <w:spacing w:val="0"/>
          <w:sz w:val="32"/>
          <w:szCs w:val="32"/>
          <w:shd w:val="clear" w:color="auto" w:fill="FFFFFF"/>
        </w:rPr>
        <w:t>无政府基金收支情况。</w:t>
      </w:r>
    </w:p>
    <w:p w14:paraId="19CACF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（六）机关运行经费情况</w:t>
      </w:r>
    </w:p>
    <w:p w14:paraId="436CB7EE">
      <w:pPr>
        <w:numPr>
          <w:ilvl w:val="0"/>
          <w:numId w:val="0"/>
        </w:numPr>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w:t>
      </w:r>
      <w:r>
        <w:rPr>
          <w:rFonts w:hint="eastAsia" w:ascii="仿宋" w:hAnsi="仿宋" w:eastAsia="仿宋" w:cs="仿宋"/>
          <w:color w:val="auto"/>
          <w:sz w:val="32"/>
          <w:szCs w:val="32"/>
          <w:highlight w:val="none"/>
          <w:shd w:val="clear" w:color="auto" w:fill="auto"/>
          <w:lang w:eastAsia="zh-CN"/>
        </w:rPr>
        <w:t>珠山区</w:t>
      </w:r>
      <w:r>
        <w:rPr>
          <w:rFonts w:hint="eastAsia" w:ascii="仿宋" w:hAnsi="仿宋" w:eastAsia="仿宋" w:cs="仿宋"/>
          <w:color w:val="auto"/>
          <w:sz w:val="32"/>
          <w:szCs w:val="32"/>
          <w:highlight w:val="none"/>
          <w:shd w:val="clear" w:color="auto" w:fill="auto"/>
          <w:lang w:val="en-US" w:eastAsia="zh-CN"/>
        </w:rPr>
        <w:t>卫生健康综合监督执法局</w:t>
      </w:r>
      <w:r>
        <w:rPr>
          <w:rFonts w:hint="eastAsia" w:ascii="仿宋" w:hAnsi="仿宋" w:eastAsia="仿宋" w:cs="仿宋"/>
          <w:caps w:val="0"/>
          <w:color w:val="333333"/>
          <w:spacing w:val="0"/>
          <w:sz w:val="32"/>
          <w:szCs w:val="32"/>
          <w:shd w:val="clear" w:color="auto" w:fill="FFFFFF"/>
        </w:rPr>
        <w:t>机关运行经费预算</w:t>
      </w:r>
      <w:r>
        <w:rPr>
          <w:rFonts w:hint="eastAsia" w:ascii="仿宋" w:hAnsi="仿宋" w:eastAsia="仿宋" w:cs="仿宋"/>
          <w:caps w:val="0"/>
          <w:color w:val="333333"/>
          <w:spacing w:val="0"/>
          <w:sz w:val="32"/>
          <w:szCs w:val="32"/>
          <w:shd w:val="clear" w:color="auto" w:fill="FFFFFF"/>
          <w:lang w:val="en-US" w:eastAsia="zh-CN"/>
        </w:rPr>
        <w:t>6.24</w:t>
      </w:r>
      <w:r>
        <w:rPr>
          <w:rFonts w:hint="eastAsia" w:ascii="仿宋" w:hAnsi="仿宋" w:eastAsia="仿宋" w:cs="仿宋"/>
          <w:caps w:val="0"/>
          <w:color w:val="333333"/>
          <w:spacing w:val="0"/>
          <w:sz w:val="32"/>
          <w:szCs w:val="32"/>
          <w:shd w:val="clear" w:color="auto" w:fill="FFFFFF"/>
        </w:rPr>
        <w:t>万元</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sz w:val="32"/>
          <w:szCs w:val="32"/>
          <w:lang w:val="en-US" w:eastAsia="zh-CN"/>
        </w:rPr>
        <w:t>占支出预算总额的4.87%。</w:t>
      </w:r>
    </w:p>
    <w:p w14:paraId="4EB4125F">
      <w:pPr>
        <w:pStyle w:val="9"/>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b/>
          <w:bCs/>
          <w:caps w:val="0"/>
          <w:color w:val="333333"/>
          <w:spacing w:val="0"/>
          <w:sz w:val="32"/>
          <w:szCs w:val="32"/>
          <w:shd w:val="clear" w:color="auto" w:fill="FFFFFF"/>
        </w:rPr>
      </w:pPr>
      <w:r>
        <w:rPr>
          <w:rFonts w:hint="eastAsia" w:ascii="仿宋" w:hAnsi="仿宋" w:eastAsia="仿宋" w:cs="仿宋"/>
          <w:b/>
          <w:bCs/>
          <w:caps w:val="0"/>
          <w:color w:val="333333"/>
          <w:spacing w:val="0"/>
          <w:sz w:val="32"/>
          <w:szCs w:val="32"/>
          <w:shd w:val="clear" w:color="auto" w:fill="FFFFFF"/>
        </w:rPr>
        <w:t>国有资产占用情况</w:t>
      </w:r>
    </w:p>
    <w:p w14:paraId="2BD083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2"/>
          <w:szCs w:val="32"/>
          <w:shd w:val="clear" w:color="auto" w:fill="FFFFFF"/>
          <w:lang w:val="en-US" w:eastAsia="zh-CN"/>
        </w:rPr>
      </w:pPr>
      <w:r>
        <w:rPr>
          <w:rFonts w:hint="eastAsia" w:ascii="仿宋" w:hAnsi="仿宋" w:eastAsia="仿宋" w:cs="仿宋"/>
          <w:caps w:val="0"/>
          <w:color w:val="333333"/>
          <w:spacing w:val="0"/>
          <w:sz w:val="32"/>
          <w:szCs w:val="32"/>
          <w:shd w:val="clear" w:color="auto" w:fill="FFFFFF"/>
          <w:lang w:val="en-US" w:eastAsia="zh-CN"/>
        </w:rPr>
        <w:t>无国有资产占用情况。</w:t>
      </w:r>
    </w:p>
    <w:p w14:paraId="2CE73E88">
      <w:pPr>
        <w:widowControl/>
        <w:spacing w:line="600" w:lineRule="exact"/>
        <w:ind w:firstLine="643" w:firstLineChars="200"/>
        <w:jc w:val="left"/>
        <w:rPr>
          <w:rFonts w:ascii="仿宋_GB2312" w:eastAsia="仿宋_GB2312"/>
          <w:b/>
          <w:color w:val="000000"/>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2"/>
        </w:rPr>
        <w:t>整体</w:t>
      </w:r>
      <w:r>
        <w:rPr>
          <w:rFonts w:hint="eastAsia" w:ascii="仿宋_GB2312" w:eastAsia="仿宋_GB2312"/>
          <w:b/>
          <w:color w:val="000000"/>
          <w:sz w:val="32"/>
          <w:szCs w:val="32"/>
        </w:rPr>
        <w:t>绩效目标设置情况</w:t>
      </w:r>
    </w:p>
    <w:p w14:paraId="7E1EA493">
      <w:pPr>
        <w:widowControl/>
        <w:spacing w:line="600" w:lineRule="exact"/>
        <w:ind w:firstLine="64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w:t>
      </w:r>
      <w:r>
        <w:rPr>
          <w:rFonts w:hint="eastAsia" w:ascii="仿宋_GB2312" w:eastAsia="仿宋_GB2312"/>
          <w:color w:val="000000"/>
          <w:sz w:val="32"/>
          <w:szCs w:val="32"/>
          <w:lang w:eastAsia="zh-CN"/>
        </w:rPr>
        <w:t>预算资金为</w:t>
      </w:r>
      <w:r>
        <w:rPr>
          <w:rFonts w:hint="eastAsia" w:ascii="仿宋_GB2312" w:eastAsia="仿宋_GB2312"/>
          <w:color w:val="000000"/>
          <w:sz w:val="32"/>
          <w:szCs w:val="32"/>
          <w:lang w:val="en-US" w:eastAsia="zh-CN"/>
        </w:rPr>
        <w:t>128.09万元，具体情况是：</w:t>
      </w:r>
    </w:p>
    <w:p w14:paraId="020DE88E">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0000FF"/>
          <w:sz w:val="32"/>
          <w:szCs w:val="32"/>
          <w:highlight w:val="none"/>
          <w:shd w:val="clear" w:color="auto" w:fill="auto"/>
        </w:rPr>
      </w:pPr>
      <w:r>
        <w:rPr>
          <w:rFonts w:hint="eastAsia" w:ascii="仿宋_GB2312" w:hAnsi="仿宋" w:eastAsia="仿宋_GB2312" w:cs="仿宋"/>
          <w:sz w:val="32"/>
          <w:szCs w:val="32"/>
          <w:lang w:val="en-US" w:eastAsia="zh-CN"/>
        </w:rPr>
        <w:t>工资福利支出110.89万元，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86.57</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，绩效目标：按时发放工资。</w:t>
      </w:r>
    </w:p>
    <w:p w14:paraId="24502F22">
      <w:pPr>
        <w:widowControl/>
        <w:numPr>
          <w:ilvl w:val="0"/>
          <w:numId w:val="3"/>
        </w:numPr>
        <w:spacing w:line="600" w:lineRule="exact"/>
        <w:ind w:left="559" w:leftChars="266" w:firstLine="0" w:firstLineChars="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sz w:val="32"/>
          <w:szCs w:val="32"/>
          <w:lang w:val="en-US" w:eastAsia="zh-CN"/>
        </w:rPr>
        <w:t>商品和服务支出16.84万元，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13.15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p>
    <w:p w14:paraId="1B88B69F">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绩效目标：本着</w:t>
      </w:r>
      <w:r>
        <w:rPr>
          <w:rFonts w:hint="eastAsia" w:ascii="仿宋_GB2312" w:hAnsi="仿宋_GB2312" w:eastAsia="仿宋_GB2312" w:cs="仿宋_GB2312"/>
          <w:color w:val="auto"/>
          <w:sz w:val="32"/>
          <w:szCs w:val="32"/>
          <w:highlight w:val="none"/>
          <w:shd w:val="clear" w:color="auto" w:fill="auto"/>
          <w:lang w:val="en-US" w:eastAsia="zh-CN"/>
        </w:rPr>
        <w:t>精简</w:t>
      </w:r>
      <w:r>
        <w:rPr>
          <w:rFonts w:hint="eastAsia" w:ascii="仿宋_GB2312" w:hAnsi="仿宋_GB2312" w:eastAsia="仿宋_GB2312" w:cs="仿宋_GB2312"/>
          <w:color w:val="auto"/>
          <w:sz w:val="32"/>
          <w:szCs w:val="32"/>
          <w:highlight w:val="none"/>
          <w:shd w:val="clear" w:color="auto" w:fill="auto"/>
          <w:lang w:eastAsia="zh-CN"/>
        </w:rPr>
        <w:t>节约的原则，合理使用资金。</w:t>
      </w:r>
    </w:p>
    <w:p w14:paraId="238A7EBC">
      <w:pPr>
        <w:widowControl/>
        <w:numPr>
          <w:ilvl w:val="0"/>
          <w:numId w:val="0"/>
        </w:numPr>
        <w:spacing w:line="600" w:lineRule="exact"/>
        <w:ind w:leftChars="266"/>
        <w:jc w:val="left"/>
        <w:rPr>
          <w:rFonts w:hint="eastAsia" w:ascii="仿宋_GB2312" w:hAnsi="仿宋_GB2312" w:eastAsia="仿宋_GB2312" w:cs="仿宋_GB2312"/>
          <w:color w:val="0000FF"/>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3、对个人和家庭的补助0.36万元，占</w:t>
      </w:r>
      <w:r>
        <w:rPr>
          <w:rFonts w:hint="eastAsia" w:ascii="仿宋_GB2312" w:hAnsi="仿宋_GB2312" w:eastAsia="仿宋_GB2312" w:cs="仿宋_GB2312"/>
          <w:color w:val="auto"/>
          <w:sz w:val="32"/>
          <w:szCs w:val="32"/>
          <w:highlight w:val="none"/>
          <w:shd w:val="clear" w:color="auto" w:fill="auto"/>
        </w:rPr>
        <w:t>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0.28%。</w:t>
      </w:r>
      <w:r>
        <w:rPr>
          <w:rFonts w:hint="eastAsia" w:ascii="仿宋_GB2312" w:hAnsi="仿宋_GB2312" w:eastAsia="仿宋_GB2312" w:cs="仿宋_GB2312"/>
          <w:color w:val="auto"/>
          <w:sz w:val="32"/>
          <w:szCs w:val="32"/>
          <w:highlight w:val="none"/>
          <w:shd w:val="clear" w:color="auto" w:fill="auto"/>
          <w:lang w:eastAsia="zh-CN"/>
        </w:rPr>
        <w:t>绩效目标：按时发放</w:t>
      </w:r>
      <w:r>
        <w:rPr>
          <w:rFonts w:hint="eastAsia" w:ascii="仿宋_GB2312" w:hAnsi="仿宋_GB2312" w:eastAsia="仿宋_GB2312" w:cs="仿宋_GB2312"/>
          <w:color w:val="auto"/>
          <w:sz w:val="32"/>
          <w:szCs w:val="32"/>
          <w:highlight w:val="none"/>
          <w:shd w:val="clear" w:color="auto" w:fill="auto"/>
          <w:lang w:val="en-US" w:eastAsia="zh-CN"/>
        </w:rPr>
        <w:t>对个人和家庭的补助</w:t>
      </w:r>
      <w:r>
        <w:rPr>
          <w:rFonts w:hint="eastAsia" w:ascii="仿宋_GB2312" w:hAnsi="仿宋_GB2312" w:eastAsia="仿宋_GB2312" w:cs="仿宋_GB2312"/>
          <w:color w:val="auto"/>
          <w:sz w:val="32"/>
          <w:szCs w:val="32"/>
          <w:highlight w:val="none"/>
          <w:shd w:val="clear" w:color="auto" w:fill="auto"/>
          <w:lang w:eastAsia="zh-CN"/>
        </w:rPr>
        <w:t>。</w:t>
      </w:r>
    </w:p>
    <w:p w14:paraId="125CF3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二、2023年“三公”经费预算情况说明</w:t>
      </w:r>
    </w:p>
    <w:p w14:paraId="45E49FB1">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区卫生健康综合监督执法局</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4.32</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23454E4F">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1.73</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少0.02</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14:paraId="391D0825">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2.59</w:t>
      </w:r>
      <w:r>
        <w:rPr>
          <w:rFonts w:hint="eastAsia" w:ascii="仿宋" w:hAnsi="仿宋" w:eastAsia="仿宋" w:cs="仿宋"/>
          <w:sz w:val="32"/>
          <w:szCs w:val="32"/>
        </w:rPr>
        <w:t>万元，比上年</w:t>
      </w:r>
      <w:r>
        <w:rPr>
          <w:rFonts w:hint="eastAsia" w:ascii="仿宋" w:hAnsi="仿宋" w:eastAsia="仿宋" w:cs="仿宋"/>
          <w:sz w:val="32"/>
          <w:szCs w:val="32"/>
          <w:lang w:val="en-US" w:eastAsia="zh-CN"/>
        </w:rPr>
        <w:t>持平</w:t>
      </w:r>
      <w:r>
        <w:rPr>
          <w:rFonts w:hint="eastAsia" w:ascii="仿宋" w:hAnsi="仿宋" w:eastAsia="仿宋" w:cs="仿宋"/>
          <w:sz w:val="32"/>
          <w:szCs w:val="32"/>
        </w:rPr>
        <w:t>。</w:t>
      </w:r>
    </w:p>
    <w:p w14:paraId="1E55F00D">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76A926E9">
      <w:pPr>
        <w:rPr>
          <w:rFonts w:hint="eastAsia" w:ascii="仿宋" w:hAnsi="仿宋" w:eastAsia="仿宋" w:cs="仿宋"/>
          <w:color w:val="auto"/>
          <w:sz w:val="32"/>
          <w:szCs w:val="32"/>
        </w:rPr>
      </w:pPr>
    </w:p>
    <w:p w14:paraId="2C735675">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珠山区卫生健康综合监督执法局</w:t>
      </w:r>
      <w:r>
        <w:rPr>
          <w:rFonts w:hint="eastAsia" w:ascii="黑体" w:hAnsi="黑体" w:eastAsia="黑体" w:cs="黑体"/>
          <w:b/>
          <w:bCs/>
          <w:sz w:val="32"/>
          <w:szCs w:val="32"/>
          <w:lang w:eastAsia="zh-CN"/>
        </w:rPr>
        <w:t>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年部门预算表</w:t>
      </w:r>
    </w:p>
    <w:p w14:paraId="1E38B467">
      <w:pPr>
        <w:rPr>
          <w:rFonts w:hint="eastAsia" w:ascii="仿宋" w:hAnsi="仿宋" w:eastAsia="仿宋" w:cs="仿宋"/>
          <w:sz w:val="32"/>
          <w:szCs w:val="32"/>
        </w:rPr>
      </w:pPr>
      <w:r>
        <w:rPr>
          <w:rFonts w:hint="eastAsia" w:ascii="仿宋" w:hAnsi="仿宋" w:eastAsia="仿宋" w:cs="仿宋"/>
          <w:sz w:val="32"/>
          <w:szCs w:val="32"/>
        </w:rPr>
        <w:t>（详见附表）</w:t>
      </w:r>
    </w:p>
    <w:p w14:paraId="7896CF62">
      <w:pPr>
        <w:pStyle w:val="2"/>
        <w:rPr>
          <w:rFonts w:hint="eastAsia" w:ascii="仿宋" w:hAnsi="仿宋" w:eastAsia="仿宋" w:cs="仿宋"/>
          <w:b w:val="0"/>
          <w:bCs/>
          <w:color w:val="auto"/>
          <w:sz w:val="32"/>
          <w:szCs w:val="32"/>
          <w:highlight w:val="none"/>
          <w:shd w:val="clear" w:color="auto" w:fill="auto"/>
          <w:lang w:val="en-US" w:eastAsia="zh-CN"/>
        </w:rPr>
      </w:pPr>
    </w:p>
    <w:p w14:paraId="55997B2F">
      <w:pPr>
        <w:rPr>
          <w:rFonts w:hint="eastAsia" w:ascii="黑体" w:hAnsi="宋体" w:eastAsia="黑体" w:cs="黑体"/>
          <w:sz w:val="32"/>
          <w:szCs w:val="32"/>
        </w:rPr>
      </w:pPr>
    </w:p>
    <w:p w14:paraId="40B328E2">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4A400E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一、收入科目</w:t>
      </w:r>
    </w:p>
    <w:p w14:paraId="6964B2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各部门结合实际进行解释。</w:t>
      </w:r>
    </w:p>
    <w:p w14:paraId="3B5036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（一）财政拨款：指市级财政当年拨付的资金。</w:t>
      </w:r>
    </w:p>
    <w:p w14:paraId="402725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（二）事业收入：指事业单位开展专业业务活动及辅助活动取得的收入。</w:t>
      </w:r>
    </w:p>
    <w:p w14:paraId="282B30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（三）事业单位经营收入：指事业单位在专业业务活动及辅助活动之外开展非独立核算经营活动取得的收入。</w:t>
      </w:r>
    </w:p>
    <w:p w14:paraId="19A798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（四）其他收入：指除财政拨款、事业收入、事业单位经营收入等以外的各项收入。</w:t>
      </w:r>
    </w:p>
    <w:p w14:paraId="554509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（五）附属单位上缴收入：反映事业单位附属的独立核算单位按规定标准或比例缴纳的各项收入。包括附属的事业单位上缴的收入和附属的企业上缴的利润等。</w:t>
      </w:r>
    </w:p>
    <w:p w14:paraId="57493F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（六）上级补助收入：反映事业单位从主管部门和上级单位取得的非财政补助收入。</w:t>
      </w:r>
    </w:p>
    <w:p w14:paraId="7F6EAC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（七）用事业基金弥补收支差额：填列事业单位用事业基金弥补2023年收支差额的数额。</w:t>
      </w:r>
    </w:p>
    <w:p w14:paraId="0C4D1C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（八）上年结转和结余：填列2022年全部结转和结余的资金数，包括当年结转结余资金和历年滚存结转结余资金。</w:t>
      </w:r>
    </w:p>
    <w:p w14:paraId="177FB2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二、支出科目</w:t>
      </w:r>
    </w:p>
    <w:p w14:paraId="799D83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对部门预算中涉及的支出功能分类科目（明细到项级），结合部门实际，参照《2023年政府收支分类科目》的规范说明进行解释。</w:t>
      </w:r>
    </w:p>
    <w:p w14:paraId="51E844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（一）一般公共服务支出：反映行政事业单位的相关支出。</w:t>
      </w:r>
    </w:p>
    <w:p w14:paraId="30691F9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（二）社会保障和就业支出：反映机关事业单位实施养老保险制度由单位缴纳的基本养老保险费支出。</w:t>
      </w:r>
    </w:p>
    <w:p w14:paraId="401C2E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（三）卫生健康支出：反映行政事业单位医疗方面的支出。</w:t>
      </w:r>
    </w:p>
    <w:p w14:paraId="0F4F73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14:paraId="46316E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BD4D259">
      <w:pPr>
        <w:rPr>
          <w:rFonts w:hint="eastAsia"/>
          <w:sz w:val="32"/>
          <w:szCs w:val="32"/>
          <w:lang w:val="en-US" w:eastAsia="zh-CN"/>
        </w:rPr>
      </w:pPr>
    </w:p>
    <w:p w14:paraId="19EF9A3D">
      <w:pPr>
        <w:pStyle w:val="2"/>
        <w:rPr>
          <w:rFonts w:hint="eastAsia" w:ascii="仿宋" w:hAnsi="仿宋" w:eastAsia="仿宋" w:cs="仿宋"/>
          <w:b w:val="0"/>
          <w:bCs/>
          <w:color w:val="auto"/>
          <w:sz w:val="32"/>
          <w:szCs w:val="32"/>
          <w:highlight w:val="none"/>
          <w:shd w:val="clear" w:color="auto" w:fill="auto"/>
          <w:lang w:val="en-US" w:eastAsia="zh-CN"/>
        </w:rPr>
      </w:pPr>
    </w:p>
    <w:p w14:paraId="19B37CEF">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4" w:type="default"/>
      <w:footerReference r:id="rId5"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4744">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9FB1">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5E8FD51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B94B">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768E0"/>
    <w:multiLevelType w:val="singleLevel"/>
    <w:tmpl w:val="019768E0"/>
    <w:lvl w:ilvl="0" w:tentative="0">
      <w:start w:val="7"/>
      <w:numFmt w:val="chineseCounting"/>
      <w:suff w:val="nothing"/>
      <w:lvlText w:val="（%1）"/>
      <w:lvlJc w:val="left"/>
      <w:rPr>
        <w:rFonts w:hint="eastAsia"/>
      </w:rPr>
    </w:lvl>
  </w:abstractNum>
  <w:abstractNum w:abstractNumId="1">
    <w:nsid w:val="5F70B30C"/>
    <w:multiLevelType w:val="singleLevel"/>
    <w:tmpl w:val="5F70B30C"/>
    <w:lvl w:ilvl="0" w:tentative="0">
      <w:start w:val="1"/>
      <w:numFmt w:val="chineseCounting"/>
      <w:suff w:val="nothing"/>
      <w:lvlText w:val="%1、"/>
      <w:lvlJc w:val="left"/>
      <w:rPr>
        <w:rFonts w:hint="eastAsia"/>
      </w:rPr>
    </w:lvl>
  </w:abstractNum>
  <w:abstractNum w:abstractNumId="2">
    <w:nsid w:val="6F9A6B2A"/>
    <w:multiLevelType w:val="singleLevel"/>
    <w:tmpl w:val="6F9A6B2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jkzODY0NDk1NTliMDI5NDgyMjVmNjNhYmJkOWUifQ=="/>
    <w:docVar w:name="KSO_WPS_MARK_KEY" w:val="df71cebc-b9c2-4449-923b-15e554495697"/>
  </w:docVars>
  <w:rsids>
    <w:rsidRoot w:val="03A95701"/>
    <w:rsid w:val="007525A6"/>
    <w:rsid w:val="025565A0"/>
    <w:rsid w:val="02A758E2"/>
    <w:rsid w:val="03A95701"/>
    <w:rsid w:val="03E31E2C"/>
    <w:rsid w:val="06E55F52"/>
    <w:rsid w:val="08B06B70"/>
    <w:rsid w:val="08D041C3"/>
    <w:rsid w:val="08E150F2"/>
    <w:rsid w:val="09352249"/>
    <w:rsid w:val="09702FD1"/>
    <w:rsid w:val="0AAB7BDC"/>
    <w:rsid w:val="0C8E341D"/>
    <w:rsid w:val="14963330"/>
    <w:rsid w:val="15747797"/>
    <w:rsid w:val="15C31998"/>
    <w:rsid w:val="168129A1"/>
    <w:rsid w:val="16EB75BF"/>
    <w:rsid w:val="16ED130B"/>
    <w:rsid w:val="179B12FE"/>
    <w:rsid w:val="19C84AD2"/>
    <w:rsid w:val="1B7B0335"/>
    <w:rsid w:val="1FBA0CE1"/>
    <w:rsid w:val="20AA2EEF"/>
    <w:rsid w:val="20C55185"/>
    <w:rsid w:val="21610368"/>
    <w:rsid w:val="22DC2F75"/>
    <w:rsid w:val="244965AB"/>
    <w:rsid w:val="24AB35DD"/>
    <w:rsid w:val="25443147"/>
    <w:rsid w:val="25BC354F"/>
    <w:rsid w:val="29C11567"/>
    <w:rsid w:val="2AFD57EC"/>
    <w:rsid w:val="2BD96F5F"/>
    <w:rsid w:val="2E201EB5"/>
    <w:rsid w:val="2E46115D"/>
    <w:rsid w:val="2FAE0CC7"/>
    <w:rsid w:val="31615CB6"/>
    <w:rsid w:val="33010694"/>
    <w:rsid w:val="35655381"/>
    <w:rsid w:val="36D52FDF"/>
    <w:rsid w:val="37A13162"/>
    <w:rsid w:val="3AD3795F"/>
    <w:rsid w:val="3F2301EA"/>
    <w:rsid w:val="3F342416"/>
    <w:rsid w:val="449C3295"/>
    <w:rsid w:val="44B26E56"/>
    <w:rsid w:val="44D97CC8"/>
    <w:rsid w:val="44F451AE"/>
    <w:rsid w:val="465406DE"/>
    <w:rsid w:val="48DA02A5"/>
    <w:rsid w:val="4991644F"/>
    <w:rsid w:val="4C0B51A1"/>
    <w:rsid w:val="4EE94C34"/>
    <w:rsid w:val="52573FD8"/>
    <w:rsid w:val="55703D7F"/>
    <w:rsid w:val="56705FB3"/>
    <w:rsid w:val="58E766ED"/>
    <w:rsid w:val="5A737E20"/>
    <w:rsid w:val="5CCE7FC2"/>
    <w:rsid w:val="5D592F72"/>
    <w:rsid w:val="5D5B07CD"/>
    <w:rsid w:val="5FAB4268"/>
    <w:rsid w:val="61441586"/>
    <w:rsid w:val="64CA6136"/>
    <w:rsid w:val="64D37477"/>
    <w:rsid w:val="64DB5BFF"/>
    <w:rsid w:val="661E04AB"/>
    <w:rsid w:val="6D535020"/>
    <w:rsid w:val="6E7E1C5E"/>
    <w:rsid w:val="6F110768"/>
    <w:rsid w:val="71BE7C1E"/>
    <w:rsid w:val="72B303AB"/>
    <w:rsid w:val="73D944F5"/>
    <w:rsid w:val="74EC10E0"/>
    <w:rsid w:val="77FE2943"/>
    <w:rsid w:val="78C24E11"/>
    <w:rsid w:val="799145EC"/>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qFormat/>
    <w:uiPriority w:val="0"/>
  </w:style>
  <w:style w:type="character" w:customStyle="1" w:styleId="13">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9</Pages>
  <Words>3387</Words>
  <Characters>3732</Characters>
  <Lines>0</Lines>
  <Paragraphs>0</Paragraphs>
  <TotalTime>25</TotalTime>
  <ScaleCrop>false</ScaleCrop>
  <LinksUpToDate>false</LinksUpToDate>
  <CharactersWithSpaces>3827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2024-07-25T03:31:50Z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D05E7AE29516417E94C985C0F033B765_13</vt:lpwstr>
  </property>
</Properties>
</file>