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11附件：</w:t>
      </w:r>
    </w:p>
    <w:p>
      <w:pPr>
        <w:pStyle w:val="4"/>
        <w:spacing w:before="0" w:after="0" w:line="240" w:lineRule="auto"/>
        <w:jc w:val="center"/>
        <w:rPr>
          <w:rFonts w:ascii="黑体" w:hAnsi="黑体" w:eastAsia="黑体" w:cs="黑体"/>
        </w:rPr>
      </w:pPr>
      <w:r>
        <w:rPr>
          <w:rFonts w:hint="eastAsia" w:ascii="黑体" w:hAnsi="黑体" w:eastAsia="黑体" w:cs="黑体"/>
        </w:rPr>
        <w:t>景德镇市珠山区石狮埠街道办事处202</w:t>
      </w:r>
      <w:r>
        <w:rPr>
          <w:rFonts w:hint="eastAsia" w:ascii="黑体" w:hAnsi="黑体" w:eastAsia="黑体" w:cs="黑体"/>
          <w:lang w:val="en-US" w:eastAsia="zh-CN"/>
        </w:rPr>
        <w:t>3</w:t>
      </w:r>
      <w:r>
        <w:rPr>
          <w:rFonts w:hint="eastAsia" w:ascii="黑体" w:hAnsi="黑体" w:eastAsia="黑体" w:cs="黑体"/>
        </w:rPr>
        <w:t>年部门预算公开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珠山区石狮埠街道概况</w:t>
      </w:r>
    </w:p>
    <w:p>
      <w:pPr>
        <w:ind w:firstLine="640" w:firstLineChars="200"/>
        <w:rPr>
          <w:rFonts w:ascii="仿宋_GB2312" w:hAnsi="宋体" w:eastAsia="仿宋_GB2312" w:cs="仿宋_GB2312"/>
          <w:sz w:val="32"/>
          <w:szCs w:val="32"/>
        </w:rPr>
      </w:pPr>
      <w:r>
        <w:rPr>
          <w:rFonts w:hint="eastAsia"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lang w:val="en-US" w:eastAsia="zh-CN"/>
        </w:rPr>
        <w:t xml:space="preserve">   </w:t>
      </w:r>
      <w:r>
        <w:rPr>
          <w:rFonts w:hint="eastAsia" w:ascii="仿宋_GB2312" w:hAnsi="宋体" w:eastAsia="仿宋_GB2312" w:cs="仿宋_GB2312"/>
          <w:sz w:val="32"/>
          <w:szCs w:val="32"/>
        </w:rPr>
        <w:t>一、部门主要职责</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珠山区石狮埠街道202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olor w:val="333333"/>
          <w:sz w:val="32"/>
          <w:szCs w:val="32"/>
          <w:shd w:val="clear" w:color="auto" w:fill="FFFFFF"/>
        </w:rPr>
        <w:t xml:space="preserve">    </w:t>
      </w:r>
      <w:r>
        <w:rPr>
          <w:rFonts w:hint="eastAsia" w:ascii="仿宋" w:hAnsi="仿宋" w:eastAsia="仿宋" w:cs="仿宋"/>
          <w:caps w:val="0"/>
          <w:color w:val="333333"/>
          <w:spacing w:val="0"/>
          <w:sz w:val="30"/>
          <w:szCs w:val="30"/>
          <w:shd w:val="clear" w:color="auto" w:fill="FFFFFF"/>
        </w:rPr>
        <w:t>一、2023年部门预算收支情况说明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    二、2023年“三公”经费预算情况说明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石狮埠街道202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1200" w:firstLineChars="4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 xml:space="preserve"> </w:t>
      </w:r>
      <w:bookmarkStart w:id="0" w:name="_GoBack"/>
      <w:bookmarkEnd w:id="0"/>
      <w:r>
        <w:rPr>
          <w:rFonts w:hint="eastAsia" w:ascii="仿宋" w:hAnsi="仿宋" w:eastAsia="仿宋" w:cs="仿宋"/>
          <w:caps w:val="0"/>
          <w:color w:val="333333"/>
          <w:spacing w:val="0"/>
          <w:sz w:val="30"/>
          <w:szCs w:val="30"/>
          <w:shd w:val="clear" w:color="auto" w:fill="FFFFFF"/>
        </w:rPr>
        <w:t> 十、《部门整体绩效目标表》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珠山区石狮埠街道概况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pStyle w:val="8"/>
        <w:shd w:val="clear" w:color="auto" w:fill="FFFFFF"/>
        <w:spacing w:before="100" w:beforeAutospacing="1" w:after="100" w:afterAutospacing="1"/>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1、在区委、区政府的领导下，贯彻执行党路线、方针、政策和国家的各项法律、法规；负责街辖区内的地区性、群众性、公益性、社会性工作。</w:t>
      </w:r>
    </w:p>
    <w:p>
      <w:pPr>
        <w:ind w:firstLine="627" w:firstLineChars="196"/>
        <w:rPr>
          <w:rFonts w:hint="eastAsia" w:ascii="仿宋" w:hAnsi="仿宋" w:eastAsia="仿宋" w:cs="仿宋"/>
          <w:bCs/>
          <w:color w:val="auto"/>
          <w:sz w:val="32"/>
          <w:szCs w:val="32"/>
          <w:u w:val="none"/>
        </w:rPr>
      </w:pPr>
      <w:r>
        <w:rPr>
          <w:rFonts w:hint="eastAsia" w:ascii="仿宋" w:hAnsi="仿宋" w:eastAsia="仿宋" w:cs="仿宋"/>
          <w:color w:val="auto"/>
          <w:sz w:val="32"/>
          <w:szCs w:val="32"/>
          <w:u w:val="none"/>
        </w:rPr>
        <w:t>2、负责精神文明建设工作，积极组织以提高市民质素为目的的活动，树立文明新风。</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3、按照职责范围，负责街辖区内的城市建设和管理、</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3"/>
          <w:rFonts w:hint="eastAsia" w:ascii="仿宋" w:hAnsi="仿宋" w:eastAsia="仿宋" w:cs="仿宋"/>
          <w:color w:val="auto"/>
          <w:sz w:val="32"/>
          <w:szCs w:val="32"/>
          <w:u w:val="none"/>
        </w:rPr>
        <w:t>市容环境卫生</w:t>
      </w:r>
      <w:r>
        <w:rPr>
          <w:rStyle w:val="13"/>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、环境保护、市政、等监督、管理、服务工作。</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4、负责街辖区内的维护稳定及</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3"/>
          <w:rFonts w:hint="eastAsia" w:ascii="仿宋" w:hAnsi="仿宋" w:eastAsia="仿宋" w:cs="仿宋"/>
          <w:color w:val="auto"/>
          <w:sz w:val="32"/>
          <w:szCs w:val="32"/>
          <w:u w:val="none"/>
        </w:rPr>
        <w:t>社会治安综合治理</w:t>
      </w:r>
      <w:r>
        <w:rPr>
          <w:rStyle w:val="13"/>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工作，依照有关规定做好出租屋和外来暂住人员的管理工作；负责民事调解，法律服务工作，维护居民的合法权益。</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5 、负责</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3"/>
          <w:rFonts w:hint="eastAsia" w:ascii="仿宋" w:hAnsi="仿宋" w:eastAsia="仿宋" w:cs="仿宋"/>
          <w:color w:val="auto"/>
          <w:sz w:val="32"/>
          <w:szCs w:val="32"/>
          <w:u w:val="none"/>
        </w:rPr>
        <w:t>社区建设</w:t>
      </w:r>
      <w:r>
        <w:rPr>
          <w:rStyle w:val="13"/>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和管理，积极开展社区服务工作，大力兴办社区福利事业，发动和组织社区成员开展各类社区公益活动；负责拥军优属、</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3"/>
          <w:rFonts w:hint="eastAsia" w:ascii="仿宋" w:hAnsi="仿宋" w:eastAsia="仿宋" w:cs="仿宋"/>
          <w:color w:val="auto"/>
          <w:sz w:val="32"/>
          <w:szCs w:val="32"/>
          <w:u w:val="none"/>
        </w:rPr>
        <w:t>优抚安置</w:t>
      </w:r>
      <w:r>
        <w:rPr>
          <w:rStyle w:val="13"/>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3"/>
          <w:rFonts w:hint="eastAsia" w:ascii="仿宋" w:hAnsi="仿宋" w:eastAsia="仿宋" w:cs="仿宋"/>
          <w:color w:val="auto"/>
          <w:sz w:val="32"/>
          <w:szCs w:val="32"/>
          <w:u w:val="none"/>
        </w:rPr>
        <w:t>社会救济</w:t>
      </w:r>
      <w:r>
        <w:rPr>
          <w:rStyle w:val="13"/>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、社会福利、社区文化、科普、体育、教育等工作。</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6、发展街道经济，管理街道自有国有资产和集体资产，为街道经济组织提供人才、科技、信息和各种服务，以经济、法律和必要的行政手段推动街道经济发展和维护市场经济秩序。</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7、负责计划生育、劳动就业、安全生产管理、初级卫生保健、民兵、兵役、侨务等工作；尊重少数民族的风俗习惯，保障少数民族的权益。</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8、指导和帮助</w:t>
      </w:r>
      <w:r>
        <w:rPr>
          <w:rFonts w:hint="eastAsia" w:ascii="仿宋" w:hAnsi="仿宋" w:eastAsia="仿宋" w:cs="仿宋"/>
          <w:color w:val="auto"/>
          <w:sz w:val="32"/>
          <w:szCs w:val="32"/>
          <w:u w:val="none"/>
        </w:rPr>
        <w:fldChar w:fldCharType="begin"/>
      </w:r>
      <w:r>
        <w:rPr>
          <w:rFonts w:hint="eastAsia" w:ascii="仿宋" w:hAnsi="仿宋" w:eastAsia="仿宋" w:cs="仿宋"/>
          <w:color w:val="auto"/>
          <w:sz w:val="32"/>
          <w:szCs w:val="32"/>
          <w:u w:val="none"/>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rFonts w:hint="eastAsia" w:ascii="仿宋" w:hAnsi="仿宋" w:eastAsia="仿宋" w:cs="仿宋"/>
          <w:color w:val="auto"/>
          <w:sz w:val="32"/>
          <w:szCs w:val="32"/>
          <w:u w:val="none"/>
        </w:rPr>
        <w:fldChar w:fldCharType="separate"/>
      </w:r>
      <w:r>
        <w:rPr>
          <w:rStyle w:val="13"/>
          <w:rFonts w:hint="eastAsia" w:ascii="仿宋" w:hAnsi="仿宋" w:eastAsia="仿宋" w:cs="仿宋"/>
          <w:color w:val="auto"/>
          <w:sz w:val="32"/>
          <w:szCs w:val="32"/>
          <w:u w:val="none"/>
        </w:rPr>
        <w:t>居民委员会</w:t>
      </w:r>
      <w:r>
        <w:rPr>
          <w:rStyle w:val="13"/>
          <w:rFonts w:hint="eastAsia" w:ascii="仿宋" w:hAnsi="仿宋" w:eastAsia="仿宋" w:cs="仿宋"/>
          <w:color w:val="auto"/>
          <w:sz w:val="32"/>
          <w:szCs w:val="32"/>
          <w:u w:val="none"/>
        </w:rPr>
        <w:fldChar w:fldCharType="end"/>
      </w:r>
      <w:r>
        <w:rPr>
          <w:rFonts w:hint="eastAsia" w:ascii="仿宋" w:hAnsi="仿宋" w:eastAsia="仿宋" w:cs="仿宋"/>
          <w:color w:val="auto"/>
          <w:sz w:val="32"/>
          <w:szCs w:val="32"/>
          <w:u w:val="none"/>
        </w:rPr>
        <w:t>搞好组织建设和制度建设，发挥居委会的群众自治组织作用。</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9、配合有关部门做好防汛、防风、防火、防震、防灾和抢险工作。</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10、向区人民政府反映居民群众的意见和要求，办理人民群众来信来访事项。</w:t>
      </w:r>
      <w:r>
        <w:rPr>
          <w:rFonts w:hint="eastAsia" w:ascii="仿宋" w:hAnsi="仿宋" w:eastAsia="仿宋" w:cs="仿宋"/>
          <w:color w:val="auto"/>
          <w:sz w:val="32"/>
          <w:szCs w:val="32"/>
          <w:u w:val="none"/>
        </w:rPr>
        <w:br w:type="textWrapping"/>
      </w:r>
      <w:r>
        <w:rPr>
          <w:rFonts w:hint="eastAsia" w:ascii="仿宋" w:hAnsi="仿宋" w:eastAsia="仿宋" w:cs="仿宋"/>
          <w:color w:val="auto"/>
          <w:sz w:val="32"/>
          <w:szCs w:val="32"/>
          <w:u w:val="none"/>
        </w:rPr>
        <w:t xml:space="preserve">    11、承办区委、区政府和上级部门交办的其他事项</w:t>
      </w:r>
      <w:r>
        <w:rPr>
          <w:rFonts w:hint="eastAsia" w:ascii="仿宋" w:hAnsi="仿宋" w:eastAsia="仿宋" w:cs="仿宋"/>
          <w:bCs/>
          <w:color w:val="auto"/>
          <w:sz w:val="32"/>
          <w:szCs w:val="32"/>
          <w:u w:val="none"/>
        </w:rPr>
        <w:t>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石狮埠街道共有预算单位1个，包括</w:t>
      </w:r>
      <w:r>
        <w:rPr>
          <w:rFonts w:hint="eastAsia" w:ascii="仿宋_GB2312" w:hAnsi="宋体" w:eastAsia="仿宋_GB2312" w:cs="仿宋_GB2312"/>
          <w:sz w:val="32"/>
          <w:szCs w:val="32"/>
          <w:lang w:val="en-US" w:eastAsia="zh-CN"/>
        </w:rPr>
        <w:t>街道</w:t>
      </w:r>
      <w:r>
        <w:rPr>
          <w:rFonts w:hint="eastAsia" w:ascii="仿宋_GB2312" w:hAnsi="宋体" w:eastAsia="仿宋_GB2312" w:cs="仿宋_GB2312"/>
          <w:sz w:val="32"/>
          <w:szCs w:val="32"/>
        </w:rPr>
        <w:t>本级和所属二级预算单位。编制数为20人，其中行政编制</w:t>
      </w:r>
      <w:r>
        <w:rPr>
          <w:rFonts w:hint="eastAsia" w:ascii="仿宋_GB2312" w:hAnsi="宋体" w:eastAsia="仿宋_GB2312" w:cs="仿宋_GB2312"/>
          <w:sz w:val="32"/>
          <w:szCs w:val="32"/>
          <w:lang w:val="en-US" w:eastAsia="zh-CN"/>
        </w:rPr>
        <w:t>8</w:t>
      </w:r>
      <w:r>
        <w:rPr>
          <w:rFonts w:hint="eastAsia" w:ascii="仿宋_GB2312" w:hAnsi="宋体" w:eastAsia="仿宋_GB2312" w:cs="仿宋_GB2312"/>
          <w:sz w:val="32"/>
          <w:szCs w:val="32"/>
        </w:rPr>
        <w:t>人、全额补助事业编制12人；实有人数</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16</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人、全额补助事业人员</w:t>
      </w:r>
      <w:r>
        <w:rPr>
          <w:rFonts w:hint="eastAsia" w:ascii="仿宋_GB2312" w:hAnsi="宋体" w:eastAsia="仿宋_GB2312" w:cs="仿宋_GB2312"/>
          <w:color w:val="auto"/>
          <w:sz w:val="32"/>
          <w:szCs w:val="32"/>
          <w:lang w:val="en-US" w:eastAsia="zh-CN"/>
        </w:rPr>
        <w:t>12</w:t>
      </w:r>
      <w:r>
        <w:rPr>
          <w:rFonts w:hint="eastAsia" w:ascii="仿宋_GB2312" w:hAnsi="宋体" w:eastAsia="仿宋_GB2312" w:cs="仿宋_GB2312"/>
          <w:sz w:val="32"/>
          <w:szCs w:val="32"/>
        </w:rPr>
        <w:t>人；退休人员17人。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石狮埠街道202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年石狮埠街道收入预算总额为</w:t>
      </w:r>
      <w:r>
        <w:rPr>
          <w:rFonts w:hint="eastAsia" w:ascii="仿宋_GB2312" w:hAnsi="宋体" w:eastAsia="仿宋_GB2312" w:cs="仿宋_GB2312"/>
          <w:sz w:val="32"/>
          <w:szCs w:val="32"/>
          <w:lang w:val="en-US" w:eastAsia="zh-CN"/>
        </w:rPr>
        <w:t>526.53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减少4.96%</w:t>
      </w:r>
      <w:r>
        <w:rPr>
          <w:rFonts w:hint="eastAsia" w:ascii="仿宋_GB2312" w:hAnsi="宋体" w:eastAsia="仿宋_GB2312" w:cs="仿宋_GB2312"/>
          <w:sz w:val="32"/>
          <w:szCs w:val="32"/>
        </w:rPr>
        <w:t>，说明情况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厉行节约</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526.53</w:t>
      </w:r>
      <w:r>
        <w:rPr>
          <w:rFonts w:hint="eastAsia" w:ascii="仿宋_GB2312" w:hAnsi="宋体" w:eastAsia="仿宋_GB2312" w:cs="仿宋_GB2312"/>
          <w:sz w:val="32"/>
          <w:szCs w:val="32"/>
        </w:rPr>
        <w:t>万元，占收入预算总额的100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；事业收入0万元，占收入预算总额的0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；上年结余结转收入0万元，占收入预算总额的0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年石狮埠街道支出预算总额为5</w:t>
      </w:r>
      <w:r>
        <w:rPr>
          <w:rFonts w:hint="eastAsia" w:ascii="仿宋_GB2312" w:hAnsi="宋体" w:eastAsia="仿宋_GB2312" w:cs="仿宋_GB2312"/>
          <w:sz w:val="32"/>
          <w:szCs w:val="32"/>
          <w:lang w:val="en-US" w:eastAsia="zh-CN"/>
        </w:rPr>
        <w:t>26.53</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减少4.96%</w:t>
      </w:r>
      <w:r>
        <w:rPr>
          <w:rFonts w:hint="eastAsia" w:ascii="仿宋_GB2312" w:hAnsi="宋体" w:eastAsia="仿宋_GB2312" w:cs="仿宋_GB2312"/>
          <w:sz w:val="32"/>
          <w:szCs w:val="32"/>
        </w:rPr>
        <w:t>，说明情况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厉行节约</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226.81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43.08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185.2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6.39</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35.22</w:t>
      </w:r>
      <w:r>
        <w:rPr>
          <w:rFonts w:hint="eastAsia" w:ascii="仿宋_GB2312" w:hAnsi="宋体" w:eastAsia="仿宋_GB2312" w:cs="仿宋_GB2312"/>
          <w:sz w:val="32"/>
          <w:szCs w:val="32"/>
        </w:rPr>
        <w:t>万元、其他资本性支出0万元；项目支出</w:t>
      </w:r>
      <w:r>
        <w:rPr>
          <w:rFonts w:hint="eastAsia" w:ascii="仿宋_GB2312" w:hAnsi="宋体" w:eastAsia="仿宋_GB2312" w:cs="仿宋_GB2312"/>
          <w:sz w:val="32"/>
          <w:szCs w:val="32"/>
          <w:lang w:val="en-US" w:eastAsia="zh-CN"/>
        </w:rPr>
        <w:t>299.72</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56.92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137.07</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162.65</w:t>
      </w:r>
      <w:r>
        <w:rPr>
          <w:rFonts w:hint="eastAsia" w:ascii="仿宋_GB2312" w:hAnsi="宋体" w:eastAsia="仿宋_GB2312" w:cs="仿宋_GB2312"/>
          <w:sz w:val="32"/>
          <w:szCs w:val="32"/>
        </w:rPr>
        <w:t>元；事业经营支出0万元，占支出预算总额的0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按支出功能项目科目划分：一般公共服务支出4</w:t>
      </w:r>
      <w:r>
        <w:rPr>
          <w:rFonts w:hint="eastAsia" w:ascii="仿宋_GB2312" w:hAnsi="宋体" w:eastAsia="仿宋_GB2312" w:cs="仿宋_GB2312"/>
          <w:sz w:val="32"/>
          <w:szCs w:val="32"/>
          <w:lang w:val="en-US" w:eastAsia="zh-CN"/>
        </w:rPr>
        <w:t>79.8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91.13</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20.49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3.89</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8.32</w:t>
      </w:r>
      <w:r>
        <w:rPr>
          <w:rFonts w:hint="eastAsia" w:ascii="仿宋_GB2312" w:hAnsi="宋体" w:eastAsia="仿宋_GB2312" w:cs="仿宋_GB2312"/>
          <w:sz w:val="32"/>
          <w:szCs w:val="32"/>
        </w:rPr>
        <w:t>万元，占支出预算总额的1.</w:t>
      </w:r>
      <w:r>
        <w:rPr>
          <w:rFonts w:hint="eastAsia" w:ascii="仿宋_GB2312" w:hAnsi="宋体" w:eastAsia="仿宋_GB2312" w:cs="仿宋_GB2312"/>
          <w:sz w:val="32"/>
          <w:szCs w:val="32"/>
          <w:lang w:val="en-US" w:eastAsia="zh-CN"/>
        </w:rPr>
        <w:t>58</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17.93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3.4</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color w:val="E46C0A" w:themeColor="accent6" w:themeShade="BF"/>
          <w:sz w:val="32"/>
          <w:szCs w:val="32"/>
        </w:rPr>
      </w:pPr>
      <w:r>
        <w:rPr>
          <w:rFonts w:hint="eastAsia" w:ascii="仿宋_GB2312" w:hAnsi="宋体" w:eastAsia="仿宋_GB2312" w:cs="仿宋_GB2312"/>
          <w:sz w:val="32"/>
          <w:szCs w:val="32"/>
        </w:rPr>
        <w:t>按支出经济分类划分：工资福利支出3</w:t>
      </w:r>
      <w:r>
        <w:rPr>
          <w:rFonts w:hint="eastAsia" w:ascii="仿宋_GB2312" w:hAnsi="宋体" w:eastAsia="仿宋_GB2312" w:cs="仿宋_GB2312"/>
          <w:sz w:val="32"/>
          <w:szCs w:val="32"/>
          <w:lang w:val="en-US" w:eastAsia="zh-CN"/>
        </w:rPr>
        <w:t>22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27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61.2</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169.04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32.1</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；对个人和家庭的补助支出3</w:t>
      </w:r>
      <w:r>
        <w:rPr>
          <w:rFonts w:hint="eastAsia" w:ascii="仿宋_GB2312" w:hAnsi="宋体" w:eastAsia="仿宋_GB2312" w:cs="仿宋_GB2312"/>
          <w:sz w:val="32"/>
          <w:szCs w:val="32"/>
          <w:lang w:val="en-US" w:eastAsia="zh-CN"/>
        </w:rPr>
        <w:t>5.22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6.7</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年石狮埠街道财政拨款支出预算5</w:t>
      </w:r>
      <w:r>
        <w:rPr>
          <w:rFonts w:hint="eastAsia" w:ascii="仿宋_GB2312" w:hAnsi="宋体" w:eastAsia="仿宋_GB2312" w:cs="仿宋_GB2312"/>
          <w:sz w:val="32"/>
          <w:szCs w:val="32"/>
          <w:lang w:val="en-US" w:eastAsia="zh-CN"/>
        </w:rPr>
        <w:t>26.53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val="en-US" w:eastAsia="zh-CN"/>
        </w:rPr>
        <w:t>加4.79%</w:t>
      </w:r>
      <w:r>
        <w:rPr>
          <w:rFonts w:hint="eastAsia" w:ascii="仿宋_GB2312" w:hAnsi="宋体" w:eastAsia="仿宋_GB2312" w:cs="仿宋_GB2312"/>
          <w:sz w:val="32"/>
          <w:szCs w:val="32"/>
        </w:rPr>
        <w:t>，说明情况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厉行节约</w:t>
      </w:r>
      <w:r>
        <w:rPr>
          <w:rFonts w:hint="eastAsia" w:ascii="仿宋_GB2312" w:hAnsi="宋体" w:eastAsia="仿宋_GB2312" w:cs="仿宋_GB2312"/>
          <w:sz w:val="32"/>
          <w:szCs w:val="32"/>
        </w:rPr>
        <w:t>。一般公共服务支出4</w:t>
      </w:r>
      <w:r>
        <w:rPr>
          <w:rFonts w:hint="eastAsia" w:ascii="仿宋_GB2312" w:hAnsi="宋体" w:eastAsia="仿宋_GB2312" w:cs="仿宋_GB2312"/>
          <w:sz w:val="32"/>
          <w:szCs w:val="32"/>
          <w:lang w:val="en-US" w:eastAsia="zh-CN"/>
        </w:rPr>
        <w:t>79.8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91.13</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20.49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3.89</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8.32</w:t>
      </w:r>
      <w:r>
        <w:rPr>
          <w:rFonts w:hint="eastAsia" w:ascii="仿宋_GB2312" w:hAnsi="宋体" w:eastAsia="仿宋_GB2312" w:cs="仿宋_GB2312"/>
          <w:sz w:val="32"/>
          <w:szCs w:val="32"/>
        </w:rPr>
        <w:t>万元，占支出预算总额的1.</w:t>
      </w:r>
      <w:r>
        <w:rPr>
          <w:rFonts w:hint="eastAsia" w:ascii="仿宋_GB2312" w:hAnsi="宋体" w:eastAsia="仿宋_GB2312" w:cs="仿宋_GB2312"/>
          <w:sz w:val="32"/>
          <w:szCs w:val="32"/>
          <w:lang w:val="en-US" w:eastAsia="zh-CN"/>
        </w:rPr>
        <w:t>58</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17.93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3.4</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spacing w:line="570" w:lineRule="exact"/>
        <w:ind w:firstLine="640" w:firstLineChars="200"/>
        <w:rPr>
          <w:rFonts w:hint="default" w:ascii="仿宋_GB2312" w:eastAsia="仿宋_GB2312"/>
          <w:sz w:val="32"/>
          <w:szCs w:val="30"/>
          <w:lang w:val="en-US" w:eastAsia="zh-CN"/>
        </w:rPr>
      </w:pPr>
      <w:r>
        <w:rPr>
          <w:rFonts w:hint="eastAsia" w:ascii="仿宋_GB2312" w:eastAsia="仿宋_GB2312"/>
          <w:sz w:val="32"/>
          <w:szCs w:val="30"/>
        </w:rPr>
        <w:t>202</w:t>
      </w:r>
      <w:r>
        <w:rPr>
          <w:rFonts w:hint="eastAsia" w:ascii="仿宋_GB2312" w:eastAsia="仿宋_GB2312"/>
          <w:sz w:val="32"/>
          <w:szCs w:val="30"/>
          <w:lang w:val="en-US" w:eastAsia="zh-CN"/>
        </w:rPr>
        <w:t>3</w:t>
      </w:r>
      <w:r>
        <w:rPr>
          <w:rFonts w:hint="eastAsia" w:ascii="仿宋_GB2312" w:eastAsia="仿宋_GB2312"/>
          <w:sz w:val="32"/>
          <w:szCs w:val="30"/>
        </w:rPr>
        <w:t>年</w:t>
      </w:r>
      <w:r>
        <w:rPr>
          <w:rFonts w:hint="eastAsia" w:ascii="仿宋_GB2312" w:eastAsia="仿宋_GB2312"/>
          <w:sz w:val="32"/>
          <w:szCs w:val="30"/>
          <w:lang w:val="en-US" w:eastAsia="zh-CN"/>
        </w:rPr>
        <w:t>石狮埠街道办事处</w:t>
      </w:r>
      <w:r>
        <w:rPr>
          <w:rFonts w:hint="eastAsia" w:ascii="仿宋_GB2312" w:eastAsia="仿宋_GB2312"/>
          <w:sz w:val="32"/>
          <w:szCs w:val="30"/>
        </w:rPr>
        <w:t>政府采购</w:t>
      </w:r>
      <w:r>
        <w:rPr>
          <w:rFonts w:hint="eastAsia" w:ascii="仿宋_GB2312" w:eastAsia="仿宋_GB2312"/>
          <w:sz w:val="32"/>
          <w:szCs w:val="30"/>
          <w:lang w:val="en-US" w:eastAsia="zh-CN"/>
        </w:rPr>
        <w:t xml:space="preserve">预算为260 </w:t>
      </w:r>
      <w:r>
        <w:rPr>
          <w:rFonts w:hint="eastAsia" w:ascii="仿宋_GB2312" w:eastAsia="仿宋_GB2312"/>
          <w:sz w:val="32"/>
          <w:szCs w:val="30"/>
        </w:rPr>
        <w:t>万元，</w:t>
      </w:r>
      <w:r>
        <w:rPr>
          <w:rFonts w:hint="eastAsia" w:ascii="仿宋_GB2312" w:eastAsia="仿宋_GB2312"/>
          <w:sz w:val="32"/>
          <w:szCs w:val="30"/>
          <w:lang w:val="en-US" w:eastAsia="zh-CN"/>
        </w:rPr>
        <w:t>与上年增加15.38%，说明原因：设备更新。其中：政府集中采购260万元，部门集中采购0万元。</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年珠山区石狮埠街道“三公”经费年初预算安排5.</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万元。其中：因公出国（境）费0万元，比上年减</w:t>
      </w:r>
      <w:r>
        <w:rPr>
          <w:rFonts w:hint="eastAsia" w:ascii="仿宋_GB2312" w:hAnsi="宋体" w:eastAsia="仿宋_GB2312" w:cs="仿宋_GB2312"/>
          <w:sz w:val="32"/>
          <w:szCs w:val="32"/>
          <w:lang w:val="en-US" w:eastAsia="zh-CN"/>
        </w:rPr>
        <w:t>少0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公务接待费5.</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val="en-US" w:eastAsia="zh-CN"/>
        </w:rPr>
        <w:t>少0.02</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厉行节约</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公务用车运行维护费0万元，比上年减</w:t>
      </w:r>
      <w:r>
        <w:rPr>
          <w:rFonts w:hint="eastAsia" w:ascii="仿宋_GB2312" w:hAnsi="宋体" w:eastAsia="仿宋_GB2312" w:cs="仿宋_GB2312"/>
          <w:sz w:val="32"/>
          <w:szCs w:val="32"/>
          <w:lang w:val="en-US" w:eastAsia="zh-CN"/>
        </w:rPr>
        <w:t>少0</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公务用车购置费0万元，比上年减</w:t>
      </w:r>
      <w:r>
        <w:rPr>
          <w:rFonts w:hint="eastAsia" w:ascii="仿宋_GB2312" w:hAnsi="宋体" w:eastAsia="仿宋_GB2312" w:cs="仿宋_GB2312"/>
          <w:sz w:val="32"/>
          <w:szCs w:val="32"/>
          <w:lang w:val="en-US" w:eastAsia="zh-CN"/>
        </w:rPr>
        <w:t>少0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年部门整体</w:t>
      </w:r>
      <w:r>
        <w:rPr>
          <w:rFonts w:hint="eastAsia" w:ascii="仿宋_GB2312" w:eastAsia="仿宋_GB2312"/>
          <w:color w:val="auto"/>
          <w:sz w:val="32"/>
          <w:szCs w:val="32"/>
          <w:lang w:eastAsia="zh-CN"/>
        </w:rPr>
        <w:t>预算资金为</w:t>
      </w:r>
      <w:r>
        <w:rPr>
          <w:rFonts w:hint="eastAsia" w:ascii="仿宋_GB2312" w:hAnsi="宋体" w:eastAsia="仿宋_GB2312" w:cs="仿宋_GB2312"/>
          <w:sz w:val="32"/>
          <w:szCs w:val="32"/>
          <w:lang w:val="en-US" w:eastAsia="zh-CN"/>
        </w:rPr>
        <w:t>299.72</w:t>
      </w:r>
      <w:r>
        <w:rPr>
          <w:rFonts w:hint="eastAsia" w:ascii="仿宋_GB2312" w:eastAsia="仿宋_GB2312"/>
          <w:color w:val="auto"/>
          <w:sz w:val="32"/>
          <w:szCs w:val="32"/>
          <w:lang w:val="en-US" w:eastAsia="zh-CN"/>
        </w:rPr>
        <w:t>万元，具体情况是：</w:t>
      </w:r>
    </w:p>
    <w:p>
      <w:pPr>
        <w:widowControl/>
        <w:numPr>
          <w:ilvl w:val="0"/>
          <w:numId w:val="0"/>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 w:eastAsia="仿宋_GB2312" w:cs="仿宋"/>
          <w:color w:val="auto"/>
          <w:sz w:val="32"/>
          <w:szCs w:val="32"/>
          <w:lang w:val="en-US" w:eastAsia="zh-CN"/>
        </w:rPr>
        <w:t>一、工资资福利支出</w:t>
      </w:r>
      <w:r>
        <w:rPr>
          <w:rFonts w:hint="eastAsia" w:ascii="仿宋_GB2312" w:hAnsi="宋体" w:eastAsia="仿宋_GB2312" w:cs="仿宋_GB2312"/>
          <w:sz w:val="32"/>
          <w:szCs w:val="32"/>
          <w:lang w:val="en-US" w:eastAsia="zh-CN"/>
        </w:rPr>
        <w:t>137.07万</w:t>
      </w:r>
      <w:r>
        <w:rPr>
          <w:rFonts w:hint="eastAsia" w:ascii="仿宋_GB2312" w:hAnsi="仿宋" w:eastAsia="仿宋_GB2312" w:cs="仿宋"/>
          <w:color w:val="auto"/>
          <w:sz w:val="32"/>
          <w:szCs w:val="32"/>
          <w:lang w:val="en-US" w:eastAsia="zh-CN"/>
        </w:rPr>
        <w:t>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lang w:val="en-US" w:eastAsia="zh-CN"/>
        </w:rPr>
        <w:t>45.73</w:t>
      </w:r>
      <w:r>
        <w:rPr>
          <w:rFonts w:ascii="仿宋_GB2312" w:hAnsi="宋体" w:eastAsia="仿宋_GB2312" w:cs="仿宋_GB2312"/>
          <w:sz w:val="32"/>
          <w:szCs w:val="32"/>
        </w:rPr>
        <w:t>%</w:t>
      </w:r>
      <w:r>
        <w:rPr>
          <w:rFonts w:hint="eastAsia" w:ascii="仿宋_GB2312" w:hAnsi="仿宋_GB2312" w:eastAsia="仿宋_GB2312" w:cs="仿宋_GB2312"/>
          <w:color w:val="auto"/>
          <w:sz w:val="32"/>
          <w:szCs w:val="32"/>
          <w:highlight w:val="none"/>
          <w:shd w:val="clear" w:color="auto" w:fill="auto"/>
          <w:lang w:eastAsia="zh-CN"/>
        </w:rPr>
        <w:t>，</w:t>
      </w:r>
    </w:p>
    <w:p>
      <w:pPr>
        <w:widowControl/>
        <w:numPr>
          <w:ilvl w:val="0"/>
          <w:numId w:val="0"/>
        </w:numPr>
        <w:spacing w:line="60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绩效目标：按时发放工资</w:t>
      </w:r>
    </w:p>
    <w:p>
      <w:pPr>
        <w:widowControl/>
        <w:numPr>
          <w:ilvl w:val="0"/>
          <w:numId w:val="2"/>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 w:eastAsia="仿宋_GB2312" w:cs="仿宋"/>
          <w:color w:val="auto"/>
          <w:sz w:val="32"/>
          <w:szCs w:val="32"/>
          <w:lang w:val="en-US" w:eastAsia="zh-CN"/>
        </w:rPr>
        <w:t>商品和服务支出</w:t>
      </w:r>
      <w:r>
        <w:rPr>
          <w:rFonts w:hint="eastAsia" w:ascii="仿宋_GB2312" w:hAnsi="宋体" w:eastAsia="仿宋_GB2312" w:cs="仿宋_GB2312"/>
          <w:sz w:val="32"/>
          <w:szCs w:val="32"/>
          <w:lang w:val="en-US" w:eastAsia="zh-CN"/>
        </w:rPr>
        <w:t>162.65</w:t>
      </w:r>
      <w:r>
        <w:rPr>
          <w:rFonts w:hint="eastAsia" w:ascii="仿宋_GB2312" w:hAnsi="仿宋" w:eastAsia="仿宋_GB2312" w:cs="仿宋"/>
          <w:color w:val="auto"/>
          <w:sz w:val="32"/>
          <w:szCs w:val="32"/>
          <w:lang w:val="en-US" w:eastAsia="zh-CN"/>
        </w:rPr>
        <w:t>万元，</w:t>
      </w:r>
      <w:r>
        <w:rPr>
          <w:rFonts w:hint="eastAsia" w:ascii="仿宋_GB2312" w:hAnsi="仿宋_GB2312" w:eastAsia="仿宋_GB2312" w:cs="仿宋_GB2312"/>
          <w:color w:val="auto"/>
          <w:sz w:val="32"/>
          <w:szCs w:val="32"/>
          <w:highlight w:val="none"/>
          <w:shd w:val="clear" w:color="auto" w:fill="auto"/>
        </w:rPr>
        <w:t>占支出预算总额</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宋体" w:eastAsia="仿宋_GB2312" w:cs="仿宋_GB2312"/>
          <w:sz w:val="32"/>
          <w:szCs w:val="32"/>
          <w:lang w:val="en-US" w:eastAsia="zh-CN"/>
        </w:rPr>
        <w:t>54.27</w:t>
      </w:r>
      <w:r>
        <w:rPr>
          <w:rFonts w:ascii="仿宋_GB2312" w:hAnsi="宋体" w:eastAsia="仿宋_GB2312" w:cs="仿宋_GB2312"/>
          <w:sz w:val="32"/>
          <w:szCs w:val="32"/>
        </w:rPr>
        <w:t>%</w:t>
      </w:r>
      <w:r>
        <w:rPr>
          <w:rFonts w:hint="eastAsia" w:ascii="仿宋_GB2312" w:hAnsi="仿宋_GB2312" w:eastAsia="仿宋_GB2312" w:cs="仿宋_GB2312"/>
          <w:color w:val="auto"/>
          <w:sz w:val="32"/>
          <w:szCs w:val="32"/>
          <w:highlight w:val="none"/>
          <w:shd w:val="clear" w:color="auto" w:fill="auto"/>
          <w:lang w:eastAsia="zh-CN"/>
        </w:rPr>
        <w:t>，</w:t>
      </w:r>
    </w:p>
    <w:p>
      <w:pPr>
        <w:widowControl/>
        <w:numPr>
          <w:ilvl w:val="0"/>
          <w:numId w:val="0"/>
        </w:numPr>
        <w:spacing w:line="60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绩效目标：1、执行国家有关法律、法规和财务规章制度；厉行节约，制止奢侈浪费；量入为出，保证重点，兼顾一般；注重资金使用效益。</w:t>
      </w:r>
    </w:p>
    <w:p>
      <w:pPr>
        <w:widowControl/>
        <w:numPr>
          <w:ilvl w:val="0"/>
          <w:numId w:val="0"/>
        </w:numPr>
        <w:spacing w:line="60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绩效目标2、合理编制本街道预算，统筹安排、节约使用各</w:t>
      </w:r>
    </w:p>
    <w:p>
      <w:pPr>
        <w:widowControl/>
        <w:numPr>
          <w:ilvl w:val="0"/>
          <w:numId w:val="0"/>
        </w:numPr>
        <w:spacing w:line="600" w:lineRule="exact"/>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项资金，保障街道正常运转的资金需要。</w:t>
      </w:r>
    </w:p>
    <w:p>
      <w:pPr>
        <w:widowControl/>
        <w:numPr>
          <w:ilvl w:val="0"/>
          <w:numId w:val="0"/>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绩效目标3、建立、健全内部财务管理制度，对本街道财</w:t>
      </w:r>
    </w:p>
    <w:p>
      <w:pPr>
        <w:widowControl/>
        <w:numPr>
          <w:ilvl w:val="0"/>
          <w:numId w:val="0"/>
        </w:numPr>
        <w:spacing w:line="600" w:lineRule="exact"/>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务活动进行控制和监督</w:t>
      </w:r>
    </w:p>
    <w:p>
      <w:pPr>
        <w:widowControl/>
        <w:numPr>
          <w:ilvl w:val="0"/>
          <w:numId w:val="0"/>
        </w:numPr>
        <w:spacing w:line="600" w:lineRule="exact"/>
        <w:ind w:leftChars="266"/>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 4、加强本街道国有资产管理，防止国有资产流</w:t>
      </w:r>
    </w:p>
    <w:p>
      <w:pPr>
        <w:widowControl/>
        <w:numPr>
          <w:ilvl w:val="0"/>
          <w:numId w:val="0"/>
        </w:numPr>
        <w:spacing w:line="600" w:lineRule="exact"/>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失；</w:t>
      </w:r>
    </w:p>
    <w:p>
      <w:pPr>
        <w:widowControl/>
        <w:numPr>
          <w:ilvl w:val="0"/>
          <w:numId w:val="0"/>
        </w:numPr>
        <w:spacing w:line="60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绩效目标5、正确处理各项资金是否合理使用，坚持勤俭办</w:t>
      </w:r>
    </w:p>
    <w:p>
      <w:pPr>
        <w:widowControl/>
        <w:numPr>
          <w:ilvl w:val="0"/>
          <w:numId w:val="0"/>
        </w:numPr>
        <w:spacing w:line="600" w:lineRule="exact"/>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事的方针，处理好社会效益和经济效益的关系，国家、单位和个人三者利益关系，提高资金使用效益，</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202</w:t>
      </w:r>
      <w:r>
        <w:rPr>
          <w:rFonts w:hint="eastAsia" w:ascii="仿宋_GB2312" w:eastAsia="仿宋_GB2312"/>
          <w:color w:val="auto"/>
          <w:sz w:val="32"/>
          <w:szCs w:val="30"/>
          <w:lang w:val="en-US" w:eastAsia="zh-CN"/>
        </w:rPr>
        <w:t>3</w:t>
      </w:r>
      <w:r>
        <w:rPr>
          <w:rFonts w:hint="eastAsia" w:ascii="仿宋_GB2312" w:eastAsia="仿宋_GB2312"/>
          <w:color w:val="auto"/>
          <w:sz w:val="32"/>
          <w:szCs w:val="30"/>
        </w:rPr>
        <w:t>年实行绩效目标管理的一级项目</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个，涉及资金</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万元，其中：二级项目</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个（部门预算中</w:t>
      </w:r>
      <w:r>
        <w:rPr>
          <w:rFonts w:hint="eastAsia" w:ascii="仿宋_GB2312" w:eastAsia="仿宋_GB2312"/>
          <w:color w:val="auto"/>
          <w:sz w:val="32"/>
          <w:szCs w:val="30"/>
          <w:lang w:val="en-US" w:eastAsia="zh-CN"/>
        </w:rPr>
        <w:t xml:space="preserve"> </w:t>
      </w:r>
      <w:r>
        <w:rPr>
          <w:rFonts w:hint="eastAsia" w:ascii="仿宋_GB2312" w:eastAsia="仿宋_GB2312"/>
          <w:color w:val="auto"/>
          <w:sz w:val="32"/>
          <w:szCs w:val="30"/>
        </w:rPr>
        <w:t>万元以上的，且进行了绩效评审的项目</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个，涉及资金</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万元），涉及资金</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万元。</w:t>
      </w:r>
    </w:p>
    <w:p>
      <w:pPr>
        <w:widowControl/>
        <w:spacing w:line="600" w:lineRule="exact"/>
        <w:ind w:firstLine="643" w:firstLineChars="200"/>
        <w:jc w:val="left"/>
        <w:rPr>
          <w:rFonts w:ascii="仿宋_GB2312" w:eastAsia="仿宋_GB2312"/>
          <w:b/>
          <w:color w:val="auto"/>
          <w:sz w:val="32"/>
          <w:szCs w:val="30"/>
        </w:rPr>
      </w:pPr>
      <w:r>
        <w:rPr>
          <w:rFonts w:hint="eastAsia" w:ascii="仿宋_GB2312" w:eastAsia="仿宋_GB2312"/>
          <w:b/>
          <w:color w:val="auto"/>
          <w:sz w:val="32"/>
          <w:szCs w:val="30"/>
        </w:rPr>
        <w:t>（九）xx一级项目中各二级项目情况说明（部门本级）</w:t>
      </w:r>
    </w:p>
    <w:p>
      <w:pPr>
        <w:ind w:firstLine="640" w:firstLineChars="200"/>
        <w:rPr>
          <w:rFonts w:hint="eastAsia" w:ascii="仿宋_GB2312" w:hAnsi="宋体" w:eastAsia="仿宋_GB2312" w:cs="仿宋_GB2312"/>
          <w:color w:val="auto"/>
          <w:sz w:val="32"/>
          <w:szCs w:val="32"/>
          <w:lang w:eastAsia="zh-CN"/>
        </w:rPr>
      </w:pPr>
      <w:r>
        <w:rPr>
          <w:rFonts w:hint="eastAsia" w:ascii="仿宋_GB2312" w:eastAsia="仿宋_GB2312"/>
          <w:color w:val="auto"/>
          <w:sz w:val="32"/>
          <w:szCs w:val="30"/>
          <w:lang w:val="en-US" w:eastAsia="zh-CN"/>
        </w:rPr>
        <w:t>无</w:t>
      </w:r>
    </w:p>
    <w:p>
      <w:pPr>
        <w:rPr>
          <w:rFonts w:ascii="仿宋_GB2312" w:hAnsi="宋体" w:eastAsia="仿宋_GB2312" w:cs="仿宋_GB2312"/>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珠山区石狮埠街道202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numPr>
          <w:ilvl w:val="0"/>
          <w:numId w:val="3"/>
        </w:numPr>
        <w:jc w:val="left"/>
        <w:rPr>
          <w:rFonts w:ascii="仿宋" w:hAnsi="仿宋" w:eastAsia="仿宋" w:cs="仿宋"/>
          <w:sz w:val="32"/>
          <w:szCs w:val="32"/>
        </w:rPr>
      </w:pPr>
      <w:r>
        <w:rPr>
          <w:rFonts w:hint="eastAsia" w:ascii="仿宋" w:hAnsi="仿宋" w:eastAsia="仿宋" w:cs="仿宋"/>
          <w:sz w:val="32"/>
          <w:szCs w:val="32"/>
        </w:rPr>
        <w:t>《收支预算总表》</w:t>
      </w:r>
    </w:p>
    <w:p>
      <w:pPr>
        <w:jc w:val="left"/>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5791200" cy="5219700"/>
            <wp:effectExtent l="0" t="0" r="0" b="0"/>
            <wp:docPr id="9" name="图片 9" descr="微信图片_2023053114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0531141947"/>
                    <pic:cNvPicPr>
                      <a:picLocks noChangeAspect="1"/>
                    </pic:cNvPicPr>
                  </pic:nvPicPr>
                  <pic:blipFill>
                    <a:blip r:embed="rId5"/>
                    <a:stretch>
                      <a:fillRect/>
                    </a:stretch>
                  </pic:blipFill>
                  <pic:spPr>
                    <a:xfrm>
                      <a:off x="0" y="0"/>
                      <a:ext cx="5791200" cy="5219700"/>
                    </a:xfrm>
                    <a:prstGeom prst="rect">
                      <a:avLst/>
                    </a:prstGeom>
                  </pic:spPr>
                </pic:pic>
              </a:graphicData>
            </a:graphic>
          </wp:inline>
        </w:drawing>
      </w:r>
    </w:p>
    <w:p>
      <w:pPr>
        <w:pStyle w:val="2"/>
      </w:pPr>
      <w:r>
        <w:rPr>
          <w:rFonts w:hint="eastAsia" w:ascii="仿宋_GB2312" w:hAnsi="宋体" w:eastAsia="仿宋_GB2312" w:cs="仿宋_GB2312"/>
          <w:sz w:val="32"/>
          <w:szCs w:val="32"/>
        </w:rPr>
        <w:t>二、《部门收入总表》</w:t>
      </w:r>
    </w:p>
    <w:p>
      <w:pPr>
        <w:rPr>
          <w:rFonts w:hint="eastAsia" w:ascii="仿宋_GB2312" w:hAnsi="宋体" w:eastAsia="仿宋_GB2312" w:cs="仿宋_GB2312"/>
          <w:sz w:val="32"/>
          <w:szCs w:val="32"/>
          <w:shd w:val="clear" w:color="FFFFFF" w:fill="D9D9D9"/>
          <w:lang w:eastAsia="zh-CN"/>
        </w:rPr>
      </w:pPr>
      <w:r>
        <w:rPr>
          <w:rFonts w:hint="eastAsia" w:ascii="仿宋_GB2312" w:hAnsi="宋体" w:eastAsia="仿宋_GB2312" w:cs="仿宋_GB2312"/>
          <w:sz w:val="32"/>
          <w:szCs w:val="32"/>
          <w:shd w:val="clear" w:color="FFFFFF" w:fill="D9D9D9"/>
          <w:lang w:eastAsia="zh-CN"/>
        </w:rPr>
        <w:drawing>
          <wp:inline distT="0" distB="0" distL="114300" distR="114300">
            <wp:extent cx="6188710" cy="2953385"/>
            <wp:effectExtent l="0" t="0" r="2540" b="18415"/>
            <wp:docPr id="10" name="图片 10" descr="单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单位"/>
                    <pic:cNvPicPr>
                      <a:picLocks noChangeAspect="1"/>
                    </pic:cNvPicPr>
                  </pic:nvPicPr>
                  <pic:blipFill>
                    <a:blip r:embed="rId6"/>
                    <a:stretch>
                      <a:fillRect/>
                    </a:stretch>
                  </pic:blipFill>
                  <pic:spPr>
                    <a:xfrm>
                      <a:off x="0" y="0"/>
                      <a:ext cx="6188710" cy="2953385"/>
                    </a:xfrm>
                    <a:prstGeom prst="rect">
                      <a:avLst/>
                    </a:prstGeom>
                  </pic:spPr>
                </pic:pic>
              </a:graphicData>
            </a:graphic>
          </wp:inline>
        </w:drawing>
      </w:r>
    </w:p>
    <w:p>
      <w:pPr>
        <w:numPr>
          <w:ilvl w:val="0"/>
          <w:numId w:val="0"/>
        </w:numPr>
        <w:ind w:leftChars="0"/>
        <w:jc w:val="left"/>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三、</w:t>
      </w:r>
      <w:r>
        <w:rPr>
          <w:rFonts w:hint="eastAsia" w:ascii="仿宋_GB2312" w:hAnsi="宋体" w:eastAsia="仿宋_GB2312" w:cs="仿宋_GB2312"/>
          <w:sz w:val="32"/>
          <w:szCs w:val="32"/>
        </w:rPr>
        <w:t>《部门支出总表》</w:t>
      </w:r>
    </w:p>
    <w:p>
      <w:pPr>
        <w:pStyle w:val="2"/>
        <w:numPr>
          <w:ilvl w:val="0"/>
          <w:numId w:val="0"/>
        </w:numPr>
        <w:ind w:leftChars="0"/>
        <w:rPr>
          <w:rFonts w:hint="eastAsia" w:eastAsia="宋体"/>
          <w:lang w:eastAsia="zh-CN"/>
        </w:rPr>
      </w:pPr>
      <w:r>
        <w:rPr>
          <w:rFonts w:hint="eastAsia" w:eastAsia="宋体"/>
          <w:lang w:eastAsia="zh-CN"/>
        </w:rPr>
        <w:drawing>
          <wp:inline distT="0" distB="0" distL="114300" distR="114300">
            <wp:extent cx="6186170" cy="3999230"/>
            <wp:effectExtent l="0" t="0" r="5080" b="1270"/>
            <wp:docPr id="11" name="图片 11" descr="支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支出"/>
                    <pic:cNvPicPr>
                      <a:picLocks noChangeAspect="1"/>
                    </pic:cNvPicPr>
                  </pic:nvPicPr>
                  <pic:blipFill>
                    <a:blip r:embed="rId7"/>
                    <a:stretch>
                      <a:fillRect/>
                    </a:stretch>
                  </pic:blipFill>
                  <pic:spPr>
                    <a:xfrm>
                      <a:off x="0" y="0"/>
                      <a:ext cx="6186170" cy="3999230"/>
                    </a:xfrm>
                    <a:prstGeom prst="rect">
                      <a:avLst/>
                    </a:prstGeom>
                  </pic:spPr>
                </pic:pic>
              </a:graphicData>
            </a:graphic>
          </wp:inline>
        </w:drawing>
      </w:r>
    </w:p>
    <w:p>
      <w:pPr>
        <w:pStyle w:val="2"/>
        <w:rPr>
          <w:rFonts w:hint="eastAsia" w:ascii="仿宋" w:hAnsi="仿宋" w:eastAsia="仿宋" w:cs="仿宋"/>
          <w:sz w:val="32"/>
          <w:szCs w:val="32"/>
        </w:rPr>
      </w:pPr>
      <w:r>
        <w:rPr>
          <w:rFonts w:hint="eastAsia" w:ascii="仿宋" w:hAnsi="仿宋" w:eastAsia="仿宋" w:cs="仿宋"/>
          <w:sz w:val="32"/>
          <w:szCs w:val="32"/>
        </w:rPr>
        <w:t>四、《财政拨款收支总表》</w:t>
      </w:r>
    </w:p>
    <w:p>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6185535" cy="3659505"/>
            <wp:effectExtent l="0" t="0" r="5715" b="17145"/>
            <wp:docPr id="12" name="图片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
                    <pic:cNvPicPr>
                      <a:picLocks noChangeAspect="1"/>
                    </pic:cNvPicPr>
                  </pic:nvPicPr>
                  <pic:blipFill>
                    <a:blip r:embed="rId8"/>
                    <a:stretch>
                      <a:fillRect/>
                    </a:stretch>
                  </pic:blipFill>
                  <pic:spPr>
                    <a:xfrm>
                      <a:off x="0" y="0"/>
                      <a:ext cx="6185535" cy="3659505"/>
                    </a:xfrm>
                    <a:prstGeom prst="rect">
                      <a:avLst/>
                    </a:prstGeom>
                  </pic:spPr>
                </pic:pic>
              </a:graphicData>
            </a:graphic>
          </wp:inline>
        </w:drawing>
      </w:r>
    </w:p>
    <w:p>
      <w:pPr>
        <w:pStyle w:val="2"/>
      </w:pPr>
    </w:p>
    <w:p>
      <w:pPr>
        <w:pStyle w:val="2"/>
        <w:numPr>
          <w:ilvl w:val="0"/>
          <w:numId w:val="4"/>
        </w:numPr>
        <w:rPr>
          <w:rFonts w:hint="eastAsia" w:ascii="仿宋" w:hAnsi="仿宋" w:eastAsia="仿宋" w:cs="仿宋"/>
          <w:sz w:val="32"/>
          <w:szCs w:val="32"/>
        </w:rPr>
      </w:pPr>
      <w:r>
        <w:rPr>
          <w:rFonts w:hint="eastAsia" w:ascii="仿宋" w:hAnsi="仿宋" w:eastAsia="仿宋" w:cs="仿宋"/>
          <w:sz w:val="32"/>
          <w:szCs w:val="32"/>
        </w:rPr>
        <w:t>《一般公共预算支出表》</w:t>
      </w:r>
    </w:p>
    <w:p>
      <w:pPr>
        <w:pStyle w:val="2"/>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6188075" cy="4206875"/>
            <wp:effectExtent l="0" t="0" r="3175" b="3175"/>
            <wp:docPr id="14" name="图片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
                    <pic:cNvPicPr>
                      <a:picLocks noChangeAspect="1"/>
                    </pic:cNvPicPr>
                  </pic:nvPicPr>
                  <pic:blipFill>
                    <a:blip r:embed="rId9"/>
                    <a:stretch>
                      <a:fillRect/>
                    </a:stretch>
                  </pic:blipFill>
                  <pic:spPr>
                    <a:xfrm>
                      <a:off x="0" y="0"/>
                      <a:ext cx="6188075" cy="4206875"/>
                    </a:xfrm>
                    <a:prstGeom prst="rect">
                      <a:avLst/>
                    </a:prstGeom>
                  </pic:spPr>
                </pic:pic>
              </a:graphicData>
            </a:graphic>
          </wp:inline>
        </w:drawing>
      </w:r>
    </w:p>
    <w:p>
      <w:pPr>
        <w:pStyle w:val="2"/>
      </w:pPr>
    </w:p>
    <w:p>
      <w:pPr>
        <w:pStyle w:val="2"/>
        <w:numPr>
          <w:ilvl w:val="0"/>
          <w:numId w:val="5"/>
        </w:numPr>
        <w:rPr>
          <w:rFonts w:ascii="仿宋" w:hAnsi="仿宋" w:eastAsia="仿宋" w:cs="仿宋"/>
          <w:sz w:val="32"/>
          <w:szCs w:val="32"/>
        </w:rPr>
      </w:pPr>
      <w:r>
        <w:rPr>
          <w:rFonts w:hint="eastAsia" w:ascii="仿宋" w:hAnsi="仿宋" w:eastAsia="仿宋" w:cs="仿宋"/>
          <w:sz w:val="32"/>
          <w:szCs w:val="32"/>
        </w:rPr>
        <w:t>《一般公共预算基本支出表》</w:t>
      </w:r>
    </w:p>
    <w:p>
      <w:pPr>
        <w:pStyle w:val="2"/>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6182995" cy="4077335"/>
            <wp:effectExtent l="0" t="0" r="8255" b="18415"/>
            <wp:docPr id="15" name="图片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
                    <pic:cNvPicPr>
                      <a:picLocks noChangeAspect="1"/>
                    </pic:cNvPicPr>
                  </pic:nvPicPr>
                  <pic:blipFill>
                    <a:blip r:embed="rId10"/>
                    <a:stretch>
                      <a:fillRect/>
                    </a:stretch>
                  </pic:blipFill>
                  <pic:spPr>
                    <a:xfrm>
                      <a:off x="0" y="0"/>
                      <a:ext cx="6182995" cy="4077335"/>
                    </a:xfrm>
                    <a:prstGeom prst="rect">
                      <a:avLst/>
                    </a:prstGeom>
                  </pic:spPr>
                </pic:pic>
              </a:graphicData>
            </a:graphic>
          </wp:inline>
        </w:drawing>
      </w:r>
    </w:p>
    <w:p>
      <w:pPr>
        <w:pStyle w:val="2"/>
        <w:rPr>
          <w:rFonts w:ascii="仿宋" w:hAnsi="仿宋" w:eastAsia="仿宋" w:cs="仿宋"/>
          <w:sz w:val="32"/>
          <w:szCs w:val="32"/>
        </w:rPr>
      </w:pPr>
    </w:p>
    <w:p>
      <w:pPr>
        <w:pStyle w:val="2"/>
        <w:numPr>
          <w:ilvl w:val="0"/>
          <w:numId w:val="5"/>
        </w:numPr>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《一般公共预算“三公”经费支出表》</w:t>
      </w:r>
    </w:p>
    <w:p>
      <w:pPr>
        <w:pStyle w:val="2"/>
        <w:numPr>
          <w:ilvl w:val="0"/>
          <w:numId w:val="0"/>
        </w:numPr>
        <w:ind w:leftChars="0"/>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6182360" cy="819785"/>
            <wp:effectExtent l="0" t="0" r="8890" b="18415"/>
            <wp:docPr id="1" name="图片 1" descr="三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公"/>
                    <pic:cNvPicPr>
                      <a:picLocks noChangeAspect="1"/>
                    </pic:cNvPicPr>
                  </pic:nvPicPr>
                  <pic:blipFill>
                    <a:blip r:embed="rId11"/>
                    <a:stretch>
                      <a:fillRect/>
                    </a:stretch>
                  </pic:blipFill>
                  <pic:spPr>
                    <a:xfrm>
                      <a:off x="0" y="0"/>
                      <a:ext cx="6182360" cy="819785"/>
                    </a:xfrm>
                    <a:prstGeom prst="rect">
                      <a:avLst/>
                    </a:prstGeom>
                  </pic:spPr>
                </pic:pic>
              </a:graphicData>
            </a:graphic>
          </wp:inline>
        </w:drawing>
      </w:r>
    </w:p>
    <w:p>
      <w:pPr>
        <w:pStyle w:val="2"/>
      </w:pPr>
    </w:p>
    <w:p>
      <w:pPr>
        <w:pStyle w:val="2"/>
        <w:numPr>
          <w:ilvl w:val="0"/>
          <w:numId w:val="5"/>
        </w:numPr>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《政府性基金预算支出表》</w:t>
      </w:r>
    </w:p>
    <w:p>
      <w:pPr>
        <w:pStyle w:val="2"/>
        <w:numPr>
          <w:ilvl w:val="0"/>
          <w:numId w:val="0"/>
        </w:numPr>
        <w:ind w:leftChars="0"/>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6181725" cy="1268095"/>
            <wp:effectExtent l="0" t="0" r="9525" b="8255"/>
            <wp:docPr id="16" name="图片 1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8"/>
                    <pic:cNvPicPr>
                      <a:picLocks noChangeAspect="1"/>
                    </pic:cNvPicPr>
                  </pic:nvPicPr>
                  <pic:blipFill>
                    <a:blip r:embed="rId12"/>
                    <a:stretch>
                      <a:fillRect/>
                    </a:stretch>
                  </pic:blipFill>
                  <pic:spPr>
                    <a:xfrm>
                      <a:off x="0" y="0"/>
                      <a:ext cx="6181725" cy="1268095"/>
                    </a:xfrm>
                    <a:prstGeom prst="rect">
                      <a:avLst/>
                    </a:prstGeom>
                  </pic:spPr>
                </pic:pic>
              </a:graphicData>
            </a:graphic>
          </wp:inline>
        </w:drawing>
      </w:r>
    </w:p>
    <w:p>
      <w:pPr>
        <w:pStyle w:val="2"/>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rFonts w:hint="eastAsia"/>
          <w:lang w:val="en-US" w:eastAsia="zh-CN"/>
        </w:rPr>
      </w:pPr>
    </w:p>
    <w:p>
      <w:pPr>
        <w:rPr>
          <w:rFonts w:ascii="仿宋_GB2312" w:eastAsia="仿宋_GB2312" w:cs="Times New Roman"/>
          <w:sz w:val="32"/>
          <w:szCs w:val="32"/>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7</w:t>
    </w:r>
    <w:r>
      <w:rPr>
        <w:rStyle w:val="12"/>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F15DE"/>
    <w:multiLevelType w:val="singleLevel"/>
    <w:tmpl w:val="ABEF15DE"/>
    <w:lvl w:ilvl="0" w:tentative="0">
      <w:start w:val="5"/>
      <w:numFmt w:val="chineseCounting"/>
      <w:suff w:val="nothing"/>
      <w:lvlText w:val="%1、"/>
      <w:lvlJc w:val="left"/>
      <w:rPr>
        <w:rFonts w:hint="eastAsia"/>
      </w:rPr>
    </w:lvl>
  </w:abstractNum>
  <w:abstractNum w:abstractNumId="1">
    <w:nsid w:val="F488B8F7"/>
    <w:multiLevelType w:val="singleLevel"/>
    <w:tmpl w:val="F488B8F7"/>
    <w:lvl w:ilvl="0" w:tentative="0">
      <w:start w:val="1"/>
      <w:numFmt w:val="chineseCounting"/>
      <w:suff w:val="nothing"/>
      <w:lvlText w:val="%1、"/>
      <w:lvlJc w:val="left"/>
      <w:rPr>
        <w:rFonts w:hint="eastAsia"/>
      </w:rPr>
    </w:lvl>
  </w:abstractNum>
  <w:abstractNum w:abstractNumId="2">
    <w:nsid w:val="0949A9DE"/>
    <w:multiLevelType w:val="singleLevel"/>
    <w:tmpl w:val="0949A9DE"/>
    <w:lvl w:ilvl="0" w:tentative="0">
      <w:start w:val="6"/>
      <w:numFmt w:val="chineseCounting"/>
      <w:suff w:val="nothing"/>
      <w:lvlText w:val="%1、"/>
      <w:lvlJc w:val="left"/>
      <w:rPr>
        <w:rFonts w:hint="eastAsia"/>
      </w:rPr>
    </w:lvl>
  </w:abstractNum>
  <w:abstractNum w:abstractNumId="3">
    <w:nsid w:val="32601AC1"/>
    <w:multiLevelType w:val="singleLevel"/>
    <w:tmpl w:val="32601AC1"/>
    <w:lvl w:ilvl="0" w:tentative="0">
      <w:start w:val="2"/>
      <w:numFmt w:val="chineseCounting"/>
      <w:suff w:val="nothing"/>
      <w:lvlText w:val="%1、"/>
      <w:lvlJc w:val="left"/>
      <w:rPr>
        <w:rFonts w:hint="eastAsia"/>
      </w:rPr>
    </w:lvl>
  </w:abstractNum>
  <w:abstractNum w:abstractNumId="4">
    <w:nsid w:val="59A778CA"/>
    <w:multiLevelType w:val="singleLevel"/>
    <w:tmpl w:val="59A778CA"/>
    <w:lvl w:ilvl="0" w:tentative="0">
      <w:start w:val="4"/>
      <w:numFmt w:val="chineseCounting"/>
      <w:suff w:val="nothing"/>
      <w:lvlText w:val="（%1）"/>
      <w:lvlJc w:val="left"/>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19076E1D"/>
    <w:rsid w:val="000429DB"/>
    <w:rsid w:val="00066060"/>
    <w:rsid w:val="00437CF6"/>
    <w:rsid w:val="00516A72"/>
    <w:rsid w:val="00675E17"/>
    <w:rsid w:val="00683AC4"/>
    <w:rsid w:val="00776717"/>
    <w:rsid w:val="008110CC"/>
    <w:rsid w:val="00B358C5"/>
    <w:rsid w:val="00C04C9A"/>
    <w:rsid w:val="00CB427A"/>
    <w:rsid w:val="00F500B9"/>
    <w:rsid w:val="00F607AB"/>
    <w:rsid w:val="01992CBB"/>
    <w:rsid w:val="022502CD"/>
    <w:rsid w:val="05EB1609"/>
    <w:rsid w:val="08EE0B31"/>
    <w:rsid w:val="0A326819"/>
    <w:rsid w:val="0CBF216E"/>
    <w:rsid w:val="0FCB58D0"/>
    <w:rsid w:val="11427CB1"/>
    <w:rsid w:val="139E3D52"/>
    <w:rsid w:val="162B4B72"/>
    <w:rsid w:val="18AC060B"/>
    <w:rsid w:val="19076E1D"/>
    <w:rsid w:val="1A9B406C"/>
    <w:rsid w:val="1C276165"/>
    <w:rsid w:val="1D427FAF"/>
    <w:rsid w:val="1EBD751D"/>
    <w:rsid w:val="1F117155"/>
    <w:rsid w:val="204B45CE"/>
    <w:rsid w:val="246E2B8F"/>
    <w:rsid w:val="25705B71"/>
    <w:rsid w:val="2DBB222D"/>
    <w:rsid w:val="2F404470"/>
    <w:rsid w:val="31D40AAE"/>
    <w:rsid w:val="381119B2"/>
    <w:rsid w:val="3A0A0A8A"/>
    <w:rsid w:val="3BD871B8"/>
    <w:rsid w:val="3CF55A87"/>
    <w:rsid w:val="3ECB6DDB"/>
    <w:rsid w:val="429A727D"/>
    <w:rsid w:val="4322216B"/>
    <w:rsid w:val="4C0B38BC"/>
    <w:rsid w:val="4C0B7195"/>
    <w:rsid w:val="4D3B293C"/>
    <w:rsid w:val="51B40312"/>
    <w:rsid w:val="56552A05"/>
    <w:rsid w:val="57CC144D"/>
    <w:rsid w:val="61641E37"/>
    <w:rsid w:val="62714DD7"/>
    <w:rsid w:val="62B20F12"/>
    <w:rsid w:val="63973295"/>
    <w:rsid w:val="641E7445"/>
    <w:rsid w:val="71452C49"/>
    <w:rsid w:val="716D1404"/>
    <w:rsid w:val="73224148"/>
    <w:rsid w:val="73584830"/>
    <w:rsid w:val="772860B1"/>
    <w:rsid w:val="777107C9"/>
    <w:rsid w:val="782566B5"/>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4"/>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5">
    <w:name w:val="Balloon Text"/>
    <w:basedOn w:val="1"/>
    <w:link w:val="16"/>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qFormat/>
    <w:uiPriority w:val="0"/>
    <w:rPr>
      <w:sz w:val="24"/>
    </w:rPr>
  </w:style>
  <w:style w:type="character" w:styleId="12">
    <w:name w:val="page number"/>
    <w:basedOn w:val="11"/>
    <w:qFormat/>
    <w:uiPriority w:val="99"/>
  </w:style>
  <w:style w:type="character" w:styleId="13">
    <w:name w:val="Hyperlink"/>
    <w:basedOn w:val="11"/>
    <w:qFormat/>
    <w:uiPriority w:val="99"/>
    <w:rPr>
      <w:rFonts w:cs="Times New Roman"/>
      <w:color w:val="0000FF"/>
      <w:u w:val="single"/>
    </w:rPr>
  </w:style>
  <w:style w:type="character" w:customStyle="1" w:styleId="14">
    <w:name w:val="标题 2 Char"/>
    <w:basedOn w:val="11"/>
    <w:link w:val="3"/>
    <w:semiHidden/>
    <w:qFormat/>
    <w:uiPriority w:val="9"/>
    <w:rPr>
      <w:rFonts w:asciiTheme="majorHAnsi" w:hAnsiTheme="majorHAnsi" w:eastAsiaTheme="majorEastAsia" w:cstheme="majorBidi"/>
      <w:b/>
      <w:bCs/>
      <w:sz w:val="32"/>
      <w:szCs w:val="32"/>
    </w:rPr>
  </w:style>
  <w:style w:type="character" w:customStyle="1" w:styleId="15">
    <w:name w:val="页脚 Char"/>
    <w:basedOn w:val="11"/>
    <w:link w:val="6"/>
    <w:semiHidden/>
    <w:qFormat/>
    <w:uiPriority w:val="99"/>
    <w:rPr>
      <w:rFonts w:cs="Calibri"/>
      <w:sz w:val="18"/>
      <w:szCs w:val="18"/>
    </w:rPr>
  </w:style>
  <w:style w:type="character" w:customStyle="1" w:styleId="16">
    <w:name w:val="批注框文本 Char"/>
    <w:basedOn w:val="11"/>
    <w:link w:val="5"/>
    <w:semiHidden/>
    <w:qFormat/>
    <w:uiPriority w:val="99"/>
    <w:rPr>
      <w:rFonts w:ascii="Calibri" w:hAnsi="Calibri" w:cs="Calibri"/>
      <w:kern w:val="2"/>
      <w:sz w:val="18"/>
      <w:szCs w:val="18"/>
    </w:rPr>
  </w:style>
  <w:style w:type="character" w:customStyle="1" w:styleId="17">
    <w:name w:val="页眉 Char"/>
    <w:basedOn w:val="11"/>
    <w:link w:val="7"/>
    <w:qFormat/>
    <w:uiPriority w:val="99"/>
    <w:rPr>
      <w:rFonts w:ascii="Calibri" w:hAnsi="Calibri" w:cs="Calibri"/>
      <w:kern w:val="2"/>
      <w:sz w:val="18"/>
      <w:szCs w:val="18"/>
    </w:rPr>
  </w:style>
  <w:style w:type="paragraph" w:styleId="18">
    <w:name w:val="List Paragraph"/>
    <w:basedOn w:val="1"/>
    <w:qFormat/>
    <w:uiPriority w:val="34"/>
    <w:pPr>
      <w:adjustRightInd w:val="0"/>
      <w:snapToGrid w:val="0"/>
      <w:spacing w:after="200"/>
      <w:ind w:firstLine="420" w:firstLineChars="200"/>
    </w:pPr>
    <w:rPr>
      <w:rFonts w:ascii="Tahoma" w:hAnsi="Tahoma" w:eastAsia="微软雅黑"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3338</Words>
  <Characters>3689</Characters>
  <Lines>17</Lines>
  <Paragraphs>9</Paragraphs>
  <TotalTime>0</TotalTime>
  <ScaleCrop>false</ScaleCrop>
  <LinksUpToDate>false</LinksUpToDate>
  <CharactersWithSpaces>3755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2022-03-11T02:56:00Z</dcterms:created>
  <dc:creator>Administrator</dc:creator>
  <cp:lastModifiedBy>Administrator</cp:lastModifiedBy>
  <cp:lastPrinted>2021-05-26T02:23:00Z</cp:lastPrinted>
  <dcterms:modified xsi:type="dcterms:W3CDTF">2024-07-02T05:00:22Z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96EA1E0F2BBF4C8FBF3BCDEDBF5A9E74_13</vt:lpwstr>
  </property>
</Properties>
</file>