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D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景德镇市珠山区红十字会</w:t>
      </w:r>
      <w:r>
        <w:rPr>
          <w:rFonts w:hint="eastAsia" w:ascii="微软雅黑" w:hAnsi="微软雅黑" w:eastAsia="微软雅黑" w:cs="微软雅黑"/>
          <w:b/>
          <w:bCs/>
          <w:caps w:val="0"/>
          <w:color w:val="333333"/>
          <w:spacing w:val="0"/>
          <w:sz w:val="31"/>
          <w:szCs w:val="31"/>
          <w:shd w:val="clear" w:color="auto" w:fill="FFFFFF"/>
        </w:rPr>
        <w:t>2023年部门预算公开</w:t>
      </w:r>
    </w:p>
    <w:p w14:paraId="6EF73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14:paraId="6CE86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概况</w:t>
      </w:r>
    </w:p>
    <w:p w14:paraId="08890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14:paraId="3F8D1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14:paraId="7697C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2023年部门预算情况说明</w:t>
      </w:r>
    </w:p>
    <w:p w14:paraId="31795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14:paraId="5295F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14:paraId="5DE6A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14:paraId="507CD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14:paraId="189DF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14:paraId="0582FC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14:paraId="6DA45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14:paraId="57358D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14:paraId="104399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14:paraId="644D6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14:paraId="40CA04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2023年部门预算表</w:t>
      </w:r>
    </w:p>
    <w:p w14:paraId="71B73B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14:paraId="44233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14:paraId="157C6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14:paraId="56853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14:paraId="57F179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14:paraId="0FBD85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14:paraId="51FF86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14:paraId="768EE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14:paraId="69D5E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14:paraId="7FE28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14:paraId="2DABD0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p>
    <w:p w14:paraId="72276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2FD44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概况</w:t>
      </w:r>
    </w:p>
    <w:p w14:paraId="709902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14:paraId="1E865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1、组织贯彻实施《中华人民共和国红十字会法》，执行《中国红十字会章程》。</w:t>
      </w:r>
    </w:p>
    <w:p w14:paraId="241CB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2、在自然灾害和突发事件中，开展救灾募捐工作。</w:t>
      </w:r>
    </w:p>
    <w:p w14:paraId="358E4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3、开展人道领域内的社区服务和社会公益活动，参加国际人道主义救助工作。</w:t>
      </w:r>
    </w:p>
    <w:p w14:paraId="3B1C6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4、开展与国际红十字会组织和全国红十字会的友好合作与交流，并依照有关规定开展工作。 </w:t>
      </w:r>
    </w:p>
    <w:p w14:paraId="03BB3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5、开展有益于青少年身心健康的、弘扬人道主义精神的红十字会青少年活动。</w:t>
      </w:r>
    </w:p>
    <w:p w14:paraId="1A673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6、普及卫生救护和防病知识，组织群众参加现场救护；依据《中华人民共和国献血法》的规定，推动无偿献血工作。</w:t>
      </w:r>
    </w:p>
    <w:p w14:paraId="00841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完成区委、区政府交办的其它工作。</w:t>
      </w:r>
    </w:p>
    <w:p w14:paraId="0E7C3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二、部门基本情况</w:t>
      </w:r>
    </w:p>
    <w:p w14:paraId="4B56E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共有预算单位</w:t>
      </w:r>
      <w:r>
        <w:rPr>
          <w:rFonts w:hint="eastAsia" w:ascii="仿宋" w:hAnsi="仿宋" w:eastAsia="仿宋" w:cs="仿宋"/>
          <w:caps w:val="0"/>
          <w:color w:val="333333"/>
          <w:spacing w:val="0"/>
          <w:sz w:val="30"/>
          <w:szCs w:val="30"/>
          <w:shd w:val="clear" w:color="auto" w:fill="FFFFFF"/>
          <w:lang w:val="en-US" w:eastAsia="zh-CN"/>
        </w:rPr>
        <w:t>1</w:t>
      </w:r>
      <w:r>
        <w:rPr>
          <w:rFonts w:hint="eastAsia" w:ascii="仿宋" w:hAnsi="仿宋" w:eastAsia="仿宋" w:cs="仿宋"/>
          <w:caps w:val="0"/>
          <w:color w:val="333333"/>
          <w:spacing w:val="0"/>
          <w:sz w:val="30"/>
          <w:szCs w:val="30"/>
          <w:shd w:val="clear" w:color="auto" w:fill="FFFFFF"/>
        </w:rPr>
        <w:t>个，即部门本级。编制数为</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人，其中：行政编制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人、参照公务员管理事业编制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人、全额补助事业编制</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人。实有人数</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人，其中：在职</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人，包括行政</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人、参照公务员管理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人；退休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w:t>
      </w:r>
    </w:p>
    <w:p w14:paraId="1477B1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2023年部门预算情况说明</w:t>
      </w:r>
    </w:p>
    <w:p w14:paraId="394394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14:paraId="75B1AE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14:paraId="67BD1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收入预算总额为35.</w:t>
      </w:r>
      <w:r>
        <w:rPr>
          <w:rFonts w:hint="eastAsia" w:ascii="仿宋" w:hAnsi="仿宋" w:eastAsia="仿宋" w:cs="仿宋"/>
          <w:caps w:val="0"/>
          <w:color w:val="333333"/>
          <w:spacing w:val="0"/>
          <w:sz w:val="30"/>
          <w:szCs w:val="30"/>
          <w:shd w:val="clear" w:color="auto" w:fill="FFFFFF"/>
          <w:lang w:val="en-US" w:eastAsia="zh-CN"/>
        </w:rPr>
        <w:t>46</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增加0.49</w:t>
      </w:r>
      <w:r>
        <w:rPr>
          <w:rFonts w:hint="eastAsia" w:ascii="仿宋" w:hAnsi="仿宋" w:eastAsia="仿宋" w:cs="仿宋"/>
          <w:caps w:val="0"/>
          <w:color w:val="333333"/>
          <w:spacing w:val="0"/>
          <w:sz w:val="30"/>
          <w:szCs w:val="30"/>
          <w:shd w:val="clear" w:color="auto" w:fill="FFFFFF"/>
        </w:rPr>
        <w:t>万元，主要原因是增加了工资福利预算经费。其中：当年财政拨款收入</w:t>
      </w:r>
      <w:r>
        <w:rPr>
          <w:rFonts w:hint="eastAsia" w:ascii="仿宋" w:hAnsi="仿宋" w:eastAsia="仿宋" w:cs="仿宋"/>
          <w:caps w:val="0"/>
          <w:color w:val="333333"/>
          <w:spacing w:val="0"/>
          <w:sz w:val="30"/>
          <w:szCs w:val="30"/>
          <w:shd w:val="clear" w:color="auto" w:fill="FFFFFF"/>
          <w:lang w:val="en-US" w:eastAsia="zh-CN"/>
        </w:rPr>
        <w:t>35.46</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49143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14:paraId="41D80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支出预算总额为35.</w:t>
      </w:r>
      <w:r>
        <w:rPr>
          <w:rFonts w:hint="eastAsia" w:ascii="仿宋" w:hAnsi="仿宋" w:eastAsia="仿宋" w:cs="仿宋"/>
          <w:caps w:val="0"/>
          <w:color w:val="333333"/>
          <w:spacing w:val="0"/>
          <w:sz w:val="30"/>
          <w:szCs w:val="30"/>
          <w:shd w:val="clear" w:color="auto" w:fill="FFFFFF"/>
          <w:lang w:val="en-US" w:eastAsia="zh-CN"/>
        </w:rPr>
        <w:t>46</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0.49</w:t>
      </w:r>
      <w:r>
        <w:rPr>
          <w:rFonts w:hint="eastAsia" w:ascii="仿宋" w:hAnsi="仿宋" w:eastAsia="仿宋" w:cs="仿宋"/>
          <w:caps w:val="0"/>
          <w:color w:val="333333"/>
          <w:spacing w:val="0"/>
          <w:sz w:val="30"/>
          <w:szCs w:val="30"/>
          <w:shd w:val="clear" w:color="auto" w:fill="FFFFFF"/>
        </w:rPr>
        <w:t>万元，主要原因是增加了工资福利预算经费。其中：按支出项目类别划分：基本支出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31.66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89.28</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29.89</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1.77</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3.8</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10.72</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3.8</w:t>
      </w:r>
      <w:r>
        <w:rPr>
          <w:rFonts w:hint="eastAsia" w:ascii="仿宋" w:hAnsi="仿宋" w:eastAsia="仿宋" w:cs="仿宋"/>
          <w:caps w:val="0"/>
          <w:color w:val="333333"/>
          <w:spacing w:val="0"/>
          <w:sz w:val="30"/>
          <w:szCs w:val="30"/>
          <w:shd w:val="clear" w:color="auto" w:fill="FFFFFF"/>
        </w:rPr>
        <w:t>万元、对个人和家庭的补助0.00万元、其他资本性支出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198CF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按支出功能项目科目划分：社会保障和就业支出</w:t>
      </w:r>
      <w:r>
        <w:rPr>
          <w:rFonts w:hint="eastAsia" w:ascii="仿宋" w:hAnsi="仿宋" w:eastAsia="仿宋" w:cs="仿宋"/>
          <w:caps w:val="0"/>
          <w:color w:val="333333"/>
          <w:spacing w:val="0"/>
          <w:sz w:val="30"/>
          <w:szCs w:val="30"/>
          <w:shd w:val="clear" w:color="auto" w:fill="FFFFFF"/>
          <w:lang w:val="en-US" w:eastAsia="zh-CN"/>
        </w:rPr>
        <w:t>31.14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87.82</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3.86</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8.35</w:t>
      </w:r>
      <w:r>
        <w:rPr>
          <w:rFonts w:hint="eastAsia" w:ascii="仿宋" w:hAnsi="仿宋" w:eastAsia="仿宋" w:cs="仿宋"/>
          <w:caps w:val="0"/>
          <w:color w:val="333333"/>
          <w:spacing w:val="0"/>
          <w:sz w:val="30"/>
          <w:szCs w:val="30"/>
          <w:shd w:val="clear" w:color="auto" w:fill="FFFFFF"/>
        </w:rPr>
        <w:t>％。</w:t>
      </w:r>
    </w:p>
    <w:p w14:paraId="5B4B2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29.89</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84.29</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5.57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15.71</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w:t>
      </w:r>
    </w:p>
    <w:p w14:paraId="34A00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14:paraId="50CBA0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财政拨款支出预算35.</w:t>
      </w:r>
      <w:r>
        <w:rPr>
          <w:rFonts w:hint="eastAsia" w:ascii="仿宋" w:hAnsi="仿宋" w:eastAsia="仿宋" w:cs="仿宋"/>
          <w:caps w:val="0"/>
          <w:color w:val="333333"/>
          <w:spacing w:val="0"/>
          <w:sz w:val="30"/>
          <w:szCs w:val="30"/>
          <w:shd w:val="clear" w:color="auto" w:fill="FFFFFF"/>
          <w:lang w:val="en-US" w:eastAsia="zh-CN"/>
        </w:rPr>
        <w:t>46</w:t>
      </w:r>
      <w:r>
        <w:rPr>
          <w:rFonts w:hint="eastAsia" w:ascii="仿宋" w:hAnsi="仿宋" w:eastAsia="仿宋" w:cs="仿宋"/>
          <w:caps w:val="0"/>
          <w:color w:val="333333"/>
          <w:spacing w:val="0"/>
          <w:sz w:val="30"/>
          <w:szCs w:val="30"/>
          <w:shd w:val="clear" w:color="auto" w:fill="FFFFFF"/>
        </w:rPr>
        <w:t>万元，占支出预算总额的100％，与上年预算相比增加</w:t>
      </w:r>
      <w:r>
        <w:rPr>
          <w:rFonts w:hint="eastAsia" w:ascii="仿宋" w:hAnsi="仿宋" w:eastAsia="仿宋" w:cs="仿宋"/>
          <w:caps w:val="0"/>
          <w:color w:val="333333"/>
          <w:spacing w:val="0"/>
          <w:sz w:val="30"/>
          <w:szCs w:val="30"/>
          <w:shd w:val="clear" w:color="auto" w:fill="FFFFFF"/>
          <w:lang w:val="en-US" w:eastAsia="zh-CN"/>
        </w:rPr>
        <w:t>0.49</w:t>
      </w:r>
      <w:r>
        <w:rPr>
          <w:rFonts w:hint="eastAsia" w:ascii="仿宋" w:hAnsi="仿宋" w:eastAsia="仿宋" w:cs="仿宋"/>
          <w:caps w:val="0"/>
          <w:color w:val="333333"/>
          <w:spacing w:val="0"/>
          <w:sz w:val="30"/>
          <w:szCs w:val="30"/>
          <w:shd w:val="clear" w:color="auto" w:fill="FFFFFF"/>
        </w:rPr>
        <w:t>万元，主要原因是增加了工资福利预算经费。具体支出情况是：社会保障和就业支出</w:t>
      </w:r>
      <w:r>
        <w:rPr>
          <w:rFonts w:hint="eastAsia" w:ascii="仿宋" w:hAnsi="仿宋" w:eastAsia="仿宋" w:cs="仿宋"/>
          <w:caps w:val="0"/>
          <w:color w:val="333333"/>
          <w:spacing w:val="0"/>
          <w:sz w:val="30"/>
          <w:szCs w:val="30"/>
          <w:shd w:val="clear" w:color="auto" w:fill="FFFFFF"/>
          <w:lang w:val="en-US" w:eastAsia="zh-CN"/>
        </w:rPr>
        <w:t>31.14</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87.82</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3.86</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8.35</w:t>
      </w:r>
      <w:r>
        <w:rPr>
          <w:rFonts w:hint="eastAsia" w:ascii="仿宋" w:hAnsi="仿宋" w:eastAsia="仿宋" w:cs="仿宋"/>
          <w:caps w:val="0"/>
          <w:color w:val="333333"/>
          <w:spacing w:val="0"/>
          <w:sz w:val="30"/>
          <w:szCs w:val="30"/>
          <w:shd w:val="clear" w:color="auto" w:fill="FFFFFF"/>
        </w:rPr>
        <w:t>％。</w:t>
      </w:r>
    </w:p>
    <w:p w14:paraId="34F8E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14:paraId="23AE20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6E5AB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14:paraId="22434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14:paraId="735779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14:paraId="225F8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35.46</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0.49</w:t>
      </w:r>
      <w:r>
        <w:rPr>
          <w:rFonts w:hint="eastAsia" w:ascii="仿宋" w:hAnsi="仿宋" w:eastAsia="仿宋" w:cs="仿宋"/>
          <w:caps w:val="0"/>
          <w:color w:val="333333"/>
          <w:spacing w:val="0"/>
          <w:sz w:val="30"/>
          <w:szCs w:val="30"/>
          <w:shd w:val="clear" w:color="auto" w:fill="FFFFFF"/>
        </w:rPr>
        <w:t>万元，主要原因是增加了工资福利预算经费。</w:t>
      </w:r>
    </w:p>
    <w:p w14:paraId="6E21B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14:paraId="1709A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万元以上通用设备台0　（套）；单位价值100万元以上专用设备台0（套）。</w:t>
      </w:r>
    </w:p>
    <w:p w14:paraId="0A860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14:paraId="778C65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2023年部门整体绩效目标根据</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12713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14:paraId="1528E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2023年实行绩效目标管理的一级项目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万元，其中：二级项目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个（部门预算中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万元以上的，且进行了绩效评审的项目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14:paraId="3FA6FCEB">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lang w:eastAsia="zh-CN"/>
        </w:rPr>
        <w:t>珠山区红十字会</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14:paraId="2D85AC8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rPr>
      </w:pPr>
      <w:r>
        <w:rPr>
          <w:rFonts w:hint="eastAsia" w:ascii="仿宋_GB2312" w:eastAsia="仿宋_GB2312"/>
          <w:b/>
          <w:color w:val="000000"/>
          <w:sz w:val="32"/>
          <w:szCs w:val="30"/>
          <w:lang w:val="en-US" w:eastAsia="zh-CN"/>
        </w:rPr>
        <w:t>无二级项目</w:t>
      </w:r>
    </w:p>
    <w:p w14:paraId="54A79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14:paraId="29ABE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珠山区红十字会</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0.64</w:t>
      </w:r>
      <w:r>
        <w:rPr>
          <w:rFonts w:hint="eastAsia" w:ascii="仿宋" w:hAnsi="仿宋" w:eastAsia="仿宋" w:cs="仿宋"/>
          <w:caps w:val="0"/>
          <w:color w:val="333333"/>
          <w:spacing w:val="0"/>
          <w:sz w:val="30"/>
          <w:szCs w:val="30"/>
          <w:shd w:val="clear" w:color="auto" w:fill="FFFFFF"/>
        </w:rPr>
        <w:t>万元。其中：</w:t>
      </w:r>
    </w:p>
    <w:p w14:paraId="150A3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14:paraId="2D9B2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0.64</w:t>
      </w:r>
      <w:r>
        <w:rPr>
          <w:rFonts w:hint="eastAsia" w:ascii="仿宋" w:hAnsi="仿宋" w:eastAsia="仿宋" w:cs="仿宋"/>
          <w:caps w:val="0"/>
          <w:color w:val="333333"/>
          <w:spacing w:val="0"/>
          <w:sz w:val="30"/>
          <w:szCs w:val="30"/>
          <w:shd w:val="clear" w:color="auto" w:fill="FFFFFF"/>
        </w:rPr>
        <w:t>万元，比上年</w:t>
      </w:r>
      <w:r>
        <w:rPr>
          <w:rFonts w:hint="eastAsia" w:ascii="仿宋" w:hAnsi="仿宋" w:eastAsia="仿宋" w:cs="仿宋"/>
          <w:caps w:val="0"/>
          <w:color w:val="333333"/>
          <w:spacing w:val="0"/>
          <w:sz w:val="30"/>
          <w:szCs w:val="30"/>
          <w:shd w:val="clear" w:color="auto" w:fill="FFFFFF"/>
          <w:lang w:val="en-US" w:eastAsia="zh-CN"/>
        </w:rPr>
        <w:t>减少0.01</w:t>
      </w:r>
      <w:bookmarkStart w:id="0" w:name="_GoBack"/>
      <w:bookmarkEnd w:id="0"/>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val="en-US" w:eastAsia="zh-CN"/>
        </w:rPr>
        <w:t>压缩公务开支</w:t>
      </w:r>
      <w:r>
        <w:rPr>
          <w:rFonts w:hint="eastAsia" w:ascii="仿宋" w:hAnsi="仿宋" w:eastAsia="仿宋" w:cs="仿宋"/>
          <w:caps w:val="0"/>
          <w:color w:val="333333"/>
          <w:spacing w:val="0"/>
          <w:sz w:val="30"/>
          <w:szCs w:val="30"/>
          <w:shd w:val="clear" w:color="auto" w:fill="FFFFFF"/>
        </w:rPr>
        <w:t>。</w:t>
      </w:r>
    </w:p>
    <w:p w14:paraId="267CA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万元，主要原因：根据工作需求，合理安排支出。</w:t>
      </w:r>
    </w:p>
    <w:p w14:paraId="679D4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14:paraId="7232F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景德镇市珠山区红十字会</w:t>
      </w:r>
      <w:r>
        <w:rPr>
          <w:rFonts w:hint="eastAsia" w:ascii="仿宋" w:hAnsi="仿宋" w:eastAsia="仿宋" w:cs="仿宋"/>
          <w:b/>
          <w:bCs/>
          <w:caps w:val="0"/>
          <w:color w:val="333333"/>
          <w:spacing w:val="0"/>
          <w:sz w:val="30"/>
          <w:szCs w:val="30"/>
          <w:shd w:val="clear" w:color="auto" w:fill="FFFFFF"/>
        </w:rPr>
        <w:t>2023年部门预算表</w:t>
      </w:r>
    </w:p>
    <w:p w14:paraId="72701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（详见附表）</w:t>
      </w:r>
    </w:p>
    <w:p w14:paraId="5EACF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5D659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5AB4A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14:paraId="00611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14:paraId="6ABE4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14:paraId="49C85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14:paraId="16AA44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14:paraId="06AE57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14:paraId="5918F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14:paraId="6B8DC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14:paraId="64D52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14:paraId="758D8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183A8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14:paraId="010FA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7F64C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56360C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5CCA4D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6C5AC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704C5808">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FD17"/>
    <w:multiLevelType w:val="singleLevel"/>
    <w:tmpl w:val="5101FD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00000000"/>
    <w:rsid w:val="23EA1B0D"/>
    <w:rsid w:val="327F2033"/>
    <w:rsid w:val="6F3668CB"/>
    <w:rsid w:val="77A10D52"/>
    <w:rsid w:val="7ACF225C"/>
    <w:rsid w:val="7C1E6BAF"/>
    <w:rsid w:val="7D4C5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2936</Words>
  <Characters>3239</Characters>
  <Lines>0</Lines>
  <Paragraphs>0</Paragraphs>
  <TotalTime>0</TotalTime>
  <ScaleCrop>false</ScaleCrop>
  <LinksUpToDate>false</LinksUpToDate>
  <CharactersWithSpaces>3263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2023-05-22T08:15:00Z</cp:lastPrinted>
  <dcterms:modified xsi:type="dcterms:W3CDTF">2024-07-02T06:26:03Z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1AE313A63D6E436F88EF98585ADC596E_13</vt:lpwstr>
  </property>
</Properties>
</file>