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widowControl/>
        <w:shd w:val="clear" w:color="auto" w:fill="FFFFFF"/>
        <w:spacing w:before="150" w:after="150" w:line="420" w:lineRule="atLeast"/>
        <w:ind w:firstLine="630"/>
        <w:jc w:val="center"/>
        <w:rPr>
          <w:rFonts w:ascii="微软雅黑" w:hAnsi="微软雅黑" w:eastAsia="微软雅黑" w:cs="微软雅黑"/>
          <w:color w:val="333333"/>
          <w:sz w:val="31"/>
          <w:szCs w:val="31"/>
        </w:rPr>
      </w:pPr>
      <w:r>
        <w:rPr>
          <w:rFonts w:hint="eastAsia" w:ascii="微软雅黑" w:hAnsi="微软雅黑" w:eastAsia="微软雅黑" w:cs="微软雅黑"/>
          <w:b/>
          <w:bCs/>
          <w:color w:val="333333"/>
          <w:sz w:val="31"/>
          <w:szCs w:val="31"/>
          <w:shd w:val="clear" w:color="auto" w:fill="FFFFFF"/>
        </w:rPr>
        <w:t>景德镇市第二小学2023年部门预算公开</w:t>
      </w:r>
    </w:p>
    <w:p>
      <w:pPr>
        <w:pStyle w:val="8"/>
        <w:widowControl/>
        <w:shd w:val="clear" w:color="auto" w:fill="FFFFFF"/>
        <w:spacing w:before="150" w:after="150" w:line="420" w:lineRule="atLeast"/>
        <w:ind w:firstLine="630"/>
        <w:jc w:val="center"/>
        <w:rPr>
          <w:rFonts w:ascii="微软雅黑" w:hAnsi="微软雅黑" w:eastAsia="微软雅黑" w:cs="微软雅黑"/>
          <w:color w:val="333333"/>
          <w:sz w:val="31"/>
          <w:szCs w:val="31"/>
        </w:rPr>
      </w:pPr>
      <w:r>
        <w:rPr>
          <w:rFonts w:hint="eastAsia" w:ascii="微软雅黑" w:hAnsi="微软雅黑" w:eastAsia="微软雅黑" w:cs="微软雅黑"/>
          <w:b/>
          <w:bCs/>
          <w:color w:val="333333"/>
          <w:sz w:val="31"/>
          <w:szCs w:val="31"/>
          <w:shd w:val="clear" w:color="auto" w:fill="FFFFFF"/>
        </w:rPr>
        <w:t>目录</w:t>
      </w:r>
    </w:p>
    <w:p>
      <w:pPr>
        <w:pStyle w:val="8"/>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b/>
          <w:bCs/>
          <w:color w:val="333333"/>
          <w:sz w:val="30"/>
          <w:szCs w:val="30"/>
          <w:shd w:val="clear" w:color="auto" w:fill="FFFFFF"/>
        </w:rPr>
        <w:t>第一部分景德镇市第二小学概况</w:t>
      </w:r>
    </w:p>
    <w:p>
      <w:pPr>
        <w:pStyle w:val="8"/>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    一、部门主要职责</w:t>
      </w:r>
    </w:p>
    <w:p>
      <w:pPr>
        <w:pStyle w:val="8"/>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    二、部门机构设置情况</w:t>
      </w:r>
    </w:p>
    <w:p>
      <w:pPr>
        <w:pStyle w:val="8"/>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b/>
          <w:bCs/>
          <w:color w:val="333333"/>
          <w:sz w:val="30"/>
          <w:szCs w:val="30"/>
          <w:shd w:val="clear" w:color="auto" w:fill="FFFFFF"/>
        </w:rPr>
        <w:t>第二部分景德镇市第二小学2023年部门预算情况说明</w:t>
      </w:r>
    </w:p>
    <w:p>
      <w:pPr>
        <w:pStyle w:val="8"/>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    一、2023年部门预算收支情况说明</w:t>
      </w:r>
    </w:p>
    <w:p>
      <w:pPr>
        <w:pStyle w:val="8"/>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        1、预算收入情况</w:t>
      </w:r>
    </w:p>
    <w:p>
      <w:pPr>
        <w:pStyle w:val="8"/>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        2、预算支出情况</w:t>
      </w:r>
    </w:p>
    <w:p>
      <w:pPr>
        <w:pStyle w:val="8"/>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        3、财政拨款支出情况</w:t>
      </w:r>
    </w:p>
    <w:p>
      <w:pPr>
        <w:pStyle w:val="8"/>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        4、政府采购预算情况</w:t>
      </w:r>
    </w:p>
    <w:p>
      <w:pPr>
        <w:pStyle w:val="8"/>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        5、政府基金收支情况</w:t>
      </w:r>
    </w:p>
    <w:p>
      <w:pPr>
        <w:pStyle w:val="8"/>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        6、机关运行经费情况</w:t>
      </w:r>
    </w:p>
    <w:p>
      <w:pPr>
        <w:pStyle w:val="8"/>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        7、国有资产占用情况</w:t>
      </w:r>
    </w:p>
    <w:p>
      <w:pPr>
        <w:pStyle w:val="8"/>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        8、整体绩效目标设置情况</w:t>
      </w:r>
    </w:p>
    <w:p>
      <w:pPr>
        <w:pStyle w:val="8"/>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    二、2023年“三公”经费预算情况说明</w:t>
      </w:r>
    </w:p>
    <w:p>
      <w:pPr>
        <w:pStyle w:val="8"/>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b/>
          <w:bCs/>
          <w:color w:val="333333"/>
          <w:sz w:val="30"/>
          <w:szCs w:val="30"/>
          <w:shd w:val="clear" w:color="auto" w:fill="FFFFFF"/>
        </w:rPr>
        <w:t>第三部分景德镇市第二小学2023年部门预算表</w:t>
      </w:r>
    </w:p>
    <w:p>
      <w:pPr>
        <w:pStyle w:val="8"/>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    一、《收支预算总表》</w:t>
      </w:r>
    </w:p>
    <w:p>
      <w:pPr>
        <w:pStyle w:val="8"/>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    二、《部门收入总表》</w:t>
      </w:r>
    </w:p>
    <w:p>
      <w:pPr>
        <w:pStyle w:val="8"/>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    三、《部门支出总表》</w:t>
      </w:r>
    </w:p>
    <w:p>
      <w:pPr>
        <w:pStyle w:val="8"/>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    四、《财政拨款收支总表》</w:t>
      </w:r>
    </w:p>
    <w:p>
      <w:pPr>
        <w:pStyle w:val="8"/>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    五、《一般公共预算支出表》</w:t>
      </w:r>
    </w:p>
    <w:p>
      <w:pPr>
        <w:pStyle w:val="8"/>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    六、《一般公共预算基本支出表》</w:t>
      </w:r>
    </w:p>
    <w:p>
      <w:pPr>
        <w:pStyle w:val="8"/>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    七、《一般公共预算“三公”经费支出表》</w:t>
      </w:r>
    </w:p>
    <w:p>
      <w:pPr>
        <w:pStyle w:val="8"/>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    八、《政府性基金预算支出表》</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right="0" w:firstLine="900" w:firstLineChars="300"/>
        <w:jc w:val="left"/>
        <w:rPr>
          <w:rFonts w:hint="eastAsia" w:ascii="仿宋" w:hAnsi="仿宋" w:eastAsia="仿宋" w:cs="仿宋"/>
          <w:caps w:val="0"/>
          <w:color w:val="333333"/>
          <w:spacing w:val="0"/>
          <w:sz w:val="30"/>
          <w:szCs w:val="30"/>
          <w:shd w:val="clear" w:color="auto" w:fill="FFFFFF"/>
        </w:rPr>
      </w:pPr>
      <w:r>
        <w:rPr>
          <w:rFonts w:hint="eastAsia" w:ascii="仿宋" w:hAnsi="仿宋" w:eastAsia="仿宋" w:cs="仿宋"/>
          <w:color w:val="333333"/>
          <w:sz w:val="30"/>
          <w:szCs w:val="30"/>
          <w:shd w:val="clear" w:color="auto" w:fill="FFFFFF"/>
        </w:rPr>
        <w:t>九、《</w:t>
      </w:r>
      <w:r>
        <w:rPr>
          <w:rFonts w:hint="eastAsia" w:ascii="仿宋" w:hAnsi="仿宋" w:eastAsia="仿宋" w:cs="仿宋"/>
          <w:color w:val="333333"/>
          <w:sz w:val="30"/>
          <w:szCs w:val="30"/>
          <w:shd w:val="clear" w:color="auto" w:fill="FFFFFF"/>
          <w:lang w:val="en-US" w:eastAsia="zh-CN"/>
        </w:rPr>
        <w:t>国有资本经营预算支出表</w:t>
      </w:r>
      <w:r>
        <w:rPr>
          <w:rFonts w:hint="eastAsia" w:ascii="仿宋" w:hAnsi="仿宋" w:eastAsia="仿宋" w:cs="仿宋"/>
          <w:color w:val="333333"/>
          <w:sz w:val="30"/>
          <w:szCs w:val="30"/>
          <w:shd w:val="clear" w:color="auto" w:fill="FFFFFF"/>
        </w:rPr>
        <w:t>》</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  </w:t>
      </w:r>
      <w:bookmarkStart w:id="0" w:name="_GoBack"/>
      <w:bookmarkEnd w:id="0"/>
    </w:p>
    <w:p>
      <w:pPr>
        <w:pStyle w:val="8"/>
        <w:widowControl/>
        <w:shd w:val="clear" w:color="auto" w:fill="FFFFFF"/>
        <w:spacing w:before="150" w:after="150" w:line="420" w:lineRule="atLeast"/>
        <w:ind w:firstLine="420"/>
        <w:jc w:val="left"/>
        <w:rPr>
          <w:rFonts w:ascii="仿宋" w:hAnsi="仿宋" w:eastAsia="仿宋" w:cs="仿宋"/>
          <w:color w:val="333333"/>
          <w:sz w:val="30"/>
          <w:szCs w:val="30"/>
        </w:rPr>
      </w:pPr>
    </w:p>
    <w:p>
      <w:pPr>
        <w:pStyle w:val="8"/>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b/>
          <w:bCs/>
          <w:color w:val="333333"/>
          <w:sz w:val="30"/>
          <w:szCs w:val="30"/>
          <w:shd w:val="clear" w:color="auto" w:fill="FFFFFF"/>
        </w:rPr>
        <w:t>第四部分名词解释</w:t>
      </w:r>
    </w:p>
    <w:p>
      <w:pPr>
        <w:pStyle w:val="6"/>
        <w:spacing w:before="101" w:line="228" w:lineRule="auto"/>
        <w:ind w:left="2113"/>
        <w:rPr>
          <w:lang w:eastAsia="zh-CN"/>
        </w:rPr>
      </w:pPr>
      <w:r>
        <w:rPr>
          <w:rFonts w:hint="eastAsia"/>
          <w:b/>
          <w:bCs/>
          <w:color w:val="333333"/>
          <w:sz w:val="30"/>
          <w:szCs w:val="30"/>
          <w:shd w:val="clear" w:color="auto" w:fill="FFFFFF"/>
          <w:lang w:eastAsia="zh-CN"/>
        </w:rPr>
        <w:t>第一部分  珠山区景德镇市第二小学概况</w:t>
      </w:r>
    </w:p>
    <w:p>
      <w:pPr>
        <w:spacing w:line="336" w:lineRule="auto"/>
        <w:rPr>
          <w:rFonts w:ascii="Arial"/>
        </w:rPr>
      </w:pPr>
    </w:p>
    <w:p>
      <w:pPr>
        <w:pStyle w:val="8"/>
        <w:widowControl/>
        <w:shd w:val="clear" w:color="auto" w:fill="FFFFFF"/>
        <w:spacing w:before="150" w:after="150" w:line="420" w:lineRule="atLeast"/>
        <w:ind w:firstLine="420"/>
        <w:jc w:val="left"/>
        <w:rPr>
          <w:rFonts w:ascii="仿宋" w:hAnsi="仿宋" w:eastAsia="仿宋" w:cs="仿宋"/>
          <w:b/>
          <w:bCs/>
          <w:color w:val="333333"/>
          <w:sz w:val="30"/>
          <w:szCs w:val="30"/>
          <w:shd w:val="clear" w:color="auto" w:fill="FFFFFF"/>
        </w:rPr>
      </w:pPr>
      <w:r>
        <w:rPr>
          <w:rFonts w:hint="eastAsia" w:ascii="仿宋" w:hAnsi="仿宋" w:eastAsia="仿宋" w:cs="仿宋"/>
          <w:b/>
          <w:bCs/>
          <w:color w:val="333333"/>
          <w:sz w:val="30"/>
          <w:szCs w:val="30"/>
          <w:shd w:val="clear" w:color="auto" w:fill="FFFFFF"/>
        </w:rPr>
        <w:t>一、部门主要职责</w:t>
      </w:r>
    </w:p>
    <w:p>
      <w:pPr>
        <w:pStyle w:val="6"/>
        <w:widowControl/>
        <w:kinsoku w:val="0"/>
        <w:autoSpaceDE w:val="0"/>
        <w:autoSpaceDN w:val="0"/>
        <w:adjustRightInd w:val="0"/>
        <w:snapToGrid w:val="0"/>
        <w:spacing w:before="231"/>
        <w:ind w:left="34" w:right="23" w:firstLine="635"/>
        <w:textAlignment w:val="baseline"/>
        <w:rPr>
          <w:spacing w:val="-7"/>
          <w:sz w:val="32"/>
          <w:szCs w:val="32"/>
          <w:lang w:eastAsia="zh-CN"/>
        </w:rPr>
      </w:pPr>
      <w:r>
        <w:rPr>
          <w:rFonts w:hint="eastAsia"/>
          <w:spacing w:val="-7"/>
          <w:sz w:val="32"/>
          <w:szCs w:val="32"/>
          <w:lang w:eastAsia="zh-CN"/>
        </w:rPr>
        <w:t>（1）宣传贯彻执行党和国家的教育方针、政策、法律法规等，坚持依法治教、依法治学，贯彻执行区教体局的行政规章制度。</w:t>
      </w:r>
    </w:p>
    <w:p>
      <w:pPr>
        <w:pStyle w:val="6"/>
        <w:widowControl/>
        <w:kinsoku w:val="0"/>
        <w:autoSpaceDE w:val="0"/>
        <w:autoSpaceDN w:val="0"/>
        <w:adjustRightInd w:val="0"/>
        <w:snapToGrid w:val="0"/>
        <w:spacing w:before="231"/>
        <w:ind w:left="34" w:right="23" w:firstLine="635"/>
        <w:textAlignment w:val="baseline"/>
        <w:rPr>
          <w:spacing w:val="-7"/>
          <w:sz w:val="32"/>
          <w:szCs w:val="32"/>
          <w:lang w:eastAsia="zh-CN"/>
        </w:rPr>
      </w:pPr>
      <w:r>
        <w:rPr>
          <w:rFonts w:hint="eastAsia"/>
          <w:spacing w:val="-7"/>
          <w:sz w:val="32"/>
          <w:szCs w:val="32"/>
          <w:lang w:eastAsia="zh-CN"/>
        </w:rPr>
        <w:t>（2）配合区县人民政府制定符合党的教育方针和国家教育法律法规以及本校实际的教育发展规划和学校布局调整规划，并抓好组织实施和落实工作。</w:t>
      </w:r>
    </w:p>
    <w:p>
      <w:pPr>
        <w:pStyle w:val="6"/>
        <w:widowControl/>
        <w:kinsoku w:val="0"/>
        <w:autoSpaceDE w:val="0"/>
        <w:autoSpaceDN w:val="0"/>
        <w:adjustRightInd w:val="0"/>
        <w:snapToGrid w:val="0"/>
        <w:spacing w:before="231"/>
        <w:ind w:left="34" w:right="23" w:firstLine="635"/>
        <w:textAlignment w:val="baseline"/>
        <w:rPr>
          <w:spacing w:val="-7"/>
          <w:sz w:val="32"/>
          <w:szCs w:val="32"/>
          <w:lang w:eastAsia="zh-CN"/>
        </w:rPr>
      </w:pPr>
      <w:r>
        <w:rPr>
          <w:rFonts w:hint="eastAsia"/>
          <w:spacing w:val="-7"/>
          <w:sz w:val="32"/>
          <w:szCs w:val="32"/>
          <w:lang w:eastAsia="zh-CN"/>
        </w:rPr>
        <w:t>（3）巩固提高“两基”工作成果和整体水平，配合各级人民政府依法动员、组织适龄少年入学，严格控制辍学。</w:t>
      </w:r>
    </w:p>
    <w:p>
      <w:pPr>
        <w:pStyle w:val="6"/>
        <w:widowControl/>
        <w:kinsoku w:val="0"/>
        <w:autoSpaceDE w:val="0"/>
        <w:autoSpaceDN w:val="0"/>
        <w:adjustRightInd w:val="0"/>
        <w:snapToGrid w:val="0"/>
        <w:spacing w:before="231"/>
        <w:ind w:left="34" w:right="23" w:firstLine="635"/>
        <w:textAlignment w:val="baseline"/>
        <w:rPr>
          <w:spacing w:val="-7"/>
          <w:sz w:val="32"/>
          <w:szCs w:val="32"/>
          <w:lang w:eastAsia="zh-CN"/>
        </w:rPr>
      </w:pPr>
      <w:r>
        <w:rPr>
          <w:rFonts w:hint="eastAsia"/>
          <w:spacing w:val="-7"/>
          <w:sz w:val="32"/>
          <w:szCs w:val="32"/>
          <w:lang w:eastAsia="zh-CN"/>
        </w:rPr>
        <w:t>（4）组织开展本校的教育教学科研和教育教学改革，科研兴教，科研兴校。负责对本校教育教学业务的具体管理，负责教育教学管理及教研教改工作，全力推进素质教育实施。</w:t>
      </w:r>
    </w:p>
    <w:p>
      <w:pPr>
        <w:pStyle w:val="6"/>
        <w:widowControl/>
        <w:kinsoku w:val="0"/>
        <w:autoSpaceDE w:val="0"/>
        <w:autoSpaceDN w:val="0"/>
        <w:adjustRightInd w:val="0"/>
        <w:snapToGrid w:val="0"/>
        <w:spacing w:before="231"/>
        <w:ind w:left="34" w:right="23" w:firstLine="635"/>
        <w:textAlignment w:val="baseline"/>
        <w:rPr>
          <w:spacing w:val="-7"/>
          <w:sz w:val="32"/>
          <w:szCs w:val="32"/>
          <w:lang w:eastAsia="zh-CN"/>
        </w:rPr>
      </w:pPr>
      <w:r>
        <w:rPr>
          <w:rFonts w:hint="eastAsia"/>
          <w:spacing w:val="-7"/>
          <w:sz w:val="32"/>
          <w:szCs w:val="32"/>
          <w:lang w:eastAsia="zh-CN"/>
        </w:rPr>
        <w:t>（5）按照干部和教师的职数、编制和管理权限，负责本校教师人事管理、继续教育、考核考评等工作。</w:t>
      </w:r>
    </w:p>
    <w:p>
      <w:pPr>
        <w:pStyle w:val="6"/>
        <w:widowControl/>
        <w:kinsoku w:val="0"/>
        <w:autoSpaceDE w:val="0"/>
        <w:autoSpaceDN w:val="0"/>
        <w:adjustRightInd w:val="0"/>
        <w:snapToGrid w:val="0"/>
        <w:spacing w:before="231"/>
        <w:ind w:left="34" w:right="23" w:firstLine="635"/>
        <w:textAlignment w:val="baseline"/>
        <w:rPr>
          <w:spacing w:val="-7"/>
          <w:sz w:val="32"/>
          <w:szCs w:val="32"/>
          <w:lang w:eastAsia="zh-CN"/>
        </w:rPr>
      </w:pPr>
      <w:r>
        <w:rPr>
          <w:rFonts w:hint="eastAsia"/>
          <w:spacing w:val="-7"/>
          <w:sz w:val="32"/>
          <w:szCs w:val="32"/>
          <w:lang w:eastAsia="zh-CN"/>
        </w:rPr>
        <w:t>（6）负责本校财务和基建管理，筹措资金，改善办学条件等工作。</w:t>
      </w:r>
    </w:p>
    <w:p>
      <w:pPr>
        <w:pStyle w:val="6"/>
        <w:widowControl/>
        <w:kinsoku w:val="0"/>
        <w:autoSpaceDE w:val="0"/>
        <w:autoSpaceDN w:val="0"/>
        <w:adjustRightInd w:val="0"/>
        <w:snapToGrid w:val="0"/>
        <w:spacing w:before="231"/>
        <w:ind w:left="34" w:right="23" w:firstLine="635"/>
        <w:textAlignment w:val="baseline"/>
        <w:rPr>
          <w:spacing w:val="-7"/>
          <w:sz w:val="32"/>
          <w:szCs w:val="32"/>
          <w:lang w:eastAsia="zh-CN"/>
        </w:rPr>
      </w:pPr>
      <w:r>
        <w:rPr>
          <w:rFonts w:hint="eastAsia"/>
          <w:spacing w:val="-7"/>
          <w:sz w:val="32"/>
          <w:szCs w:val="32"/>
          <w:lang w:eastAsia="zh-CN"/>
        </w:rPr>
        <w:t>（7）指导、管理、检查、评价本校的教育教学工作，提高办学质量和办学效益。按照教育课程计划，开齐课程，开足课时，认真实施中小学的教育教学管理，全面推进素质教育，全面提高教育教学质量。</w:t>
      </w:r>
    </w:p>
    <w:p>
      <w:pPr>
        <w:pStyle w:val="8"/>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b/>
          <w:bCs/>
          <w:color w:val="333333"/>
          <w:sz w:val="30"/>
          <w:szCs w:val="30"/>
          <w:shd w:val="clear" w:color="auto" w:fill="FFFFFF"/>
        </w:rPr>
        <w:t>二、部门基本情况</w:t>
      </w:r>
    </w:p>
    <w:p>
      <w:pPr>
        <w:pStyle w:val="6"/>
        <w:widowControl/>
        <w:kinsoku w:val="0"/>
        <w:autoSpaceDE w:val="0"/>
        <w:autoSpaceDN w:val="0"/>
        <w:adjustRightInd w:val="0"/>
        <w:snapToGrid w:val="0"/>
        <w:spacing w:before="239"/>
        <w:ind w:left="28" w:firstLine="646"/>
        <w:textAlignment w:val="baseline"/>
        <w:rPr>
          <w:spacing w:val="-1"/>
          <w:sz w:val="32"/>
          <w:szCs w:val="32"/>
          <w:lang w:eastAsia="zh-CN"/>
        </w:rPr>
      </w:pPr>
      <w:r>
        <w:rPr>
          <w:rFonts w:hint="eastAsia"/>
          <w:spacing w:val="-1"/>
          <w:sz w:val="32"/>
          <w:szCs w:val="32"/>
          <w:lang w:eastAsia="zh-CN"/>
        </w:rPr>
        <w:t>珠山区景德镇市第二小学共有单位1个。</w:t>
      </w:r>
    </w:p>
    <w:p>
      <w:pPr>
        <w:pStyle w:val="6"/>
        <w:widowControl/>
        <w:kinsoku w:val="0"/>
        <w:autoSpaceDE w:val="0"/>
        <w:autoSpaceDN w:val="0"/>
        <w:adjustRightInd w:val="0"/>
        <w:snapToGrid w:val="0"/>
        <w:spacing w:before="239"/>
        <w:ind w:left="28" w:firstLine="646"/>
        <w:textAlignment w:val="baseline"/>
        <w:rPr>
          <w:spacing w:val="-1"/>
          <w:sz w:val="32"/>
          <w:szCs w:val="32"/>
          <w:lang w:eastAsia="zh-CN"/>
        </w:rPr>
      </w:pPr>
      <w:r>
        <w:rPr>
          <w:rFonts w:hint="eastAsia"/>
          <w:spacing w:val="-1"/>
          <w:sz w:val="32"/>
          <w:szCs w:val="32"/>
          <w:lang w:eastAsia="zh-CN"/>
        </w:rPr>
        <w:t>编制数101人。实有在职教职工79人，离退休人员80人。有教学班级38个，学生1920人。</w:t>
      </w:r>
    </w:p>
    <w:p>
      <w:pPr>
        <w:spacing w:line="249" w:lineRule="auto"/>
        <w:rPr>
          <w:rFonts w:ascii="Arial"/>
        </w:rPr>
      </w:pPr>
    </w:p>
    <w:p>
      <w:pPr>
        <w:pStyle w:val="8"/>
        <w:widowControl/>
        <w:shd w:val="clear" w:color="auto" w:fill="FFFFFF"/>
        <w:spacing w:before="150" w:after="150" w:line="420" w:lineRule="atLeast"/>
        <w:jc w:val="center"/>
        <w:rPr>
          <w:rFonts w:ascii="仿宋" w:hAnsi="仿宋" w:eastAsia="仿宋" w:cs="仿宋"/>
          <w:color w:val="333333"/>
          <w:sz w:val="30"/>
          <w:szCs w:val="30"/>
        </w:rPr>
      </w:pPr>
      <w:r>
        <w:rPr>
          <w:rFonts w:hint="eastAsia" w:ascii="仿宋" w:hAnsi="仿宋" w:eastAsia="仿宋" w:cs="仿宋"/>
          <w:b/>
          <w:bCs/>
          <w:color w:val="333333"/>
          <w:sz w:val="30"/>
          <w:szCs w:val="30"/>
          <w:shd w:val="clear" w:color="auto" w:fill="FFFFFF"/>
        </w:rPr>
        <w:t>第二部分景德镇市第二小学2023年部门预算情况说明</w:t>
      </w:r>
    </w:p>
    <w:p>
      <w:pPr>
        <w:pStyle w:val="8"/>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b/>
          <w:bCs/>
          <w:color w:val="333333"/>
          <w:sz w:val="30"/>
          <w:szCs w:val="30"/>
          <w:shd w:val="clear" w:color="auto" w:fill="FFFFFF"/>
        </w:rPr>
        <w:t>一、2023年部门预算收支情况说明</w:t>
      </w:r>
    </w:p>
    <w:p>
      <w:pPr>
        <w:pStyle w:val="8"/>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b/>
          <w:bCs/>
          <w:color w:val="333333"/>
          <w:sz w:val="30"/>
          <w:szCs w:val="30"/>
          <w:shd w:val="clear" w:color="auto" w:fill="FFFFFF"/>
        </w:rPr>
        <w:t>（一）预算收入情况</w:t>
      </w:r>
    </w:p>
    <w:p>
      <w:pPr>
        <w:pStyle w:val="8"/>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2023年景德镇市第二小学收入预算总额为1807.58万元，与上年预算相比增加469.74万元，主要原因是其他收入列入预算。其中：当年财政拨款收入1007.58万元，占收入预算总额的55.74％；政府性基金拨款收入0万元，占收入预算总额的0％；事业收入0万元，占收入预算总额的0％；事业单位经营收入0万元，占收入预算总额的0％；当年其他各项收入800万元，占收入预算总额的44.26％；上年结余结转收入0万元，占收入预算总额的0％。</w:t>
      </w:r>
    </w:p>
    <w:p>
      <w:pPr>
        <w:pStyle w:val="8"/>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b/>
          <w:bCs/>
          <w:color w:val="333333"/>
          <w:sz w:val="30"/>
          <w:szCs w:val="30"/>
          <w:shd w:val="clear" w:color="auto" w:fill="FFFFFF"/>
        </w:rPr>
        <w:t>（二）预算支出情况</w:t>
      </w:r>
    </w:p>
    <w:p>
      <w:pPr>
        <w:pStyle w:val="8"/>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2023年景德镇市第二小学支出预算总额为1807.58万元，与上年预算相比增加469.74万元，主要原因是其他收入列入预算。其中：按支出项目类别划分：基本支出1007.58万元，占支出预算总额的55.74％，包括工资福利支出960.71万元、商品和服务支出31.9万元、对个人和家庭的补助14.97万元、其他资本性支出0万元；项目支出800万元，占支出总额的44.26％，包括工资福利支出0万元、商品和服务支出800万元、对个人和家庭的补助0万元、其他资本性支出0万元。</w:t>
      </w:r>
    </w:p>
    <w:p>
      <w:pPr>
        <w:pStyle w:val="8"/>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按支出功能项目科目划分：教育支出1555.33万元，占支出预算总额的86.04％；社会保障和就业支出107.62万元，占支出预算总额的5.95％；卫生健康支出50.45万元，占支出预算总额的2.79%；住房保障支出94.17万元，占支出预算总额的5.21％。</w:t>
      </w:r>
    </w:p>
    <w:p>
      <w:pPr>
        <w:pStyle w:val="8"/>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按支出经济分类划分：工资福利支出960.71万元，占支出预算总额的53.15％；商品和服务支出831.9万元，占支出预算总额的46.02％；对个人和家庭的补助14.97万元，占支出预算总额的0.83％；其他资本性支出0万元，占支出预算总额的0％。</w:t>
      </w:r>
    </w:p>
    <w:p>
      <w:pPr>
        <w:pStyle w:val="8"/>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b/>
          <w:bCs/>
          <w:color w:val="333333"/>
          <w:sz w:val="30"/>
          <w:szCs w:val="30"/>
          <w:shd w:val="clear" w:color="auto" w:fill="FFFFFF"/>
        </w:rPr>
        <w:t>（三）财政拨款支出情况</w:t>
      </w:r>
    </w:p>
    <w:p>
      <w:pPr>
        <w:pStyle w:val="8"/>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2023年景德镇市第二小学支出预算总额为1007.58万元，与上年预算相比减少330.26万元，主要原因是1、生均公用经费80%本年未列入预算；2、奖励性绩效工资本年未列入预算。具体支出情况是：教育支出755.33万元，占支出预算总额的74.96％；社会保障和就业支出107.62万元，占支出预算总额的10.68％；卫生健康支出50.45万元，占支出预算总额的5.01%；住房保障支出94.17万元，占支出预算总额的9.35％。</w:t>
      </w:r>
    </w:p>
    <w:p>
      <w:pPr>
        <w:pStyle w:val="8"/>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b/>
          <w:bCs/>
          <w:color w:val="333333"/>
          <w:sz w:val="30"/>
          <w:szCs w:val="30"/>
          <w:shd w:val="clear" w:color="auto" w:fill="FFFFFF"/>
        </w:rPr>
        <w:t>（四）政府采购预算情况</w:t>
      </w:r>
    </w:p>
    <w:p>
      <w:pPr>
        <w:pStyle w:val="8"/>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2023年政府采购预算为0万元，因公用经费80%未列入预算，为保证学校运转，年初未做采购预算，财政下拨转移支付生均公用经费后统一追加采购预算。</w:t>
      </w:r>
    </w:p>
    <w:p>
      <w:pPr>
        <w:pStyle w:val="8"/>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b/>
          <w:bCs/>
          <w:color w:val="333333"/>
          <w:sz w:val="30"/>
          <w:szCs w:val="30"/>
          <w:shd w:val="clear" w:color="auto" w:fill="FFFFFF"/>
        </w:rPr>
        <w:t>（五）政府基金收支情况</w:t>
      </w:r>
    </w:p>
    <w:p>
      <w:pPr>
        <w:pStyle w:val="8"/>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无政府基金收支情况。</w:t>
      </w:r>
    </w:p>
    <w:p>
      <w:pPr>
        <w:pStyle w:val="8"/>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b/>
          <w:bCs/>
          <w:color w:val="333333"/>
          <w:sz w:val="30"/>
          <w:szCs w:val="30"/>
          <w:shd w:val="clear" w:color="auto" w:fill="FFFFFF"/>
        </w:rPr>
        <w:t>（六）机关运行经费情况</w:t>
      </w:r>
    </w:p>
    <w:p>
      <w:pPr>
        <w:pStyle w:val="8"/>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本单位未有机关运行经费预算拨款安排的支出。</w:t>
      </w:r>
    </w:p>
    <w:p>
      <w:pPr>
        <w:pStyle w:val="8"/>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b/>
          <w:bCs/>
          <w:color w:val="333333"/>
          <w:sz w:val="30"/>
          <w:szCs w:val="30"/>
          <w:shd w:val="clear" w:color="auto" w:fill="FFFFFF"/>
        </w:rPr>
        <w:t>（七）国有资产占用情况</w:t>
      </w:r>
    </w:p>
    <w:p>
      <w:pPr>
        <w:pStyle w:val="8"/>
        <w:widowControl/>
        <w:shd w:val="clear" w:color="auto" w:fill="FFFFFF"/>
        <w:spacing w:before="150" w:after="150" w:line="420" w:lineRule="atLeast"/>
        <w:ind w:firstLine="420"/>
        <w:jc w:val="left"/>
        <w:rPr>
          <w:rFonts w:ascii="仿宋" w:hAnsi="仿宋" w:eastAsia="仿宋" w:cs="仿宋"/>
          <w:color w:val="333333"/>
          <w:sz w:val="30"/>
          <w:szCs w:val="30"/>
          <w:shd w:val="clear" w:color="auto" w:fill="FFFFFF"/>
        </w:rPr>
      </w:pPr>
      <w:r>
        <w:rPr>
          <w:rFonts w:hint="eastAsia" w:ascii="仿宋" w:hAnsi="仿宋" w:eastAsia="仿宋" w:cs="仿宋"/>
          <w:color w:val="333333"/>
          <w:sz w:val="30"/>
          <w:szCs w:val="30"/>
          <w:shd w:val="clear" w:color="auto" w:fill="FFFFFF"/>
        </w:rPr>
        <w:t>2023年景德镇市第二小学共有车辆0辆；单位价值50万元以上通用设备台0　（套）；单位价值100万元以上专用设备台0（套）。</w:t>
      </w:r>
    </w:p>
    <w:p>
      <w:pPr>
        <w:pStyle w:val="8"/>
        <w:widowControl/>
        <w:numPr>
          <w:ilvl w:val="0"/>
          <w:numId w:val="1"/>
        </w:numPr>
        <w:shd w:val="clear" w:color="auto" w:fill="FFFFFF"/>
        <w:spacing w:before="150" w:after="150" w:line="420" w:lineRule="atLeast"/>
        <w:ind w:firstLine="420"/>
        <w:jc w:val="left"/>
        <w:rPr>
          <w:rFonts w:ascii="仿宋" w:hAnsi="仿宋" w:eastAsia="仿宋" w:cs="仿宋"/>
          <w:b/>
          <w:bCs/>
          <w:color w:val="333333"/>
          <w:sz w:val="30"/>
          <w:szCs w:val="30"/>
          <w:shd w:val="clear" w:color="auto" w:fill="FFFFFF"/>
        </w:rPr>
      </w:pPr>
      <w:r>
        <w:rPr>
          <w:rFonts w:hint="eastAsia" w:ascii="仿宋" w:hAnsi="仿宋" w:eastAsia="仿宋" w:cs="仿宋"/>
          <w:b/>
          <w:bCs/>
          <w:color w:val="333333"/>
          <w:sz w:val="30"/>
          <w:szCs w:val="30"/>
          <w:shd w:val="clear" w:color="auto" w:fill="FFFFFF"/>
        </w:rPr>
        <w:t>整体绩效目标设置情况</w:t>
      </w:r>
    </w:p>
    <w:p>
      <w:pPr>
        <w:pStyle w:val="8"/>
        <w:widowControl/>
        <w:numPr>
          <w:ilvl w:val="0"/>
          <w:numId w:val="2"/>
        </w:numPr>
        <w:shd w:val="clear" w:color="auto" w:fill="FFFFFF"/>
        <w:spacing w:before="150" w:after="150" w:line="420" w:lineRule="atLeast"/>
        <w:ind w:firstLine="600" w:firstLineChars="200"/>
        <w:jc w:val="left"/>
        <w:rPr>
          <w:rFonts w:ascii="仿宋" w:hAnsi="仿宋" w:eastAsia="仿宋" w:cs="仿宋"/>
          <w:color w:val="333333"/>
          <w:sz w:val="30"/>
          <w:szCs w:val="30"/>
          <w:shd w:val="clear" w:color="auto" w:fill="FFFFFF"/>
        </w:rPr>
      </w:pPr>
      <w:r>
        <w:rPr>
          <w:rFonts w:hint="eastAsia" w:ascii="仿宋" w:hAnsi="仿宋" w:eastAsia="仿宋" w:cs="仿宋"/>
          <w:color w:val="333333"/>
          <w:sz w:val="30"/>
          <w:szCs w:val="30"/>
          <w:shd w:val="clear" w:color="auto" w:fill="FFFFFF"/>
        </w:rPr>
        <w:t>认真落实政教处工作人员的工作职责，定期检查，认真指导，积极协助有关人员做好本职工作，定期召开政教人员会议，对个别新进政教处人员进行师徒结对，对全体政教人员进行严格管理，严格考勤，逐步培养和建立事业心强，工作积极性的政教人员队伍。</w:t>
      </w:r>
    </w:p>
    <w:p>
      <w:pPr>
        <w:pStyle w:val="8"/>
        <w:widowControl/>
        <w:numPr>
          <w:ilvl w:val="0"/>
          <w:numId w:val="2"/>
        </w:numPr>
        <w:shd w:val="clear" w:color="auto" w:fill="FFFFFF"/>
        <w:spacing w:before="150" w:after="150" w:line="420" w:lineRule="atLeast"/>
        <w:ind w:firstLine="600" w:firstLineChars="200"/>
        <w:jc w:val="left"/>
        <w:rPr>
          <w:rFonts w:ascii="仿宋" w:hAnsi="仿宋" w:eastAsia="仿宋" w:cs="仿宋"/>
          <w:color w:val="333333"/>
          <w:sz w:val="30"/>
          <w:szCs w:val="30"/>
          <w:shd w:val="clear" w:color="auto" w:fill="FFFFFF"/>
        </w:rPr>
      </w:pPr>
      <w:r>
        <w:rPr>
          <w:rFonts w:hint="eastAsia" w:ascii="仿宋" w:hAnsi="仿宋" w:eastAsia="仿宋" w:cs="仿宋"/>
          <w:color w:val="333333"/>
          <w:sz w:val="30"/>
          <w:szCs w:val="30"/>
          <w:shd w:val="clear" w:color="auto" w:fill="FFFFFF"/>
        </w:rPr>
        <w:t>加强教学工作的指导与检查，规范教学过程 认真工作是衡量一位教师的工作态度、工作能力最基本的尺度，更是对学生是否负责最直接的体现。我校教导处 和各教研组加强联系，密切配合，经常性地对部分教师进行检查，并及时反馈信息和填写工作检查表。在这五个环节 中主要抓好备课和上课两个环节，努力引导教师把功夫下在备课上，本事显在课堂里。</w:t>
      </w:r>
    </w:p>
    <w:p>
      <w:pPr>
        <w:pStyle w:val="8"/>
        <w:widowControl/>
        <w:shd w:val="clear" w:color="auto" w:fill="FFFFFF"/>
        <w:spacing w:before="150" w:after="150" w:line="420" w:lineRule="atLeast"/>
        <w:ind w:firstLine="600" w:firstLineChars="200"/>
        <w:jc w:val="left"/>
        <w:rPr>
          <w:rFonts w:ascii="仿宋" w:hAnsi="仿宋" w:eastAsia="仿宋" w:cs="仿宋"/>
          <w:color w:val="333333"/>
          <w:sz w:val="30"/>
          <w:szCs w:val="30"/>
          <w:shd w:val="clear" w:color="auto" w:fill="FFFFFF"/>
        </w:rPr>
      </w:pPr>
      <w:r>
        <w:rPr>
          <w:rFonts w:hint="eastAsia" w:ascii="仿宋" w:hAnsi="仿宋" w:eastAsia="仿宋" w:cs="仿宋"/>
          <w:color w:val="333333"/>
          <w:sz w:val="30"/>
          <w:szCs w:val="30"/>
          <w:shd w:val="clear" w:color="auto" w:fill="FFFFFF"/>
        </w:rPr>
        <w:t>3、为加强综合治理责任状执行工作，以及校舍管理和校园的安全防火防盗工作，确保学校财产及师生的安全。加强校舍用电管理：维修安装各教室、办公室内的线路及用电设备，发现隐患及时整改。加强学校财产管理：本学期我们经常对学校校舍、体育设施、水电设施等进行了地毯式检查，及时排除了体育设施、教室等处的安全隐患。加强学校保安、治安工作；明确门卫岗位责任，认真落实对外来人员登记、测温、汇报、追踪制度，加强疫情控制及学校财产保卫和学生保卫工作。</w:t>
      </w:r>
    </w:p>
    <w:p>
      <w:pPr>
        <w:pStyle w:val="8"/>
        <w:widowControl/>
        <w:shd w:val="clear" w:color="auto" w:fill="FFFFFF"/>
        <w:spacing w:before="150" w:after="150" w:line="420" w:lineRule="atLeast"/>
        <w:ind w:firstLine="600" w:firstLineChars="200"/>
        <w:jc w:val="left"/>
        <w:rPr>
          <w:rFonts w:ascii="仿宋" w:hAnsi="仿宋" w:eastAsia="仿宋" w:cs="仿宋"/>
          <w:color w:val="333333"/>
          <w:sz w:val="30"/>
          <w:szCs w:val="30"/>
          <w:shd w:val="clear" w:color="auto" w:fill="FFFFFF"/>
        </w:rPr>
      </w:pPr>
      <w:r>
        <w:rPr>
          <w:rFonts w:hint="eastAsia" w:ascii="仿宋" w:hAnsi="仿宋" w:eastAsia="仿宋" w:cs="仿宋"/>
          <w:color w:val="333333"/>
          <w:sz w:val="30"/>
          <w:szCs w:val="30"/>
          <w:shd w:val="clear" w:color="auto" w:fill="FFFFFF"/>
        </w:rPr>
        <w:t>一级项目绩效目标设置情况</w:t>
      </w:r>
    </w:p>
    <w:p>
      <w:pPr>
        <w:pStyle w:val="8"/>
        <w:widowControl/>
        <w:shd w:val="clear" w:color="auto" w:fill="FFFFFF"/>
        <w:spacing w:before="150" w:after="150" w:line="420" w:lineRule="atLeast"/>
        <w:ind w:firstLine="600" w:firstLineChars="200"/>
        <w:jc w:val="left"/>
        <w:rPr>
          <w:rFonts w:ascii="仿宋" w:hAnsi="仿宋" w:eastAsia="仿宋" w:cs="仿宋"/>
          <w:color w:val="333333"/>
          <w:sz w:val="30"/>
          <w:szCs w:val="30"/>
          <w:shd w:val="clear" w:color="auto" w:fill="FFFFFF"/>
        </w:rPr>
      </w:pPr>
      <w:r>
        <w:rPr>
          <w:rFonts w:hint="eastAsia" w:ascii="仿宋" w:hAnsi="仿宋" w:eastAsia="仿宋" w:cs="仿宋"/>
          <w:color w:val="333333"/>
          <w:sz w:val="30"/>
          <w:szCs w:val="30"/>
          <w:shd w:val="clear" w:color="auto" w:fill="FFFFFF"/>
        </w:rPr>
        <w:t>2023年实行绩效目标管理的一级项目1个，涉及资金     1807.58万元，其中：二级项目0个涉及资金0万元。</w:t>
      </w:r>
    </w:p>
    <w:p>
      <w:pPr>
        <w:pStyle w:val="8"/>
        <w:widowControl/>
        <w:shd w:val="clear" w:color="auto" w:fill="FFFFFF"/>
        <w:spacing w:before="150" w:after="150" w:line="420" w:lineRule="atLeast"/>
        <w:ind w:firstLine="600" w:firstLineChars="200"/>
        <w:jc w:val="left"/>
        <w:rPr>
          <w:rFonts w:ascii="仿宋" w:hAnsi="仿宋" w:eastAsia="仿宋" w:cs="仿宋"/>
          <w:color w:val="333333"/>
          <w:sz w:val="30"/>
          <w:szCs w:val="30"/>
          <w:shd w:val="clear" w:color="auto" w:fill="FFFFFF"/>
        </w:rPr>
      </w:pPr>
      <w:r>
        <w:rPr>
          <w:rFonts w:hint="eastAsia" w:ascii="仿宋" w:hAnsi="仿宋" w:eastAsia="仿宋" w:cs="仿宋"/>
          <w:color w:val="333333"/>
          <w:sz w:val="30"/>
          <w:szCs w:val="30"/>
          <w:shd w:val="clear" w:color="auto" w:fill="FFFFFF"/>
        </w:rPr>
        <w:t>一级项目中各二级项目情况说明（部门本级）</w:t>
      </w:r>
    </w:p>
    <w:p>
      <w:pPr>
        <w:pStyle w:val="8"/>
        <w:widowControl/>
        <w:shd w:val="clear" w:color="auto" w:fill="FFFFFF"/>
        <w:spacing w:before="150" w:after="150" w:line="420" w:lineRule="atLeast"/>
        <w:ind w:firstLine="600" w:firstLineChars="200"/>
        <w:jc w:val="left"/>
        <w:rPr>
          <w:rFonts w:ascii="仿宋" w:hAnsi="仿宋" w:eastAsia="仿宋" w:cs="仿宋"/>
          <w:color w:val="333333"/>
          <w:sz w:val="30"/>
          <w:szCs w:val="30"/>
          <w:shd w:val="clear" w:color="auto" w:fill="FFFFFF"/>
        </w:rPr>
      </w:pPr>
      <w:r>
        <w:rPr>
          <w:rFonts w:hint="eastAsia" w:ascii="仿宋" w:hAnsi="仿宋" w:eastAsia="仿宋" w:cs="仿宋"/>
          <w:color w:val="333333"/>
          <w:sz w:val="30"/>
          <w:szCs w:val="30"/>
          <w:shd w:val="clear" w:color="auto" w:fill="FFFFFF"/>
        </w:rPr>
        <w:t>一级项目概述：保障义务教育阶段学校正常运转。完成教育教学活动和其他日常工作任务等方面的支出。保障学校校舍安全、对师生进行爱国主义、法制教育和思想品德教育改善各校办学条件，完善学校硬件设备配置，整合教育信息资源，提高教育网络信息化水平，保障学校高水平。</w:t>
      </w:r>
    </w:p>
    <w:p>
      <w:pPr>
        <w:pStyle w:val="8"/>
        <w:widowControl/>
        <w:shd w:val="clear" w:color="auto" w:fill="FFFFFF"/>
        <w:spacing w:before="150" w:after="150" w:line="420" w:lineRule="atLeast"/>
        <w:ind w:firstLine="600" w:firstLineChars="200"/>
        <w:jc w:val="left"/>
        <w:rPr>
          <w:rFonts w:ascii="仿宋" w:hAnsi="仿宋" w:eastAsia="仿宋" w:cs="仿宋"/>
          <w:color w:val="333333"/>
          <w:sz w:val="30"/>
          <w:szCs w:val="30"/>
          <w:shd w:val="clear" w:color="auto" w:fill="FFFFFF"/>
        </w:rPr>
      </w:pPr>
      <w:r>
        <w:rPr>
          <w:rFonts w:hint="eastAsia" w:ascii="仿宋" w:hAnsi="仿宋" w:eastAsia="仿宋" w:cs="仿宋"/>
          <w:color w:val="333333"/>
          <w:sz w:val="30"/>
          <w:szCs w:val="30"/>
          <w:shd w:val="clear" w:color="auto" w:fill="FFFFFF"/>
        </w:rPr>
        <w:t xml:space="preserve"> 1）项目概述：保障义务教育阶段学校正常运转。完成教育教学活动和其他日常工作任务等方面的支出。保障学校校舍安全、对师生进行爱国主义、法制教育和思想品德教育改善各校办学条件，完善学校硬件设备配置，整合教育信息资源，提高教育网络信息化水平，保障学校高水平。。</w:t>
      </w:r>
    </w:p>
    <w:p>
      <w:pPr>
        <w:pStyle w:val="8"/>
        <w:widowControl/>
        <w:shd w:val="clear" w:color="auto" w:fill="FFFFFF"/>
        <w:spacing w:before="150" w:after="150" w:line="420" w:lineRule="atLeast"/>
        <w:ind w:firstLine="600" w:firstLineChars="200"/>
        <w:jc w:val="left"/>
        <w:rPr>
          <w:rFonts w:ascii="仿宋" w:hAnsi="仿宋" w:eastAsia="仿宋" w:cs="仿宋"/>
          <w:color w:val="333333"/>
          <w:sz w:val="30"/>
          <w:szCs w:val="30"/>
          <w:shd w:val="clear" w:color="auto" w:fill="FFFFFF"/>
        </w:rPr>
      </w:pPr>
      <w:r>
        <w:rPr>
          <w:rFonts w:hint="eastAsia" w:ascii="仿宋" w:hAnsi="仿宋" w:eastAsia="仿宋" w:cs="仿宋"/>
          <w:color w:val="333333"/>
          <w:sz w:val="30"/>
          <w:szCs w:val="30"/>
          <w:shd w:val="clear" w:color="auto" w:fill="FFFFFF"/>
        </w:rPr>
        <w:t xml:space="preserve"> 2）立项依据：根据国家、省、市相关文件要求</w:t>
      </w:r>
    </w:p>
    <w:p>
      <w:pPr>
        <w:pStyle w:val="8"/>
        <w:widowControl/>
        <w:shd w:val="clear" w:color="auto" w:fill="FFFFFF"/>
        <w:spacing w:before="150" w:after="150" w:line="420" w:lineRule="atLeast"/>
        <w:ind w:firstLine="600" w:firstLineChars="200"/>
        <w:jc w:val="left"/>
        <w:rPr>
          <w:rFonts w:ascii="仿宋" w:hAnsi="仿宋" w:eastAsia="仿宋" w:cs="仿宋"/>
          <w:color w:val="333333"/>
          <w:sz w:val="30"/>
          <w:szCs w:val="30"/>
          <w:shd w:val="clear" w:color="auto" w:fill="FFFFFF"/>
        </w:rPr>
      </w:pPr>
      <w:r>
        <w:rPr>
          <w:rFonts w:hint="eastAsia" w:ascii="仿宋" w:hAnsi="仿宋" w:eastAsia="仿宋" w:cs="仿宋"/>
          <w:color w:val="333333"/>
          <w:sz w:val="30"/>
          <w:szCs w:val="30"/>
          <w:shd w:val="clear" w:color="auto" w:fill="FFFFFF"/>
        </w:rPr>
        <w:t xml:space="preserve"> 3）实施主体：景德镇市第二小学</w:t>
      </w:r>
    </w:p>
    <w:p>
      <w:pPr>
        <w:pStyle w:val="8"/>
        <w:widowControl/>
        <w:shd w:val="clear" w:color="auto" w:fill="FFFFFF"/>
        <w:spacing w:before="150" w:after="150" w:line="420" w:lineRule="atLeast"/>
        <w:ind w:firstLine="600" w:firstLineChars="200"/>
        <w:jc w:val="left"/>
        <w:rPr>
          <w:rFonts w:ascii="仿宋" w:hAnsi="仿宋" w:eastAsia="仿宋" w:cs="仿宋"/>
          <w:color w:val="333333"/>
          <w:sz w:val="30"/>
          <w:szCs w:val="30"/>
          <w:shd w:val="clear" w:color="auto" w:fill="FFFFFF"/>
        </w:rPr>
      </w:pPr>
      <w:r>
        <w:rPr>
          <w:rFonts w:hint="eastAsia" w:ascii="仿宋" w:hAnsi="仿宋" w:eastAsia="仿宋" w:cs="仿宋"/>
          <w:color w:val="333333"/>
          <w:sz w:val="30"/>
          <w:szCs w:val="30"/>
          <w:shd w:val="clear" w:color="auto" w:fill="FFFFFF"/>
        </w:rPr>
        <w:t xml:space="preserve"> 4）实施方案：通过组织学习、开展各项活动，从而做好教育教学工作。</w:t>
      </w:r>
    </w:p>
    <w:p>
      <w:pPr>
        <w:pStyle w:val="8"/>
        <w:widowControl/>
        <w:shd w:val="clear" w:color="auto" w:fill="FFFFFF"/>
        <w:spacing w:before="150" w:after="150" w:line="420" w:lineRule="atLeast"/>
        <w:ind w:firstLine="600" w:firstLineChars="200"/>
        <w:jc w:val="left"/>
        <w:rPr>
          <w:rFonts w:ascii="仿宋" w:hAnsi="仿宋" w:eastAsia="仿宋" w:cs="仿宋"/>
          <w:color w:val="333333"/>
          <w:sz w:val="30"/>
          <w:szCs w:val="30"/>
          <w:shd w:val="clear" w:color="auto" w:fill="FFFFFF"/>
        </w:rPr>
      </w:pPr>
      <w:r>
        <w:rPr>
          <w:rFonts w:hint="eastAsia" w:ascii="仿宋" w:hAnsi="仿宋" w:eastAsia="仿宋" w:cs="仿宋"/>
          <w:color w:val="333333"/>
          <w:sz w:val="30"/>
          <w:szCs w:val="30"/>
          <w:shd w:val="clear" w:color="auto" w:fill="FFFFFF"/>
        </w:rPr>
        <w:t xml:space="preserve"> 5）实施周期：2023年全年</w:t>
      </w:r>
    </w:p>
    <w:p>
      <w:pPr>
        <w:pStyle w:val="8"/>
        <w:widowControl/>
        <w:shd w:val="clear" w:color="auto" w:fill="FFFFFF"/>
        <w:spacing w:before="150" w:after="150" w:line="420" w:lineRule="atLeast"/>
        <w:ind w:firstLine="600" w:firstLineChars="200"/>
        <w:jc w:val="left"/>
        <w:rPr>
          <w:rFonts w:ascii="仿宋" w:hAnsi="仿宋" w:eastAsia="仿宋" w:cs="仿宋"/>
          <w:color w:val="333333"/>
          <w:sz w:val="30"/>
          <w:szCs w:val="30"/>
          <w:shd w:val="clear" w:color="auto" w:fill="FFFFFF"/>
        </w:rPr>
      </w:pPr>
      <w:r>
        <w:rPr>
          <w:rFonts w:hint="eastAsia" w:ascii="仿宋" w:hAnsi="仿宋" w:eastAsia="仿宋" w:cs="仿宋"/>
          <w:color w:val="333333"/>
          <w:sz w:val="30"/>
          <w:szCs w:val="30"/>
          <w:shd w:val="clear" w:color="auto" w:fill="FFFFFF"/>
        </w:rPr>
        <w:t xml:space="preserve"> 6）年度预算安排：全年预算支出数1807.58万元。</w:t>
      </w:r>
    </w:p>
    <w:p>
      <w:pPr>
        <w:pStyle w:val="8"/>
        <w:widowControl/>
        <w:shd w:val="clear" w:color="auto" w:fill="FFFFFF"/>
        <w:spacing w:before="150" w:after="150" w:line="420" w:lineRule="atLeast"/>
        <w:ind w:firstLine="600" w:firstLineChars="200"/>
        <w:jc w:val="left"/>
        <w:rPr>
          <w:rFonts w:ascii="仿宋" w:hAnsi="仿宋" w:eastAsia="仿宋" w:cs="仿宋"/>
          <w:color w:val="333333"/>
          <w:sz w:val="30"/>
          <w:szCs w:val="30"/>
          <w:shd w:val="clear" w:color="auto" w:fill="FFFFFF"/>
        </w:rPr>
      </w:pPr>
      <w:r>
        <w:rPr>
          <w:rFonts w:hint="eastAsia" w:ascii="仿宋" w:hAnsi="仿宋" w:eastAsia="仿宋" w:cs="仿宋"/>
          <w:color w:val="333333"/>
          <w:sz w:val="30"/>
          <w:szCs w:val="30"/>
          <w:shd w:val="clear" w:color="auto" w:fill="FFFFFF"/>
        </w:rPr>
        <w:t>7）绩效目标和指标：确保学校各项工作顺利开展，管理指标、产出指标、效果指标、满意度指标全面达标。</w:t>
      </w:r>
    </w:p>
    <w:p>
      <w:pPr>
        <w:pStyle w:val="8"/>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b/>
          <w:bCs/>
          <w:color w:val="333333"/>
          <w:sz w:val="30"/>
          <w:szCs w:val="30"/>
          <w:shd w:val="clear" w:color="auto" w:fill="FFFFFF"/>
        </w:rPr>
        <w:t>二、2023年“三公”经费预算情况说明</w:t>
      </w:r>
    </w:p>
    <w:p>
      <w:pPr>
        <w:pStyle w:val="8"/>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2023年景德镇市第二小学“三公”经费年初预算安排1.8万元。其中：</w:t>
      </w:r>
    </w:p>
    <w:p>
      <w:pPr>
        <w:pStyle w:val="8"/>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因公出国（境）费0万元，比上年增（减）0万元。</w:t>
      </w:r>
    </w:p>
    <w:p>
      <w:pPr>
        <w:pStyle w:val="8"/>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公务接待费1.8万元，与上年度持平。</w:t>
      </w:r>
    </w:p>
    <w:p>
      <w:pPr>
        <w:pStyle w:val="8"/>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公务用车运行维护费0万元，比上年增加0万元。</w:t>
      </w:r>
    </w:p>
    <w:p>
      <w:pPr>
        <w:pStyle w:val="8"/>
        <w:widowControl/>
        <w:shd w:val="clear" w:color="auto" w:fill="FFFFFF"/>
        <w:spacing w:before="150" w:after="150" w:line="420" w:lineRule="atLeast"/>
        <w:ind w:firstLine="420"/>
        <w:jc w:val="left"/>
        <w:rPr>
          <w:rFonts w:ascii="仿宋" w:hAnsi="仿宋" w:eastAsia="仿宋" w:cs="仿宋"/>
          <w:color w:val="333333"/>
          <w:sz w:val="30"/>
          <w:szCs w:val="30"/>
          <w:shd w:val="clear" w:color="auto" w:fill="FFFFFF"/>
        </w:rPr>
      </w:pPr>
      <w:r>
        <w:rPr>
          <w:rFonts w:hint="eastAsia" w:ascii="仿宋" w:hAnsi="仿宋" w:eastAsia="仿宋" w:cs="仿宋"/>
          <w:color w:val="333333"/>
          <w:sz w:val="30"/>
          <w:szCs w:val="30"/>
          <w:shd w:val="clear" w:color="auto" w:fill="FFFFFF"/>
        </w:rPr>
        <w:t>公务用车购置费0万元，比上年增（减）0万元。</w:t>
      </w:r>
    </w:p>
    <w:p>
      <w:pPr>
        <w:pStyle w:val="8"/>
        <w:widowControl/>
        <w:shd w:val="clear" w:color="auto" w:fill="FFFFFF"/>
        <w:spacing w:before="150" w:after="150" w:line="420" w:lineRule="atLeast"/>
        <w:ind w:firstLine="602" w:firstLineChars="200"/>
        <w:rPr>
          <w:rFonts w:ascii="仿宋" w:hAnsi="仿宋" w:eastAsia="仿宋" w:cs="仿宋"/>
          <w:color w:val="333333"/>
          <w:sz w:val="30"/>
          <w:szCs w:val="30"/>
        </w:rPr>
      </w:pPr>
      <w:r>
        <w:rPr>
          <w:rFonts w:hint="eastAsia" w:ascii="仿宋" w:hAnsi="仿宋" w:eastAsia="仿宋" w:cs="仿宋"/>
          <w:b/>
          <w:bCs/>
          <w:color w:val="333333"/>
          <w:sz w:val="30"/>
          <w:szCs w:val="30"/>
          <w:shd w:val="clear" w:color="auto" w:fill="FFFFFF"/>
        </w:rPr>
        <w:t>第三部分景德镇市第二小学2023年部门预算表</w:t>
      </w:r>
    </w:p>
    <w:p>
      <w:pPr>
        <w:pStyle w:val="8"/>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（详见附表）</w:t>
      </w:r>
    </w:p>
    <w:p>
      <w:pPr>
        <w:pStyle w:val="8"/>
        <w:widowControl/>
        <w:shd w:val="clear" w:color="auto" w:fill="FFFFFF"/>
        <w:spacing w:before="150" w:after="150" w:line="420" w:lineRule="atLeast"/>
        <w:jc w:val="center"/>
        <w:rPr>
          <w:rFonts w:ascii="仿宋" w:hAnsi="仿宋" w:eastAsia="仿宋" w:cs="仿宋"/>
          <w:color w:val="333333"/>
          <w:sz w:val="30"/>
          <w:szCs w:val="30"/>
        </w:rPr>
      </w:pPr>
      <w:r>
        <w:rPr>
          <w:rFonts w:hint="eastAsia" w:ascii="仿宋" w:hAnsi="仿宋" w:eastAsia="仿宋" w:cs="仿宋"/>
          <w:b/>
          <w:bCs/>
          <w:color w:val="333333"/>
          <w:sz w:val="30"/>
          <w:szCs w:val="30"/>
          <w:shd w:val="clear" w:color="auto" w:fill="FFFFFF"/>
        </w:rPr>
        <w:t>第四部分名词解释</w:t>
      </w:r>
    </w:p>
    <w:p>
      <w:pPr>
        <w:pStyle w:val="8"/>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b/>
          <w:bCs/>
          <w:color w:val="333333"/>
          <w:sz w:val="30"/>
          <w:szCs w:val="30"/>
          <w:shd w:val="clear" w:color="auto" w:fill="FFFFFF"/>
        </w:rPr>
        <w:t>一、收入科目</w:t>
      </w:r>
    </w:p>
    <w:p>
      <w:pPr>
        <w:pStyle w:val="8"/>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各部门结合实际进行解释。</w:t>
      </w:r>
    </w:p>
    <w:p>
      <w:pPr>
        <w:pStyle w:val="8"/>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（一）财政拨款：指市级财政当年拨付的资金。</w:t>
      </w:r>
    </w:p>
    <w:p>
      <w:pPr>
        <w:pStyle w:val="8"/>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（二）事业收入：指事业单位开展专业业务活动及辅助活动取得的收入。</w:t>
      </w:r>
    </w:p>
    <w:p>
      <w:pPr>
        <w:pStyle w:val="8"/>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（三）事业单位经营收入：指事业单位在专业业务活动及辅助活动之外开展非独立核算经营活动取得的收入。</w:t>
      </w:r>
    </w:p>
    <w:p>
      <w:pPr>
        <w:pStyle w:val="8"/>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（四）其他收入：指除财政拨款、事业收入、事业单位经营收入等以外的各项收入。</w:t>
      </w:r>
    </w:p>
    <w:p>
      <w:pPr>
        <w:pStyle w:val="8"/>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（五）附属单位上缴收入：反映事业单位附属的独立核算单位按规定标准或比例缴纳的各项收入。包括附属的事业单位上缴的收入和附属的企业上缴的利润等。</w:t>
      </w:r>
    </w:p>
    <w:p>
      <w:pPr>
        <w:pStyle w:val="8"/>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（六）上级补助收入：反映事业单位从主管部门和上级单位取得的非财政补助收入。</w:t>
      </w:r>
    </w:p>
    <w:p>
      <w:pPr>
        <w:pStyle w:val="8"/>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（七）用事业基金弥补收支差额：填列事业单位用事业基金弥补2023年收支差额的数额。</w:t>
      </w:r>
    </w:p>
    <w:p>
      <w:pPr>
        <w:pStyle w:val="8"/>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（八）上年结转和结余：填列2022年全部结转和结余的资金数，包括当年结转结余资金和历年滚存结转结余资金。</w:t>
      </w:r>
    </w:p>
    <w:p>
      <w:pPr>
        <w:pStyle w:val="8"/>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b/>
          <w:bCs/>
          <w:color w:val="333333"/>
          <w:sz w:val="30"/>
          <w:szCs w:val="30"/>
          <w:shd w:val="clear" w:color="auto" w:fill="FFFFFF"/>
        </w:rPr>
        <w:t>二、支出科目</w:t>
      </w:r>
    </w:p>
    <w:p>
      <w:pPr>
        <w:pStyle w:val="8"/>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对部门预算中涉及的支出功能分类科目（明细到项级），结合部门实际，参照《2023年政府收支分类科目》的规范说明进行解释。</w:t>
      </w:r>
    </w:p>
    <w:p>
      <w:pPr>
        <w:pStyle w:val="8"/>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（一）一般公共服务支出：反映行政事业单位的相关支出。</w:t>
      </w:r>
    </w:p>
    <w:p>
      <w:pPr>
        <w:pStyle w:val="8"/>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（二）社会保障和就业支出：反映机关事业单位实施养老保险制度由单位缴纳的基本养老保险费支出。</w:t>
      </w:r>
    </w:p>
    <w:p>
      <w:pPr>
        <w:pStyle w:val="8"/>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（三）卫生健康支出：反映行政事业单位医疗方面的支出。</w:t>
      </w:r>
    </w:p>
    <w:p>
      <w:pPr>
        <w:pStyle w:val="8"/>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（四）住房保障支出：反映行政事业单位按人力资源和社会保障部、财政部规定的基本工资和津贴补贴以及规定比例为职工缴纳的住房公积金。</w:t>
      </w:r>
    </w:p>
    <w:p>
      <w:pPr>
        <w:pStyle w:val="8"/>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五）“三公经费”支出：因公出国（境）费用反映单位公务出国（境）的国际旅费、国外城市间交通费、住宿费、伙食费、培训费、公杂费等支出。公务接待费反映单位按规定开支的各类公务接待（含外宾接待）费用。公务用车运行维护费反映单位按规定保留的公务用车燃油费、维修费、过桥过路费、保险费、安全奖励费用等支出。</w:t>
      </w:r>
    </w:p>
    <w:p/>
    <w:p>
      <w:pPr>
        <w:spacing w:line="249" w:lineRule="auto"/>
        <w:rPr>
          <w:rFonts w:ascii="Arial"/>
        </w:rPr>
      </w:pPr>
    </w:p>
    <w:p>
      <w:pPr>
        <w:spacing w:line="249" w:lineRule="auto"/>
        <w:rPr>
          <w:rFonts w:ascii="Arial"/>
        </w:rPr>
      </w:pPr>
    </w:p>
    <w:p>
      <w:pPr>
        <w:spacing w:line="249" w:lineRule="auto"/>
        <w:rPr>
          <w:rFonts w:ascii="Arial"/>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5B69CE"/>
    <w:multiLevelType w:val="singleLevel"/>
    <w:tmpl w:val="855B69CE"/>
    <w:lvl w:ilvl="0" w:tentative="0">
      <w:start w:val="8"/>
      <w:numFmt w:val="chineseCounting"/>
      <w:suff w:val="nothing"/>
      <w:lvlText w:val="（%1）"/>
      <w:lvlJc w:val="left"/>
      <w:rPr>
        <w:rFonts w:hint="eastAsia"/>
      </w:rPr>
    </w:lvl>
  </w:abstractNum>
  <w:abstractNum w:abstractNumId="1">
    <w:nsid w:val="7F78775C"/>
    <w:multiLevelType w:val="singleLevel"/>
    <w:tmpl w:val="7F78775C"/>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g1MDE1ZWQ5ZWRkODc4ZDMyMmQ5M2RmZDc1MDg2MWIifQ=="/>
  </w:docVars>
  <w:rsids>
    <w:rsidRoot w:val="42ED7459"/>
    <w:rsid w:val="00566FDD"/>
    <w:rsid w:val="0087698E"/>
    <w:rsid w:val="00F234A5"/>
    <w:rsid w:val="017C5886"/>
    <w:rsid w:val="020B628E"/>
    <w:rsid w:val="0FCC699C"/>
    <w:rsid w:val="0FCD2F33"/>
    <w:rsid w:val="42ED7459"/>
    <w:rsid w:val="59E20F76"/>
    <w:rsid w:val="70DC0B34"/>
    <w:rsid w:val="73702CF6"/>
    <w:rsid w:val="78B57DD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3"/>
    <w:qFormat/>
    <w:uiPriority w:val="0"/>
    <w:pPr>
      <w:widowControl w:val="0"/>
      <w:jc w:val="both"/>
    </w:pPr>
    <w:rPr>
      <w:rFonts w:ascii="宋体" w:hAnsi="Courier New" w:eastAsia="宋体" w:cs="Courier New"/>
      <w:kern w:val="2"/>
      <w:sz w:val="21"/>
      <w:szCs w:val="21"/>
      <w:lang w:val="en-US" w:eastAsia="zh-CN" w:bidi="ar-SA"/>
    </w:rPr>
  </w:style>
  <w:style w:type="paragraph" w:customStyle="1" w:styleId="3">
    <w:name w:val="表格样式 1 A"/>
    <w:next w:val="4"/>
    <w:qFormat/>
    <w:uiPriority w:val="0"/>
    <w:pPr>
      <w:ind w:firstLine="6144"/>
    </w:pPr>
    <w:rPr>
      <w:rFonts w:ascii="Arial Unicode MS" w:hAnsi="Times New Roman" w:eastAsia="宋体" w:cs="Times New Roman"/>
      <w:lang w:val="en-US" w:eastAsia="zh-CN" w:bidi="ar-SA"/>
    </w:rPr>
  </w:style>
  <w:style w:type="paragraph" w:styleId="4">
    <w:name w:val="header"/>
    <w:basedOn w:val="1"/>
    <w:next w:val="5"/>
    <w:qFormat/>
    <w:uiPriority w:val="0"/>
    <w:pPr>
      <w:pBdr>
        <w:bottom w:val="single" w:color="auto" w:sz="6" w:space="1"/>
      </w:pBdr>
      <w:tabs>
        <w:tab w:val="center" w:pos="4153"/>
        <w:tab w:val="right" w:pos="8306"/>
      </w:tabs>
      <w:snapToGrid w:val="0"/>
      <w:jc w:val="center"/>
    </w:pPr>
    <w:rPr>
      <w:sz w:val="18"/>
      <w:szCs w:val="18"/>
    </w:rPr>
  </w:style>
  <w:style w:type="paragraph" w:styleId="5">
    <w:name w:val="toc 4"/>
    <w:basedOn w:val="1"/>
    <w:next w:val="1"/>
    <w:qFormat/>
    <w:uiPriority w:val="0"/>
    <w:pPr>
      <w:ind w:left="600" w:leftChars="600"/>
    </w:pPr>
    <w:rPr>
      <w:rFonts w:ascii="Calibri" w:hAnsi="Calibri" w:cs="Times New Roman"/>
      <w:szCs w:val="20"/>
    </w:rPr>
  </w:style>
  <w:style w:type="paragraph" w:styleId="6">
    <w:name w:val="Body Text"/>
    <w:basedOn w:val="1"/>
    <w:semiHidden/>
    <w:qFormat/>
    <w:uiPriority w:val="0"/>
    <w:rPr>
      <w:rFonts w:ascii="仿宋" w:hAnsi="仿宋" w:eastAsia="仿宋" w:cs="仿宋"/>
      <w:sz w:val="31"/>
      <w:szCs w:val="31"/>
      <w:lang w:eastAsia="en-US"/>
    </w:rPr>
  </w:style>
  <w:style w:type="paragraph" w:styleId="7">
    <w:name w:val="footer"/>
    <w:basedOn w:val="1"/>
    <w:uiPriority w:val="0"/>
    <w:pPr>
      <w:tabs>
        <w:tab w:val="center" w:pos="4153"/>
        <w:tab w:val="right" w:pos="8306"/>
      </w:tabs>
      <w:snapToGrid w:val="0"/>
      <w:jc w:val="left"/>
    </w:pPr>
    <w:rPr>
      <w:sz w:val="18"/>
      <w:szCs w:val="18"/>
    </w:rPr>
  </w:style>
  <w:style w:type="paragraph" w:styleId="8">
    <w:name w:val="Normal (Web)"/>
    <w:basedOn w:val="1"/>
    <w:uiPriority w:val="0"/>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3702</Words>
  <Characters>4065</Characters>
  <Lines>29</Lines>
  <Paragraphs>8</Paragraphs>
  <TotalTime>0</TotalTime>
  <ScaleCrop>false</ScaleCrop>
  <LinksUpToDate>false</LinksUpToDate>
  <CharactersWithSpaces>4082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2024-06-24T02:59:00Z</dcterms:created>
  <dc:creator>Administrator</dc:creator>
  <cp:lastModifiedBy>Administrator</cp:lastModifiedBy>
  <dcterms:modified xsi:type="dcterms:W3CDTF">2024-07-02T05:45:40Z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CBC8B64E97F148758501379883E79253_13</vt:lpwstr>
  </property>
</Properties>
</file>