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2A5CD">
      <w:pPr>
        <w:spacing w:line="860" w:lineRule="exact"/>
        <w:rPr>
          <w:rFonts w:ascii="仿宋_GB2312" w:hAnsi="仿宋" w:eastAsia="仿宋_GB2312" w:cs="Times New Roman"/>
          <w:sz w:val="32"/>
          <w:szCs w:val="32"/>
        </w:rPr>
      </w:pPr>
    </w:p>
    <w:p w14:paraId="6FD3D94F">
      <w:pPr>
        <w:pStyle w:val="3"/>
        <w:spacing w:before="0" w:after="0" w:line="240" w:lineRule="auto"/>
        <w:jc w:val="center"/>
        <w:rPr>
          <w:rFonts w:ascii="黑体" w:hAnsi="黑体" w:eastAsia="黑体" w:cs="黑体"/>
        </w:rPr>
      </w:pPr>
      <w:r>
        <w:rPr>
          <w:rFonts w:hint="eastAsia" w:ascii="黑体" w:hAnsi="黑体" w:eastAsia="黑体" w:cs="黑体"/>
        </w:rPr>
        <w:t>景德镇市珠山区老干部局2022年部门预算公开</w:t>
      </w:r>
    </w:p>
    <w:p w14:paraId="47BC8DF0">
      <w:pPr>
        <w:spacing w:before="240"/>
        <w:jc w:val="center"/>
        <w:rPr>
          <w:rFonts w:ascii="仿宋_GB2312" w:hAnsi="仿宋" w:eastAsia="仿宋_GB2312" w:cs="Times New Roman"/>
          <w:b/>
          <w:bCs/>
          <w:sz w:val="32"/>
          <w:szCs w:val="32"/>
        </w:rPr>
      </w:pPr>
      <w:r>
        <w:rPr>
          <w:rFonts w:hint="eastAsia" w:ascii="仿宋_GB2312" w:hAnsi="仿宋" w:eastAsia="仿宋_GB2312" w:cs="仿宋_GB2312"/>
          <w:b/>
          <w:bCs/>
          <w:sz w:val="32"/>
          <w:szCs w:val="32"/>
        </w:rPr>
        <w:t>目录</w:t>
      </w:r>
    </w:p>
    <w:p w14:paraId="632538FB">
      <w:pPr>
        <w:ind w:firstLine="640" w:firstLineChars="200"/>
        <w:rPr>
          <w:rFonts w:ascii="黑体" w:eastAsia="黑体" w:cs="Times New Roman"/>
          <w:sz w:val="32"/>
          <w:szCs w:val="32"/>
        </w:rPr>
      </w:pPr>
      <w:r>
        <w:rPr>
          <w:rFonts w:hint="eastAsia" w:ascii="黑体" w:hAnsi="宋体" w:eastAsia="黑体" w:cs="黑体"/>
          <w:sz w:val="32"/>
          <w:szCs w:val="32"/>
        </w:rPr>
        <w:t>第一部分珠山区</w:t>
      </w:r>
      <w:r>
        <w:rPr>
          <w:rFonts w:ascii="黑体" w:hAnsi="宋体" w:eastAsia="黑体" w:cs="黑体"/>
          <w:sz w:val="32"/>
          <w:szCs w:val="32"/>
        </w:rPr>
        <w:t>老</w:t>
      </w:r>
      <w:r>
        <w:rPr>
          <w:rFonts w:hint="eastAsia" w:ascii="黑体" w:hAnsi="宋体" w:eastAsia="黑体" w:cs="黑体"/>
          <w:sz w:val="32"/>
          <w:szCs w:val="32"/>
          <w:lang w:eastAsia="zh-CN"/>
        </w:rPr>
        <w:t>干部</w:t>
      </w:r>
      <w:bookmarkStart w:id="0" w:name="_GoBack"/>
      <w:bookmarkEnd w:id="0"/>
      <w:r>
        <w:rPr>
          <w:rFonts w:ascii="黑体" w:hAnsi="宋体" w:eastAsia="黑体" w:cs="黑体"/>
          <w:sz w:val="32"/>
          <w:szCs w:val="32"/>
        </w:rPr>
        <w:t>部</w:t>
      </w:r>
      <w:r>
        <w:rPr>
          <w:rFonts w:hint="eastAsia" w:ascii="黑体" w:hAnsi="宋体" w:eastAsia="黑体" w:cs="黑体"/>
          <w:sz w:val="32"/>
          <w:szCs w:val="32"/>
        </w:rPr>
        <w:t>局概况</w:t>
      </w:r>
    </w:p>
    <w:p w14:paraId="3656634E">
      <w:pPr>
        <w:ind w:firstLine="640" w:firstLineChars="200"/>
        <w:rPr>
          <w:rFonts w:ascii="仿宋_GB2312" w:hAnsi="宋体" w:eastAsia="仿宋_GB2312" w:cs="仿宋_GB2312"/>
          <w:sz w:val="32"/>
          <w:szCs w:val="32"/>
        </w:rPr>
      </w:pPr>
      <w:r>
        <w:rPr>
          <w:rFonts w:hint="eastAsia" w:ascii="仿宋" w:hAnsi="仿宋" w:eastAsia="仿宋" w:cs="仿宋"/>
          <w:color w:val="333333"/>
          <w:sz w:val="32"/>
          <w:szCs w:val="32"/>
          <w:shd w:val="clear" w:color="auto" w:fill="FFFFFF"/>
        </w:rPr>
        <w:t>  </w:t>
      </w:r>
      <w:r>
        <w:rPr>
          <w:rFonts w:hint="eastAsia" w:ascii="仿宋_GB2312" w:hAnsi="宋体" w:eastAsia="仿宋_GB2312" w:cs="仿宋_GB2312"/>
          <w:sz w:val="32"/>
          <w:szCs w:val="32"/>
        </w:rPr>
        <w:t>一、部门主要职责</w:t>
      </w:r>
    </w:p>
    <w:p w14:paraId="03096172">
      <w:pPr>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  二、部门机构设置情况</w:t>
      </w:r>
    </w:p>
    <w:p w14:paraId="732CEAA6">
      <w:pPr>
        <w:ind w:firstLine="640" w:firstLineChars="200"/>
        <w:rPr>
          <w:rFonts w:ascii="黑体" w:hAnsi="宋体" w:eastAsia="黑体" w:cs="Times New Roman"/>
          <w:sz w:val="32"/>
          <w:szCs w:val="32"/>
        </w:rPr>
      </w:pPr>
      <w:r>
        <w:rPr>
          <w:rFonts w:hint="eastAsia" w:ascii="黑体" w:hAnsi="宋体" w:eastAsia="黑体" w:cs="黑体"/>
          <w:sz w:val="32"/>
          <w:szCs w:val="32"/>
        </w:rPr>
        <w:t>第二部分珠山区</w:t>
      </w:r>
      <w:r>
        <w:rPr>
          <w:rFonts w:ascii="黑体" w:hAnsi="宋体" w:eastAsia="黑体" w:cs="黑体"/>
          <w:sz w:val="32"/>
          <w:szCs w:val="32"/>
        </w:rPr>
        <w:t>老干部</w:t>
      </w:r>
      <w:r>
        <w:rPr>
          <w:rFonts w:hint="eastAsia" w:ascii="黑体" w:hAnsi="宋体" w:eastAsia="黑体" w:cs="黑体"/>
          <w:sz w:val="32"/>
          <w:szCs w:val="32"/>
        </w:rPr>
        <w:t>局2022年部门预算情况说明</w:t>
      </w:r>
    </w:p>
    <w:p w14:paraId="0EBAD8B4">
      <w:pPr>
        <w:widowControl/>
        <w:shd w:val="clear" w:color="auto" w:fill="FFFFFF"/>
        <w:ind w:firstLine="640" w:firstLineChars="200"/>
        <w:jc w:val="left"/>
        <w:rPr>
          <w:rFonts w:ascii="仿宋_GB2312" w:hAnsi="微软雅黑" w:eastAsia="仿宋_GB2312" w:cs="仿宋_GB2312"/>
          <w:color w:val="000000"/>
          <w:kern w:val="0"/>
          <w:sz w:val="32"/>
          <w:szCs w:val="32"/>
          <w:shd w:val="clear" w:color="auto" w:fill="FFFFFF"/>
        </w:rPr>
      </w:pPr>
      <w:r>
        <w:rPr>
          <w:rFonts w:hint="eastAsia" w:ascii="仿宋" w:hAnsi="仿宋" w:eastAsia="仿宋" w:cs="仿宋"/>
          <w:color w:val="333333"/>
          <w:sz w:val="32"/>
          <w:szCs w:val="32"/>
          <w:shd w:val="clear" w:color="auto" w:fill="FFFFFF"/>
        </w:rPr>
        <w:t> </w:t>
      </w:r>
      <w:r>
        <w:rPr>
          <w:rFonts w:ascii="仿宋_GB2312" w:hAnsi="微软雅黑" w:eastAsia="仿宋_GB2312" w:cs="仿宋_GB2312"/>
          <w:color w:val="000000"/>
          <w:kern w:val="0"/>
          <w:sz w:val="32"/>
          <w:szCs w:val="32"/>
          <w:shd w:val="clear" w:color="auto" w:fill="FFFFFF"/>
        </w:rPr>
        <w:t>一、</w:t>
      </w:r>
      <w:r>
        <w:rPr>
          <w:rFonts w:hint="eastAsia" w:ascii="仿宋_GB2312" w:hAnsi="微软雅黑" w:eastAsia="仿宋_GB2312" w:cs="仿宋_GB2312"/>
          <w:color w:val="000000"/>
          <w:kern w:val="0"/>
          <w:sz w:val="32"/>
          <w:szCs w:val="32"/>
          <w:shd w:val="clear" w:color="auto" w:fill="FFFFFF"/>
        </w:rPr>
        <w:t>2022</w:t>
      </w:r>
      <w:r>
        <w:rPr>
          <w:rFonts w:ascii="仿宋_GB2312" w:hAnsi="微软雅黑" w:eastAsia="仿宋_GB2312" w:cs="仿宋_GB2312"/>
          <w:color w:val="000000"/>
          <w:kern w:val="0"/>
          <w:sz w:val="32"/>
          <w:szCs w:val="32"/>
          <w:shd w:val="clear" w:color="auto" w:fill="FFFFFF"/>
        </w:rPr>
        <w:t>年部门预算收支情况说明</w:t>
      </w:r>
    </w:p>
    <w:p w14:paraId="0A704AA8">
      <w:pPr>
        <w:widowControl/>
        <w:shd w:val="clear" w:color="auto" w:fill="FFFFFF"/>
        <w:ind w:firstLine="1280" w:firstLineChars="400"/>
        <w:jc w:val="left"/>
        <w:rPr>
          <w:rFonts w:ascii="仿宋_GB2312" w:eastAsia="仿宋_GB2312" w:cs="Times New Roman"/>
          <w:sz w:val="32"/>
          <w:szCs w:val="32"/>
        </w:rPr>
      </w:pPr>
      <w:r>
        <w:rPr>
          <w:rFonts w:ascii="仿宋_GB2312" w:hAnsi="微软雅黑" w:eastAsia="仿宋_GB2312" w:cs="仿宋_GB2312"/>
          <w:color w:val="000000"/>
          <w:kern w:val="0"/>
          <w:sz w:val="32"/>
          <w:szCs w:val="32"/>
          <w:shd w:val="clear" w:color="auto" w:fill="FFFFFF"/>
        </w:rPr>
        <w:t>二、</w:t>
      </w:r>
      <w:r>
        <w:rPr>
          <w:rFonts w:hint="eastAsia" w:ascii="仿宋_GB2312" w:hAnsi="微软雅黑" w:eastAsia="仿宋_GB2312" w:cs="仿宋_GB2312"/>
          <w:color w:val="000000"/>
          <w:kern w:val="0"/>
          <w:sz w:val="32"/>
          <w:szCs w:val="32"/>
          <w:shd w:val="clear" w:color="auto" w:fill="FFFFFF"/>
        </w:rPr>
        <w:t>2022</w:t>
      </w:r>
      <w:r>
        <w:rPr>
          <w:rFonts w:ascii="仿宋_GB2312" w:hAnsi="微软雅黑" w:eastAsia="仿宋_GB2312" w:cs="仿宋_GB2312"/>
          <w:color w:val="000000"/>
          <w:kern w:val="0"/>
          <w:sz w:val="32"/>
          <w:szCs w:val="32"/>
          <w:shd w:val="clear" w:color="auto" w:fill="FFFFFF"/>
        </w:rPr>
        <w:t>年</w:t>
      </w:r>
      <w:r>
        <w:rPr>
          <w:rFonts w:hint="eastAsia" w:ascii="仿宋_GB2312" w:hAnsi="微软雅黑" w:eastAsia="仿宋_GB2312" w:cs="仿宋_GB2312"/>
          <w:color w:val="000000"/>
          <w:kern w:val="0"/>
          <w:sz w:val="32"/>
          <w:szCs w:val="32"/>
          <w:shd w:val="clear" w:color="auto" w:fill="FFFFFF"/>
        </w:rPr>
        <w:t>“</w:t>
      </w:r>
      <w:r>
        <w:rPr>
          <w:rFonts w:ascii="仿宋_GB2312" w:hAnsi="微软雅黑" w:eastAsia="仿宋_GB2312" w:cs="仿宋_GB2312"/>
          <w:color w:val="000000"/>
          <w:kern w:val="0"/>
          <w:sz w:val="32"/>
          <w:szCs w:val="32"/>
          <w:shd w:val="clear" w:color="auto" w:fill="FFFFFF"/>
        </w:rPr>
        <w:t>三公</w:t>
      </w:r>
      <w:r>
        <w:rPr>
          <w:rFonts w:hint="eastAsia" w:ascii="仿宋_GB2312" w:hAnsi="微软雅黑" w:eastAsia="仿宋_GB2312" w:cs="仿宋_GB2312"/>
          <w:color w:val="000000"/>
          <w:kern w:val="0"/>
          <w:sz w:val="32"/>
          <w:szCs w:val="32"/>
          <w:shd w:val="clear" w:color="auto" w:fill="FFFFFF"/>
        </w:rPr>
        <w:t>”</w:t>
      </w:r>
      <w:r>
        <w:rPr>
          <w:rFonts w:ascii="仿宋_GB2312" w:hAnsi="微软雅黑" w:eastAsia="仿宋_GB2312" w:cs="仿宋_GB2312"/>
          <w:color w:val="000000"/>
          <w:kern w:val="0"/>
          <w:sz w:val="32"/>
          <w:szCs w:val="32"/>
          <w:shd w:val="clear" w:color="auto" w:fill="FFFFFF"/>
        </w:rPr>
        <w:t>经费</w:t>
      </w:r>
      <w:r>
        <w:rPr>
          <w:rFonts w:hint="eastAsia" w:ascii="仿宋_GB2312" w:hAnsi="微软雅黑" w:eastAsia="仿宋_GB2312" w:cs="仿宋_GB2312"/>
          <w:color w:val="000000"/>
          <w:kern w:val="0"/>
          <w:sz w:val="32"/>
          <w:szCs w:val="32"/>
          <w:shd w:val="clear" w:color="auto" w:fill="FFFFFF"/>
        </w:rPr>
        <w:t>预算情况</w:t>
      </w:r>
      <w:r>
        <w:rPr>
          <w:rFonts w:ascii="仿宋_GB2312" w:hAnsi="微软雅黑" w:eastAsia="仿宋_GB2312" w:cs="仿宋_GB2312"/>
          <w:color w:val="000000"/>
          <w:kern w:val="0"/>
          <w:sz w:val="32"/>
          <w:szCs w:val="32"/>
          <w:shd w:val="clear" w:color="auto" w:fill="FFFFFF"/>
        </w:rPr>
        <w:t>说明</w:t>
      </w:r>
    </w:p>
    <w:p w14:paraId="56997B2A">
      <w:pPr>
        <w:ind w:firstLine="640" w:firstLineChars="200"/>
        <w:rPr>
          <w:rFonts w:ascii="黑体" w:hAnsi="宋体" w:eastAsia="黑体" w:cs="Times New Roman"/>
          <w:sz w:val="32"/>
          <w:szCs w:val="32"/>
        </w:rPr>
      </w:pPr>
      <w:r>
        <w:rPr>
          <w:rFonts w:hint="eastAsia" w:ascii="黑体" w:hAnsi="宋体" w:eastAsia="黑体" w:cs="黑体"/>
          <w:sz w:val="32"/>
          <w:szCs w:val="32"/>
        </w:rPr>
        <w:t>第三部分</w:t>
      </w:r>
      <w:r>
        <w:rPr>
          <w:rFonts w:ascii="黑体" w:hAnsi="宋体" w:eastAsia="黑体" w:cs="黑体"/>
          <w:sz w:val="32"/>
          <w:szCs w:val="32"/>
        </w:rPr>
        <w:t xml:space="preserve"> 老干部</w:t>
      </w:r>
      <w:r>
        <w:rPr>
          <w:rFonts w:hint="eastAsia" w:ascii="黑体" w:hAnsi="宋体" w:eastAsia="黑体" w:cs="黑体"/>
          <w:sz w:val="32"/>
          <w:szCs w:val="32"/>
        </w:rPr>
        <w:t>局2022年部门预算表</w:t>
      </w:r>
    </w:p>
    <w:p w14:paraId="405C99DE">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一、《收支预算总表》</w:t>
      </w:r>
    </w:p>
    <w:p w14:paraId="2648F0E0">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二、《部门收入总表》</w:t>
      </w:r>
    </w:p>
    <w:p w14:paraId="6C2CCB0E">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三、《部门支出总表》</w:t>
      </w:r>
    </w:p>
    <w:p w14:paraId="0329215B">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四、《财政拨款收支总表》</w:t>
      </w:r>
    </w:p>
    <w:p w14:paraId="0941BD25">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五、《一般公共预算支出表》</w:t>
      </w:r>
    </w:p>
    <w:p w14:paraId="7189FD02">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六、《一般公共预算基本支出表》</w:t>
      </w:r>
    </w:p>
    <w:p w14:paraId="49D99359">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七、《一般公共预算“三公”经费支出表》</w:t>
      </w:r>
    </w:p>
    <w:p w14:paraId="58628F58">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八、《政府性基金预算支出表》</w:t>
      </w:r>
    </w:p>
    <w:p w14:paraId="48F8B759">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九、《部门整体绩效目标表》</w:t>
      </w:r>
    </w:p>
    <w:p w14:paraId="76742526">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十、《一级项目绩效目标表》</w:t>
      </w:r>
    </w:p>
    <w:p w14:paraId="2771D147">
      <w:pPr>
        <w:rPr>
          <w:rFonts w:ascii="黑体" w:hAnsi="宋体" w:eastAsia="黑体" w:cs="黑体"/>
          <w:sz w:val="32"/>
          <w:szCs w:val="32"/>
        </w:rPr>
      </w:pPr>
    </w:p>
    <w:p w14:paraId="5C4DE740">
      <w:pPr>
        <w:rPr>
          <w:rFonts w:ascii="黑体" w:hAnsi="宋体" w:eastAsia="黑体" w:cs="Times New Roman"/>
          <w:sz w:val="32"/>
          <w:szCs w:val="32"/>
        </w:rPr>
      </w:pPr>
      <w:r>
        <w:rPr>
          <w:rFonts w:hint="eastAsia" w:ascii="黑体" w:hAnsi="宋体" w:eastAsia="黑体" w:cs="黑体"/>
          <w:sz w:val="32"/>
          <w:szCs w:val="32"/>
        </w:rPr>
        <w:t>第一部分珠山区</w:t>
      </w:r>
      <w:r>
        <w:rPr>
          <w:rFonts w:ascii="黑体" w:hAnsi="宋体" w:eastAsia="黑体" w:cs="黑体"/>
          <w:sz w:val="32"/>
          <w:szCs w:val="32"/>
        </w:rPr>
        <w:t>老干部</w:t>
      </w:r>
      <w:r>
        <w:rPr>
          <w:rFonts w:hint="eastAsia" w:ascii="黑体" w:hAnsi="宋体" w:eastAsia="黑体" w:cs="黑体"/>
          <w:sz w:val="32"/>
          <w:szCs w:val="32"/>
        </w:rPr>
        <w:t>局概况</w:t>
      </w:r>
    </w:p>
    <w:p w14:paraId="7DBE224D">
      <w:pPr>
        <w:ind w:firstLine="630" w:firstLineChars="196"/>
        <w:rPr>
          <w:rFonts w:ascii="仿宋_GB2312" w:eastAsia="仿宋_GB2312" w:cs="Times New Roman"/>
          <w:b/>
          <w:bCs/>
          <w:sz w:val="32"/>
          <w:szCs w:val="32"/>
        </w:rPr>
      </w:pPr>
      <w:r>
        <w:rPr>
          <w:rFonts w:hint="eastAsia" w:ascii="仿宋_GB2312" w:hAnsi="宋体" w:eastAsia="仿宋_GB2312" w:cs="仿宋_GB2312"/>
          <w:b/>
          <w:bCs/>
          <w:sz w:val="32"/>
          <w:szCs w:val="32"/>
        </w:rPr>
        <w:t>一、部门主要职责</w:t>
      </w:r>
    </w:p>
    <w:p w14:paraId="00328A68">
      <w:pPr>
        <w:ind w:firstLine="640" w:firstLineChars="200"/>
        <w:rPr>
          <w:rFonts w:ascii="仿宋" w:hAnsi="仿宋" w:eastAsia="仿宋" w:cs="仿宋"/>
          <w:sz w:val="32"/>
          <w:szCs w:val="32"/>
        </w:rPr>
      </w:pPr>
      <w:r>
        <w:rPr>
          <w:rFonts w:hint="eastAsia" w:ascii="仿宋" w:hAnsi="仿宋" w:eastAsia="仿宋" w:cs="仿宋"/>
          <w:sz w:val="32"/>
          <w:szCs w:val="32"/>
        </w:rPr>
        <w:t>1．承担区委老干部局日常工作;负责向区老干部工作领导小组报告全区老干部工作情况,协助区委、区政府制定和完善老干部工作的具体措施;</w:t>
      </w:r>
    </w:p>
    <w:p w14:paraId="1EFD5FEC">
      <w:pPr>
        <w:ind w:firstLine="640" w:firstLineChars="200"/>
        <w:rPr>
          <w:rFonts w:ascii="仿宋" w:hAnsi="仿宋" w:eastAsia="仿宋" w:cs="仿宋"/>
          <w:sz w:val="32"/>
          <w:szCs w:val="32"/>
        </w:rPr>
      </w:pPr>
      <w:r>
        <w:rPr>
          <w:rFonts w:hint="eastAsia" w:ascii="仿宋" w:hAnsi="仿宋" w:eastAsia="仿宋" w:cs="仿宋"/>
          <w:sz w:val="32"/>
          <w:szCs w:val="32"/>
        </w:rPr>
        <w:t>2、协助区委组织部督促、检查老干部工作领导责任制的落实;督查指导全区各单位落实老干部政治、生活待遇;</w:t>
      </w:r>
    </w:p>
    <w:p w14:paraId="1118DE2C">
      <w:pPr>
        <w:ind w:firstLine="640" w:firstLineChars="200"/>
        <w:rPr>
          <w:rFonts w:ascii="仿宋" w:hAnsi="仿宋" w:eastAsia="仿宋" w:cs="仿宋"/>
          <w:sz w:val="32"/>
          <w:szCs w:val="32"/>
        </w:rPr>
      </w:pPr>
      <w:r>
        <w:rPr>
          <w:rFonts w:hint="eastAsia" w:ascii="仿宋" w:hAnsi="仿宋" w:eastAsia="仿宋" w:cs="仿宋"/>
          <w:sz w:val="32"/>
          <w:szCs w:val="32"/>
        </w:rPr>
        <w:t>3、协调有关部门研究解决老干部工作中存在的问题;协助区委组织部指导老干部党支部建设和老干部思想政治工作;</w:t>
      </w:r>
    </w:p>
    <w:p w14:paraId="5F098C56">
      <w:pPr>
        <w:ind w:firstLine="640" w:firstLineChars="200"/>
        <w:rPr>
          <w:rFonts w:ascii="仿宋" w:hAnsi="仿宋" w:eastAsia="仿宋" w:cs="仿宋"/>
          <w:sz w:val="32"/>
          <w:szCs w:val="32"/>
        </w:rPr>
      </w:pPr>
      <w:r>
        <w:rPr>
          <w:rFonts w:hint="eastAsia" w:ascii="仿宋" w:hAnsi="仿宋" w:eastAsia="仿宋" w:cs="仿宋"/>
          <w:sz w:val="32"/>
          <w:szCs w:val="32"/>
        </w:rPr>
        <w:t>4、引导老干部在社会主义物质文明、政治文明、精神文明建设中发挥作用;</w:t>
      </w:r>
    </w:p>
    <w:p w14:paraId="01EF8F53">
      <w:pPr>
        <w:ind w:firstLine="640" w:firstLineChars="200"/>
        <w:rPr>
          <w:rFonts w:ascii="仿宋" w:hAnsi="仿宋" w:eastAsia="仿宋" w:cs="仿宋"/>
          <w:sz w:val="32"/>
          <w:szCs w:val="32"/>
        </w:rPr>
      </w:pPr>
      <w:r>
        <w:rPr>
          <w:rFonts w:hint="eastAsia" w:ascii="仿宋" w:hAnsi="仿宋" w:eastAsia="仿宋" w:cs="仿宋"/>
          <w:sz w:val="32"/>
          <w:szCs w:val="32"/>
        </w:rPr>
        <w:t>5、</w:t>
      </w:r>
      <w:r>
        <w:fldChar w:fldCharType="begin"/>
      </w:r>
      <w:r>
        <w:instrText xml:space="preserve"> HYPERLINK "http://j.3edu.net/" </w:instrText>
      </w:r>
      <w:r>
        <w:fldChar w:fldCharType="separate"/>
      </w:r>
      <w:r>
        <w:rPr>
          <w:rFonts w:hint="eastAsia" w:ascii="仿宋" w:hAnsi="仿宋" w:eastAsia="仿宋" w:cs="仿宋"/>
          <w:sz w:val="32"/>
          <w:szCs w:val="32"/>
        </w:rPr>
        <w:t>总结</w:t>
      </w:r>
      <w:r>
        <w:rPr>
          <w:rFonts w:hint="eastAsia" w:ascii="仿宋" w:hAnsi="仿宋" w:eastAsia="仿宋" w:cs="仿宋"/>
          <w:sz w:val="32"/>
          <w:szCs w:val="32"/>
        </w:rPr>
        <w:fldChar w:fldCharType="end"/>
      </w:r>
      <w:r>
        <w:rPr>
          <w:rFonts w:hint="eastAsia" w:ascii="仿宋" w:hAnsi="仿宋" w:eastAsia="仿宋" w:cs="仿宋"/>
          <w:sz w:val="32"/>
          <w:szCs w:val="32"/>
        </w:rPr>
        <w:t>老干部工作经验,表彰先进;</w:t>
      </w:r>
    </w:p>
    <w:p w14:paraId="76B1AD60">
      <w:pPr>
        <w:ind w:firstLine="640" w:firstLineChars="200"/>
        <w:rPr>
          <w:rFonts w:ascii="仿宋" w:hAnsi="仿宋" w:eastAsia="仿宋" w:cs="仿宋"/>
          <w:sz w:val="32"/>
          <w:szCs w:val="32"/>
        </w:rPr>
      </w:pPr>
      <w:r>
        <w:rPr>
          <w:rFonts w:hint="eastAsia" w:ascii="仿宋" w:hAnsi="仿宋" w:eastAsia="仿宋" w:cs="仿宋"/>
          <w:sz w:val="32"/>
          <w:szCs w:val="32"/>
        </w:rPr>
        <w:t>6、加强老干部工作队伍建设</w:t>
      </w:r>
    </w:p>
    <w:p w14:paraId="5A2F6788">
      <w:pPr>
        <w:ind w:firstLine="630" w:firstLineChars="196"/>
        <w:rPr>
          <w:rFonts w:ascii="仿宋_GB2312" w:eastAsia="仿宋_GB2312" w:cs="Times New Roman"/>
          <w:b/>
          <w:bCs/>
          <w:sz w:val="32"/>
          <w:szCs w:val="32"/>
        </w:rPr>
      </w:pPr>
      <w:r>
        <w:rPr>
          <w:rFonts w:hint="eastAsia" w:ascii="仿宋_GB2312" w:hAnsi="宋体" w:eastAsia="仿宋_GB2312" w:cs="仿宋_GB2312"/>
          <w:b/>
          <w:bCs/>
          <w:sz w:val="32"/>
          <w:szCs w:val="32"/>
        </w:rPr>
        <w:t>二、部门基本情况</w:t>
      </w:r>
    </w:p>
    <w:p w14:paraId="7019EF11">
      <w:pPr>
        <w:spacing w:line="660" w:lineRule="exact"/>
        <w:ind w:firstLine="640" w:firstLineChars="200"/>
        <w:rPr>
          <w:rFonts w:ascii="仿宋" w:hAnsi="仿宋" w:eastAsia="仿宋" w:cs="仿宋"/>
          <w:sz w:val="32"/>
          <w:szCs w:val="32"/>
        </w:rPr>
      </w:pPr>
      <w:r>
        <w:rPr>
          <w:rFonts w:hint="eastAsia" w:ascii="仿宋" w:hAnsi="仿宋" w:eastAsia="仿宋" w:cs="仿宋"/>
          <w:sz w:val="32"/>
          <w:szCs w:val="32"/>
        </w:rPr>
        <w:t>本部门共有预算单位1个。编制数为7人，其中行政编制2人，工勤编制1人，事业编制4人。实有人数5人，其中在职5人，包括行政3人、事业编制2人，退休1人。</w:t>
      </w:r>
    </w:p>
    <w:p w14:paraId="2E221FE4">
      <w:pPr>
        <w:rPr>
          <w:rFonts w:hint="eastAsia" w:ascii="仿宋_GB2312" w:hAnsi="宋体" w:eastAsia="仿宋_GB2312" w:cs="仿宋_GB2312"/>
          <w:b/>
          <w:bCs/>
          <w:sz w:val="32"/>
          <w:szCs w:val="32"/>
        </w:rPr>
      </w:pPr>
    </w:p>
    <w:p w14:paraId="3E8FC921">
      <w:pPr>
        <w:rPr>
          <w:rFonts w:ascii="黑体" w:hAnsi="宋体" w:eastAsia="黑体" w:cs="Times New Roman"/>
          <w:sz w:val="32"/>
          <w:szCs w:val="32"/>
        </w:rPr>
      </w:pPr>
      <w:r>
        <w:rPr>
          <w:rFonts w:hint="eastAsia" w:ascii="黑体" w:hAnsi="宋体" w:eastAsia="黑体" w:cs="黑体"/>
          <w:sz w:val="32"/>
          <w:szCs w:val="32"/>
        </w:rPr>
        <w:t>第二部分</w:t>
      </w:r>
      <w:r>
        <w:rPr>
          <w:rFonts w:ascii="黑体" w:hAnsi="宋体" w:eastAsia="黑体" w:cs="黑体"/>
          <w:sz w:val="32"/>
          <w:szCs w:val="32"/>
        </w:rPr>
        <w:t xml:space="preserve"> 老干部</w:t>
      </w:r>
      <w:r>
        <w:rPr>
          <w:rFonts w:hint="eastAsia" w:ascii="黑体" w:hAnsi="宋体" w:eastAsia="黑体" w:cs="黑体"/>
          <w:sz w:val="32"/>
          <w:szCs w:val="32"/>
        </w:rPr>
        <w:t>局2022年部门预算情况说明</w:t>
      </w:r>
    </w:p>
    <w:p w14:paraId="3C9156E3">
      <w:pPr>
        <w:ind w:firstLine="643" w:firstLineChars="200"/>
        <w:rPr>
          <w:rFonts w:ascii="仿宋_GB2312" w:eastAsia="仿宋_GB2312" w:cs="Times New Roman"/>
          <w:b/>
          <w:bCs/>
          <w:sz w:val="32"/>
          <w:szCs w:val="32"/>
        </w:rPr>
      </w:pPr>
      <w:r>
        <w:rPr>
          <w:rFonts w:hint="eastAsia" w:ascii="仿宋_GB2312" w:hAnsi="宋体" w:eastAsia="仿宋_GB2312" w:cs="仿宋_GB2312"/>
          <w:b/>
          <w:bCs/>
          <w:sz w:val="32"/>
          <w:szCs w:val="32"/>
        </w:rPr>
        <w:t>一、2022年部门预算收支情况说明</w:t>
      </w:r>
    </w:p>
    <w:p w14:paraId="087D0B37">
      <w:pPr>
        <w:ind w:firstLine="482" w:firstLineChars="150"/>
        <w:rPr>
          <w:rFonts w:ascii="仿宋_GB2312" w:eastAsia="仿宋_GB2312" w:cs="Times New Roman"/>
          <w:b/>
          <w:bCs/>
          <w:sz w:val="32"/>
          <w:szCs w:val="32"/>
        </w:rPr>
      </w:pPr>
      <w:r>
        <w:rPr>
          <w:rFonts w:hint="eastAsia" w:ascii="仿宋_GB2312" w:hAnsi="宋体" w:eastAsia="仿宋_GB2312" w:cs="仿宋_GB2312"/>
          <w:b/>
          <w:bCs/>
          <w:sz w:val="32"/>
          <w:szCs w:val="32"/>
        </w:rPr>
        <w:t>（一）预算收入情况</w:t>
      </w:r>
    </w:p>
    <w:p w14:paraId="220C6382">
      <w:pPr>
        <w:spacing w:line="570" w:lineRule="exact"/>
        <w:ind w:firstLine="600"/>
        <w:rPr>
          <w:rFonts w:ascii="仿宋" w:hAnsi="仿宋" w:eastAsia="仿宋" w:cs="仿宋"/>
          <w:sz w:val="32"/>
          <w:szCs w:val="32"/>
        </w:rPr>
      </w:pPr>
      <w:r>
        <w:rPr>
          <w:rFonts w:hint="eastAsia" w:ascii="仿宋" w:hAnsi="仿宋" w:eastAsia="仿宋" w:cs="仿宋"/>
          <w:sz w:val="32"/>
          <w:szCs w:val="32"/>
        </w:rPr>
        <w:t>2022年我单位收入预算总额为113.5万元，与上年预算相比增加16%，说明情况。其中：因为事业单位改革，区关工委职能归属到区老干部局，所以经费也划拨到老干部局。当年财政拨款收入95万元，关工委财政拨款收入18.5万元。占收入预算总额的100%；政府性基金拨款收入0万元，占收入预算总额的0%；事业收入0万元，占收入预算总额的0%；事业单位经营收入0万元，占收入预算总额的0%；当年其他各项收入0万元，占收入预算总额的0%；上年结余结转收入0万元，占收入预算总额的0%。</w:t>
      </w:r>
    </w:p>
    <w:p w14:paraId="1287AA54">
      <w:pPr>
        <w:ind w:firstLine="600"/>
        <w:rPr>
          <w:rFonts w:ascii="仿宋_GB2312" w:hAnsi="宋体" w:eastAsia="仿宋_GB2312" w:cs="仿宋_GB2312"/>
          <w:b/>
          <w:bCs/>
          <w:sz w:val="32"/>
          <w:szCs w:val="32"/>
        </w:rPr>
      </w:pPr>
    </w:p>
    <w:p w14:paraId="365B0B9D">
      <w:pPr>
        <w:ind w:firstLine="482" w:firstLineChars="150"/>
        <w:rPr>
          <w:rFonts w:ascii="仿宋_GB2312" w:eastAsia="仿宋_GB2312" w:cs="Times New Roman"/>
          <w:b/>
          <w:bCs/>
          <w:sz w:val="32"/>
          <w:szCs w:val="32"/>
        </w:rPr>
      </w:pPr>
      <w:r>
        <w:rPr>
          <w:rFonts w:hint="eastAsia" w:ascii="仿宋_GB2312" w:hAnsi="宋体" w:eastAsia="仿宋_GB2312" w:cs="仿宋_GB2312"/>
          <w:b/>
          <w:bCs/>
          <w:sz w:val="32"/>
          <w:szCs w:val="32"/>
        </w:rPr>
        <w:t>（二）预算支出情况</w:t>
      </w:r>
    </w:p>
    <w:p w14:paraId="48C2C752">
      <w:pPr>
        <w:spacing w:line="570" w:lineRule="exact"/>
        <w:ind w:firstLine="640" w:firstLineChars="200"/>
        <w:rPr>
          <w:rFonts w:ascii="仿宋" w:hAnsi="仿宋" w:eastAsia="仿宋" w:cs="仿宋"/>
          <w:sz w:val="32"/>
          <w:szCs w:val="32"/>
        </w:rPr>
      </w:pPr>
      <w:r>
        <w:rPr>
          <w:rFonts w:hint="eastAsia" w:ascii="仿宋" w:hAnsi="仿宋" w:eastAsia="仿宋" w:cs="仿宋"/>
          <w:sz w:val="32"/>
          <w:szCs w:val="32"/>
        </w:rPr>
        <w:t>2022年我单位支出预算总额为113.5万元，与上年预算相比增加16%，说明情况。因为事业单位改革区关工委职能归属到区老干部局，所以支出预算也属于老干部局。其中：按支出项目类别划分：基本支出113.5万元，占支出预算总额的100%，包括工资福利支出51.4万元、商品和服务支出61.8万元、对个人和家庭的补助0.3万元、其中公务接待2.9万元、债务利息支出0万元、基本建设支出0万元、其他资本性支出0万元、其他相关支出0万元；事业经营支出0万元，占支出预算总额的0%；对附属单位补助支出的0万元，占支出预算总额的0%；上缴上级支出0元，占支出预算总额的0%。</w:t>
      </w:r>
    </w:p>
    <w:p w14:paraId="1F50E033">
      <w:pPr>
        <w:spacing w:line="570" w:lineRule="exact"/>
        <w:ind w:firstLine="640" w:firstLineChars="200"/>
        <w:rPr>
          <w:rFonts w:ascii="仿宋" w:hAnsi="仿宋" w:eastAsia="仿宋" w:cs="仿宋"/>
          <w:sz w:val="32"/>
          <w:szCs w:val="32"/>
        </w:rPr>
      </w:pPr>
      <w:r>
        <w:rPr>
          <w:rFonts w:hint="eastAsia" w:ascii="仿宋" w:hAnsi="仿宋" w:eastAsia="仿宋" w:cs="仿宋"/>
          <w:sz w:val="32"/>
          <w:szCs w:val="32"/>
        </w:rPr>
        <w:t>按支出功能项目科目划分：一般公共服务101.51万元，占支出预算总额的100%；公共安全支出0万元，占支出预算总额的0%；</w:t>
      </w:r>
    </w:p>
    <w:p w14:paraId="4143730E">
      <w:pPr>
        <w:spacing w:line="570" w:lineRule="exact"/>
        <w:ind w:firstLine="640" w:firstLineChars="200"/>
        <w:rPr>
          <w:rFonts w:ascii="仿宋" w:hAnsi="仿宋" w:eastAsia="仿宋" w:cs="仿宋"/>
          <w:sz w:val="32"/>
          <w:szCs w:val="32"/>
        </w:rPr>
      </w:pPr>
      <w:r>
        <w:rPr>
          <w:rFonts w:hint="eastAsia" w:ascii="仿宋" w:hAnsi="仿宋" w:eastAsia="仿宋" w:cs="仿宋"/>
          <w:sz w:val="32"/>
          <w:szCs w:val="32"/>
        </w:rPr>
        <w:t>按支出经济分类划分：工资福利支出51.4万元，占支出预算总额的45%；商品和服务支出61.8万元，占支出预算总额的55%；</w:t>
      </w:r>
    </w:p>
    <w:p w14:paraId="32CDFCED">
      <w:pPr>
        <w:spacing w:line="570" w:lineRule="exact"/>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（三）经费拨款支出情况</w:t>
      </w:r>
    </w:p>
    <w:p w14:paraId="4CEE9A9C">
      <w:pPr>
        <w:spacing w:line="570" w:lineRule="exact"/>
        <w:ind w:firstLine="640" w:firstLineChars="200"/>
        <w:rPr>
          <w:rFonts w:ascii="仿宋" w:hAnsi="仿宋" w:eastAsia="仿宋" w:cs="仿宋"/>
          <w:sz w:val="32"/>
          <w:szCs w:val="32"/>
        </w:rPr>
      </w:pPr>
      <w:r>
        <w:rPr>
          <w:rFonts w:hint="eastAsia" w:ascii="仿宋" w:hAnsi="仿宋" w:eastAsia="仿宋" w:cs="仿宋"/>
          <w:sz w:val="32"/>
          <w:szCs w:val="32"/>
        </w:rPr>
        <w:t>2022年我单位经费拨款支出预算113.5万元，占支出预算总额的100%，与上年预算相比增加16%。</w:t>
      </w:r>
    </w:p>
    <w:p w14:paraId="129EFB0C">
      <w:pPr>
        <w:ind w:firstLine="643" w:firstLineChars="200"/>
        <w:rPr>
          <w:rFonts w:ascii="仿宋_GB2312" w:hAnsi="宋体" w:eastAsia="仿宋_GB2312" w:cs="仿宋_GB2312"/>
          <w:b/>
          <w:bCs/>
          <w:sz w:val="32"/>
          <w:szCs w:val="32"/>
        </w:rPr>
      </w:pPr>
    </w:p>
    <w:p w14:paraId="5294DCDB">
      <w:pPr>
        <w:numPr>
          <w:ilvl w:val="0"/>
          <w:numId w:val="1"/>
        </w:numPr>
        <w:ind w:left="540"/>
        <w:rPr>
          <w:rFonts w:ascii="仿宋_GB2312" w:eastAsia="仿宋_GB2312" w:cs="Times New Roman"/>
          <w:b/>
          <w:bCs/>
          <w:sz w:val="32"/>
          <w:szCs w:val="32"/>
        </w:rPr>
      </w:pPr>
      <w:r>
        <w:rPr>
          <w:rFonts w:hint="eastAsia" w:ascii="仿宋_GB2312" w:hAnsi="宋体" w:eastAsia="仿宋_GB2312" w:cs="仿宋_GB2312"/>
          <w:b/>
          <w:bCs/>
          <w:sz w:val="32"/>
          <w:szCs w:val="32"/>
        </w:rPr>
        <w:t>政府采购预算情况</w:t>
      </w:r>
    </w:p>
    <w:p w14:paraId="511EA0F7">
      <w:pPr>
        <w:spacing w:line="570" w:lineRule="exact"/>
        <w:ind w:firstLine="640" w:firstLineChars="200"/>
        <w:rPr>
          <w:rFonts w:ascii="仿宋_GB2312" w:eastAsia="仿宋_GB2312"/>
          <w:sz w:val="32"/>
          <w:szCs w:val="30"/>
        </w:rPr>
      </w:pPr>
      <w:r>
        <w:rPr>
          <w:rFonts w:hint="eastAsia" w:ascii="仿宋_GB2312" w:eastAsia="仿宋_GB2312"/>
          <w:sz w:val="32"/>
          <w:szCs w:val="30"/>
        </w:rPr>
        <w:t>2022年部门所属各单位政府采购总额</w:t>
      </w:r>
      <w:r>
        <w:rPr>
          <w:rFonts w:hint="eastAsia" w:ascii="仿宋_GB2312" w:eastAsia="仿宋_GB2312"/>
          <w:sz w:val="32"/>
          <w:szCs w:val="30"/>
          <w:u w:val="single"/>
        </w:rPr>
        <w:t>4</w:t>
      </w:r>
      <w:r>
        <w:rPr>
          <w:rFonts w:hint="eastAsia" w:ascii="仿宋_GB2312" w:eastAsia="仿宋_GB2312"/>
          <w:sz w:val="32"/>
          <w:szCs w:val="30"/>
        </w:rPr>
        <w:t>万元，主要用于印刷服务、设备采购等。</w:t>
      </w:r>
    </w:p>
    <w:p w14:paraId="4864085A">
      <w:pPr>
        <w:tabs>
          <w:tab w:val="left" w:pos="1162"/>
        </w:tabs>
        <w:ind w:left="420" w:leftChars="200" w:firstLine="320" w:firstLineChars="100"/>
        <w:rPr>
          <w:rFonts w:ascii="仿宋_GB2312" w:hAnsi="宋体" w:eastAsia="仿宋_GB2312" w:cs="仿宋_GB2312"/>
          <w:sz w:val="32"/>
          <w:szCs w:val="32"/>
        </w:rPr>
      </w:pPr>
    </w:p>
    <w:p w14:paraId="5254A7B2">
      <w:pPr>
        <w:tabs>
          <w:tab w:val="left" w:pos="1162"/>
        </w:tabs>
        <w:ind w:left="420" w:leftChars="200" w:firstLine="321" w:firstLineChars="100"/>
        <w:rPr>
          <w:rFonts w:ascii="仿宋_GB2312" w:eastAsia="仿宋_GB2312" w:cs="Times New Roman"/>
          <w:b/>
          <w:bCs/>
          <w:sz w:val="32"/>
          <w:szCs w:val="32"/>
        </w:rPr>
      </w:pPr>
      <w:r>
        <w:rPr>
          <w:rFonts w:hint="eastAsia" w:ascii="仿宋_GB2312" w:hAnsi="宋体" w:eastAsia="仿宋_GB2312" w:cs="仿宋_GB2312"/>
          <w:b/>
          <w:bCs/>
          <w:sz w:val="32"/>
          <w:szCs w:val="32"/>
        </w:rPr>
        <w:t>（五）政府基金收支情况</w:t>
      </w:r>
    </w:p>
    <w:p w14:paraId="3F3EE6E8">
      <w:pPr>
        <w:ind w:left="420" w:leftChars="200" w:firstLine="640" w:firstLineChars="200"/>
        <w:rPr>
          <w:rFonts w:ascii="仿宋_GB2312" w:eastAsia="仿宋_GB2312" w:cs="Times New Roman"/>
          <w:sz w:val="32"/>
          <w:szCs w:val="32"/>
        </w:rPr>
      </w:pPr>
      <w:r>
        <w:rPr>
          <w:rFonts w:hint="eastAsia" w:ascii="仿宋_GB2312" w:hAnsi="宋体" w:eastAsia="仿宋_GB2312" w:cs="仿宋_GB2312"/>
          <w:sz w:val="32"/>
          <w:szCs w:val="32"/>
        </w:rPr>
        <w:t>“无政府基金收支预算”。</w:t>
      </w:r>
    </w:p>
    <w:p w14:paraId="7C09D36F">
      <w:pPr>
        <w:tabs>
          <w:tab w:val="left" w:pos="1113"/>
        </w:tabs>
        <w:ind w:firstLine="643" w:firstLineChars="200"/>
        <w:rPr>
          <w:rFonts w:ascii="仿宋_GB2312" w:eastAsia="仿宋_GB2312" w:cs="Times New Roman"/>
          <w:b/>
          <w:bCs/>
          <w:sz w:val="32"/>
          <w:szCs w:val="32"/>
        </w:rPr>
      </w:pPr>
      <w:r>
        <w:rPr>
          <w:rFonts w:hint="eastAsia" w:ascii="仿宋_GB2312" w:hAnsi="宋体" w:eastAsia="仿宋_GB2312" w:cs="仿宋_GB2312"/>
          <w:b/>
          <w:bCs/>
          <w:sz w:val="32"/>
          <w:szCs w:val="32"/>
        </w:rPr>
        <w:t>（六）2022年“三公”经费预算情况说明</w:t>
      </w:r>
    </w:p>
    <w:p w14:paraId="5CA355B9">
      <w:pPr>
        <w:widowControl/>
        <w:spacing w:line="580" w:lineRule="exact"/>
        <w:ind w:firstLine="640"/>
        <w:jc w:val="left"/>
        <w:rPr>
          <w:rFonts w:ascii="仿宋" w:hAnsi="仿宋" w:eastAsia="仿宋" w:cs="仿宋"/>
          <w:sz w:val="32"/>
          <w:szCs w:val="30"/>
        </w:rPr>
      </w:pPr>
      <w:r>
        <w:rPr>
          <w:rFonts w:hint="eastAsia" w:ascii="仿宋" w:hAnsi="仿宋" w:eastAsia="仿宋" w:cs="仿宋"/>
          <w:sz w:val="32"/>
          <w:szCs w:val="30"/>
        </w:rPr>
        <w:t>2022年我单位“三公”经费一般公共预算安排</w:t>
      </w:r>
      <w:r>
        <w:rPr>
          <w:rFonts w:hint="eastAsia" w:ascii="仿宋" w:hAnsi="仿宋" w:eastAsia="仿宋" w:cs="仿宋"/>
          <w:sz w:val="32"/>
          <w:szCs w:val="30"/>
          <w:u w:val="single"/>
        </w:rPr>
        <w:t>2.9</w:t>
      </w:r>
      <w:r>
        <w:rPr>
          <w:rFonts w:hint="eastAsia" w:ascii="仿宋" w:hAnsi="仿宋" w:eastAsia="仿宋" w:cs="仿宋"/>
          <w:sz w:val="32"/>
          <w:szCs w:val="30"/>
        </w:rPr>
        <w:t>万元,较</w:t>
      </w:r>
      <w:r>
        <w:rPr>
          <w:rFonts w:hint="eastAsia" w:ascii="仿宋" w:hAnsi="仿宋" w:eastAsia="仿宋" w:cs="仿宋"/>
          <w:sz w:val="32"/>
          <w:szCs w:val="32"/>
        </w:rPr>
        <w:t>上年预算安排增加</w:t>
      </w:r>
      <w:r>
        <w:rPr>
          <w:rFonts w:hint="eastAsia" w:ascii="仿宋" w:hAnsi="仿宋" w:eastAsia="仿宋" w:cs="仿宋"/>
          <w:sz w:val="32"/>
          <w:szCs w:val="32"/>
          <w:u w:val="single"/>
        </w:rPr>
        <w:t>24</w:t>
      </w:r>
      <w:r>
        <w:rPr>
          <w:rFonts w:hint="eastAsia" w:ascii="仿宋" w:hAnsi="仿宋" w:eastAsia="仿宋" w:cs="仿宋"/>
          <w:sz w:val="32"/>
          <w:szCs w:val="32"/>
        </w:rPr>
        <w:t>%</w:t>
      </w:r>
      <w:r>
        <w:rPr>
          <w:rFonts w:hint="eastAsia" w:ascii="仿宋" w:hAnsi="仿宋" w:eastAsia="仿宋" w:cs="仿宋"/>
          <w:sz w:val="32"/>
          <w:szCs w:val="30"/>
        </w:rPr>
        <w:t>。原因是</w:t>
      </w:r>
      <w:r>
        <w:rPr>
          <w:rFonts w:hint="eastAsia" w:ascii="仿宋" w:hAnsi="仿宋" w:eastAsia="仿宋" w:cs="仿宋"/>
          <w:sz w:val="32"/>
          <w:szCs w:val="30"/>
          <w:u w:val="single"/>
        </w:rPr>
        <w:t xml:space="preserve"> 事业单位改革区关工委职能划分到老干部局</w:t>
      </w:r>
      <w:r>
        <w:rPr>
          <w:rFonts w:hint="eastAsia" w:ascii="仿宋" w:hAnsi="仿宋" w:eastAsia="仿宋" w:cs="仿宋"/>
          <w:sz w:val="32"/>
          <w:szCs w:val="30"/>
        </w:rPr>
        <w:t>。</w:t>
      </w:r>
    </w:p>
    <w:p w14:paraId="03F3DE7E">
      <w:pPr>
        <w:widowControl/>
        <w:spacing w:line="580" w:lineRule="exact"/>
        <w:ind w:firstLine="640"/>
        <w:jc w:val="left"/>
        <w:rPr>
          <w:rFonts w:ascii="仿宋" w:hAnsi="仿宋" w:eastAsia="仿宋" w:cs="仿宋"/>
          <w:sz w:val="32"/>
          <w:szCs w:val="30"/>
        </w:rPr>
      </w:pPr>
      <w:r>
        <w:rPr>
          <w:rFonts w:hint="eastAsia" w:ascii="仿宋" w:hAnsi="仿宋" w:eastAsia="仿宋" w:cs="仿宋"/>
          <w:sz w:val="32"/>
          <w:szCs w:val="30"/>
        </w:rPr>
        <w:t>1.因公出国（境）费</w:t>
      </w:r>
      <w:r>
        <w:rPr>
          <w:rFonts w:hint="eastAsia" w:ascii="仿宋" w:hAnsi="仿宋" w:eastAsia="仿宋" w:cs="仿宋"/>
          <w:sz w:val="32"/>
          <w:szCs w:val="30"/>
          <w:u w:val="single"/>
        </w:rPr>
        <w:t>0</w:t>
      </w:r>
      <w:r>
        <w:rPr>
          <w:rFonts w:hint="eastAsia" w:ascii="仿宋" w:hAnsi="仿宋" w:eastAsia="仿宋" w:cs="仿宋"/>
          <w:sz w:val="32"/>
          <w:szCs w:val="30"/>
        </w:rPr>
        <w:t>万元，比上年减少</w:t>
      </w:r>
      <w:r>
        <w:rPr>
          <w:rFonts w:hint="eastAsia" w:ascii="仿宋" w:hAnsi="仿宋" w:eastAsia="仿宋" w:cs="仿宋"/>
          <w:sz w:val="32"/>
          <w:szCs w:val="30"/>
          <w:u w:val="single"/>
        </w:rPr>
        <w:t xml:space="preserve"> 0</w:t>
      </w:r>
      <w:r>
        <w:rPr>
          <w:rFonts w:hint="eastAsia" w:ascii="仿宋" w:hAnsi="仿宋" w:eastAsia="仿宋" w:cs="仿宋"/>
          <w:sz w:val="32"/>
          <w:szCs w:val="30"/>
        </w:rPr>
        <w:t>万元。</w:t>
      </w:r>
    </w:p>
    <w:p w14:paraId="128F354D">
      <w:pPr>
        <w:widowControl/>
        <w:spacing w:line="580" w:lineRule="exact"/>
        <w:ind w:firstLine="640"/>
        <w:jc w:val="left"/>
        <w:rPr>
          <w:rFonts w:ascii="仿宋" w:hAnsi="仿宋" w:eastAsia="仿宋" w:cs="仿宋"/>
          <w:sz w:val="32"/>
          <w:szCs w:val="30"/>
        </w:rPr>
      </w:pPr>
      <w:r>
        <w:rPr>
          <w:rFonts w:hint="eastAsia" w:ascii="仿宋" w:hAnsi="仿宋" w:eastAsia="仿宋" w:cs="仿宋"/>
          <w:sz w:val="32"/>
          <w:szCs w:val="30"/>
        </w:rPr>
        <w:t>2.公务接待费</w:t>
      </w:r>
      <w:r>
        <w:rPr>
          <w:rFonts w:hint="eastAsia" w:ascii="仿宋" w:hAnsi="仿宋" w:eastAsia="仿宋" w:cs="仿宋"/>
          <w:sz w:val="32"/>
          <w:szCs w:val="30"/>
          <w:u w:val="single"/>
        </w:rPr>
        <w:t>2.9</w:t>
      </w:r>
      <w:r>
        <w:rPr>
          <w:rFonts w:hint="eastAsia" w:ascii="仿宋" w:hAnsi="仿宋" w:eastAsia="仿宋" w:cs="仿宋"/>
          <w:sz w:val="32"/>
          <w:szCs w:val="30"/>
        </w:rPr>
        <w:t>万元，比上年增加</w:t>
      </w:r>
      <w:r>
        <w:rPr>
          <w:rFonts w:hint="eastAsia" w:ascii="仿宋" w:hAnsi="仿宋" w:eastAsia="仿宋" w:cs="仿宋"/>
          <w:sz w:val="32"/>
          <w:szCs w:val="30"/>
          <w:u w:val="single"/>
        </w:rPr>
        <w:t>0.7</w:t>
      </w:r>
      <w:r>
        <w:rPr>
          <w:rFonts w:hint="eastAsia" w:ascii="仿宋" w:hAnsi="仿宋" w:eastAsia="仿宋" w:cs="仿宋"/>
          <w:sz w:val="32"/>
          <w:szCs w:val="30"/>
        </w:rPr>
        <w:t>万元。</w:t>
      </w:r>
    </w:p>
    <w:p w14:paraId="30253F4F">
      <w:pPr>
        <w:widowControl/>
        <w:spacing w:line="580" w:lineRule="exact"/>
        <w:ind w:firstLine="640"/>
        <w:jc w:val="left"/>
        <w:rPr>
          <w:rFonts w:ascii="仿宋" w:hAnsi="仿宋" w:eastAsia="仿宋" w:cs="仿宋"/>
          <w:sz w:val="32"/>
          <w:szCs w:val="30"/>
        </w:rPr>
      </w:pPr>
      <w:r>
        <w:rPr>
          <w:rFonts w:hint="eastAsia" w:ascii="仿宋" w:hAnsi="仿宋" w:eastAsia="仿宋" w:cs="仿宋"/>
          <w:sz w:val="32"/>
          <w:szCs w:val="30"/>
        </w:rPr>
        <w:t>3.公务用车运行维护费</w:t>
      </w:r>
      <w:r>
        <w:rPr>
          <w:rFonts w:hint="eastAsia" w:ascii="仿宋" w:hAnsi="仿宋" w:eastAsia="仿宋" w:cs="仿宋"/>
          <w:sz w:val="32"/>
          <w:szCs w:val="30"/>
          <w:u w:val="single"/>
        </w:rPr>
        <w:t>0</w:t>
      </w:r>
      <w:r>
        <w:rPr>
          <w:rFonts w:hint="eastAsia" w:ascii="仿宋" w:hAnsi="仿宋" w:eastAsia="仿宋" w:cs="仿宋"/>
          <w:sz w:val="32"/>
          <w:szCs w:val="30"/>
        </w:rPr>
        <w:t>万元，比上年减少</w:t>
      </w:r>
      <w:r>
        <w:rPr>
          <w:rFonts w:hint="eastAsia" w:ascii="仿宋" w:hAnsi="仿宋" w:eastAsia="仿宋" w:cs="仿宋"/>
          <w:sz w:val="32"/>
          <w:szCs w:val="30"/>
          <w:u w:val="single"/>
        </w:rPr>
        <w:t xml:space="preserve"> 0 </w:t>
      </w:r>
      <w:r>
        <w:rPr>
          <w:rFonts w:hint="eastAsia" w:ascii="仿宋" w:hAnsi="仿宋" w:eastAsia="仿宋" w:cs="仿宋"/>
          <w:sz w:val="32"/>
          <w:szCs w:val="30"/>
        </w:rPr>
        <w:t>万元。</w:t>
      </w:r>
    </w:p>
    <w:p w14:paraId="1BE4EB6F">
      <w:pPr>
        <w:widowControl/>
        <w:spacing w:line="580" w:lineRule="exact"/>
        <w:ind w:firstLine="640"/>
        <w:jc w:val="left"/>
        <w:rPr>
          <w:rFonts w:ascii="仿宋" w:hAnsi="仿宋" w:eastAsia="仿宋" w:cs="仿宋"/>
          <w:sz w:val="32"/>
          <w:szCs w:val="30"/>
        </w:rPr>
      </w:pPr>
      <w:r>
        <w:rPr>
          <w:rFonts w:hint="eastAsia" w:ascii="仿宋" w:hAnsi="仿宋" w:eastAsia="仿宋" w:cs="仿宋"/>
          <w:sz w:val="32"/>
          <w:szCs w:val="30"/>
        </w:rPr>
        <w:t>4.公务用车购置费</w:t>
      </w:r>
      <w:r>
        <w:rPr>
          <w:rFonts w:hint="eastAsia" w:ascii="仿宋" w:hAnsi="仿宋" w:eastAsia="仿宋" w:cs="仿宋"/>
          <w:sz w:val="32"/>
          <w:szCs w:val="30"/>
          <w:u w:val="single"/>
        </w:rPr>
        <w:t xml:space="preserve"> 0</w:t>
      </w:r>
      <w:r>
        <w:rPr>
          <w:rFonts w:hint="eastAsia" w:ascii="仿宋" w:hAnsi="仿宋" w:eastAsia="仿宋" w:cs="仿宋"/>
          <w:sz w:val="32"/>
          <w:szCs w:val="30"/>
        </w:rPr>
        <w:t>万元，比上年减少</w:t>
      </w:r>
      <w:r>
        <w:rPr>
          <w:rFonts w:hint="eastAsia" w:ascii="仿宋" w:hAnsi="仿宋" w:eastAsia="仿宋" w:cs="仿宋"/>
          <w:sz w:val="32"/>
          <w:szCs w:val="30"/>
          <w:u w:val="single"/>
        </w:rPr>
        <w:t>0</w:t>
      </w:r>
      <w:r>
        <w:rPr>
          <w:rFonts w:hint="eastAsia" w:ascii="仿宋" w:hAnsi="仿宋" w:eastAsia="仿宋" w:cs="仿宋"/>
          <w:sz w:val="32"/>
          <w:szCs w:val="30"/>
        </w:rPr>
        <w:t>万元。</w:t>
      </w:r>
    </w:p>
    <w:p w14:paraId="4FE3AF62">
      <w:pPr>
        <w:ind w:firstLine="640" w:firstLineChars="200"/>
        <w:rPr>
          <w:rFonts w:ascii="仿宋_GB2312" w:eastAsia="仿宋_GB2312" w:cs="Times New Roman"/>
          <w:sz w:val="32"/>
          <w:szCs w:val="32"/>
        </w:rPr>
      </w:pPr>
    </w:p>
    <w:p w14:paraId="1243B46B">
      <w:pPr>
        <w:widowControl/>
        <w:spacing w:line="600" w:lineRule="exact"/>
        <w:ind w:firstLine="643" w:firstLineChars="200"/>
        <w:jc w:val="left"/>
        <w:rPr>
          <w:rFonts w:ascii="仿宋_GB2312" w:eastAsia="仿宋_GB2312"/>
          <w:b/>
          <w:color w:val="000000"/>
          <w:sz w:val="32"/>
          <w:szCs w:val="30"/>
        </w:rPr>
      </w:pPr>
      <w:r>
        <w:rPr>
          <w:rFonts w:hint="eastAsia" w:ascii="仿宋_GB2312" w:hAnsi="宋体" w:eastAsia="仿宋_GB2312" w:cs="仿宋_GB2312"/>
          <w:b/>
          <w:bCs/>
          <w:sz w:val="32"/>
          <w:szCs w:val="32"/>
        </w:rPr>
        <w:t>（七）</w:t>
      </w:r>
      <w:r>
        <w:rPr>
          <w:rFonts w:hint="eastAsia" w:ascii="仿宋_GB2312" w:eastAsia="仿宋_GB2312"/>
          <w:b/>
          <w:bCs/>
          <w:color w:val="000000"/>
          <w:sz w:val="32"/>
          <w:szCs w:val="30"/>
        </w:rPr>
        <w:t>整体</w:t>
      </w:r>
      <w:r>
        <w:rPr>
          <w:rFonts w:hint="eastAsia" w:ascii="仿宋_GB2312" w:eastAsia="仿宋_GB2312"/>
          <w:b/>
          <w:color w:val="000000"/>
          <w:sz w:val="32"/>
          <w:szCs w:val="30"/>
        </w:rPr>
        <w:t>绩效目标设置情况</w:t>
      </w:r>
    </w:p>
    <w:p w14:paraId="6B0367CE">
      <w:pPr>
        <w:widowControl/>
        <w:spacing w:line="600" w:lineRule="exact"/>
        <w:ind w:firstLine="640" w:firstLineChars="200"/>
        <w:jc w:val="left"/>
        <w:rPr>
          <w:rFonts w:hint="eastAsia" w:ascii="仿宋_GB2312" w:eastAsia="仿宋_GB2312"/>
          <w:color w:val="000000"/>
          <w:sz w:val="32"/>
          <w:szCs w:val="30"/>
        </w:rPr>
      </w:pPr>
      <w:r>
        <w:rPr>
          <w:rFonts w:hint="eastAsia" w:ascii="仿宋_GB2312" w:eastAsia="仿宋_GB2312"/>
          <w:color w:val="000000"/>
          <w:sz w:val="32"/>
          <w:szCs w:val="30"/>
        </w:rPr>
        <w:t>2022年部门整体预算资金为113.5万元，具体情况是：</w:t>
      </w:r>
    </w:p>
    <w:p w14:paraId="5E7E3326">
      <w:pPr>
        <w:widowControl/>
        <w:spacing w:line="600" w:lineRule="exact"/>
        <w:ind w:firstLine="640" w:firstLineChars="200"/>
        <w:jc w:val="left"/>
        <w:rPr>
          <w:rFonts w:hint="eastAsia" w:ascii="仿宋_GB2312" w:eastAsia="仿宋_GB2312"/>
          <w:color w:val="000000"/>
          <w:sz w:val="32"/>
          <w:szCs w:val="30"/>
        </w:rPr>
      </w:pPr>
      <w:r>
        <w:rPr>
          <w:rFonts w:hint="eastAsia" w:ascii="仿宋_GB2312" w:eastAsia="仿宋_GB2312"/>
          <w:color w:val="000000"/>
          <w:sz w:val="32"/>
          <w:szCs w:val="30"/>
        </w:rPr>
        <w:t>1、</w:t>
      </w:r>
      <w:r>
        <w:rPr>
          <w:rFonts w:hint="eastAsia" w:ascii="仿宋" w:hAnsi="仿宋" w:eastAsia="仿宋" w:cs="仿宋"/>
          <w:sz w:val="32"/>
          <w:szCs w:val="32"/>
        </w:rPr>
        <w:t>工资福利支出51.4万元，占支出预算总额的45%；</w:t>
      </w:r>
      <w:r>
        <w:rPr>
          <w:rFonts w:hint="eastAsia" w:ascii="仿宋_GB2312" w:eastAsia="仿宋_GB2312"/>
          <w:color w:val="000000"/>
          <w:sz w:val="32"/>
          <w:szCs w:val="30"/>
        </w:rPr>
        <w:t>绩效目标：按时发放工资</w:t>
      </w:r>
    </w:p>
    <w:p w14:paraId="4F7CC97C">
      <w:pPr>
        <w:spacing w:line="570" w:lineRule="exact"/>
        <w:ind w:firstLine="640" w:firstLineChars="200"/>
        <w:rPr>
          <w:rFonts w:ascii="仿宋" w:hAnsi="仿宋" w:eastAsia="仿宋" w:cs="仿宋"/>
          <w:sz w:val="32"/>
          <w:szCs w:val="32"/>
        </w:rPr>
      </w:pPr>
      <w:r>
        <w:rPr>
          <w:rFonts w:hint="eastAsia" w:ascii="仿宋_GB2312" w:eastAsia="仿宋_GB2312"/>
          <w:color w:val="000000"/>
          <w:sz w:val="32"/>
          <w:szCs w:val="30"/>
        </w:rPr>
        <w:t>2、</w:t>
      </w:r>
      <w:r>
        <w:rPr>
          <w:rFonts w:hint="eastAsia" w:ascii="仿宋" w:hAnsi="仿宋" w:eastAsia="仿宋" w:cs="仿宋"/>
          <w:sz w:val="32"/>
          <w:szCs w:val="32"/>
        </w:rPr>
        <w:t>商品和服务支出61.8万元，占支出预算总额的55%；</w:t>
      </w:r>
    </w:p>
    <w:p w14:paraId="09203765">
      <w:pPr>
        <w:widowControl/>
        <w:spacing w:line="600" w:lineRule="exact"/>
        <w:jc w:val="left"/>
        <w:rPr>
          <w:rFonts w:hint="eastAsia" w:ascii="仿宋_GB2312" w:eastAsia="仿宋_GB2312"/>
          <w:color w:val="000000"/>
          <w:sz w:val="32"/>
          <w:szCs w:val="30"/>
        </w:rPr>
      </w:pPr>
      <w:r>
        <w:rPr>
          <w:rFonts w:hint="eastAsia" w:ascii="仿宋_GB2312" w:eastAsia="仿宋_GB2312"/>
          <w:color w:val="000000"/>
          <w:sz w:val="32"/>
          <w:szCs w:val="30"/>
        </w:rPr>
        <w:t>绩效目标：本着节约的原则，合理使用资金。</w:t>
      </w:r>
    </w:p>
    <w:p w14:paraId="2DAB4EA3">
      <w:pPr>
        <w:widowControl/>
        <w:spacing w:line="600" w:lineRule="exact"/>
        <w:ind w:firstLine="643" w:firstLineChars="200"/>
        <w:jc w:val="left"/>
        <w:rPr>
          <w:rFonts w:ascii="仿宋_GB2312" w:eastAsia="仿宋_GB2312"/>
          <w:b/>
          <w:color w:val="000000"/>
          <w:sz w:val="32"/>
          <w:szCs w:val="30"/>
        </w:rPr>
      </w:pPr>
      <w:r>
        <w:rPr>
          <w:rFonts w:hint="eastAsia" w:ascii="仿宋_GB2312" w:hAnsi="宋体" w:eastAsia="仿宋_GB2312" w:cs="仿宋_GB2312"/>
          <w:b/>
          <w:bCs/>
          <w:sz w:val="32"/>
          <w:szCs w:val="32"/>
        </w:rPr>
        <w:t>（八）</w:t>
      </w:r>
      <w:r>
        <w:rPr>
          <w:rFonts w:hint="eastAsia" w:ascii="仿宋_GB2312" w:eastAsia="仿宋_GB2312"/>
          <w:b/>
          <w:bCs/>
          <w:color w:val="000000"/>
          <w:sz w:val="32"/>
          <w:szCs w:val="30"/>
        </w:rPr>
        <w:t>一级</w:t>
      </w:r>
      <w:r>
        <w:rPr>
          <w:rFonts w:hint="eastAsia" w:ascii="仿宋_GB2312" w:eastAsia="仿宋_GB2312"/>
          <w:b/>
          <w:color w:val="000000"/>
          <w:sz w:val="32"/>
          <w:szCs w:val="30"/>
        </w:rPr>
        <w:t>项目绩效目标设置情况</w:t>
      </w:r>
    </w:p>
    <w:p w14:paraId="4BB5B847">
      <w:pPr>
        <w:widowControl/>
        <w:spacing w:line="600" w:lineRule="exact"/>
        <w:ind w:firstLine="640"/>
        <w:jc w:val="left"/>
        <w:rPr>
          <w:rFonts w:ascii="仿宋_GB2312" w:eastAsia="仿宋_GB2312"/>
          <w:color w:val="000000"/>
          <w:sz w:val="32"/>
          <w:szCs w:val="30"/>
        </w:rPr>
      </w:pPr>
      <w:r>
        <w:rPr>
          <w:rFonts w:hint="eastAsia" w:ascii="仿宋_GB2312" w:eastAsia="仿宋_GB2312"/>
          <w:color w:val="000000"/>
          <w:sz w:val="32"/>
          <w:szCs w:val="30"/>
        </w:rPr>
        <w:t>2022年实行绩效目标管理的一级项目 0  个，涉及资金     0万元，其中：二级项目 0   个（部门预算中  万元以上的，且进行了绩效评审的项目    0 个，涉及资金   0  万元），涉及资金   0  万元。</w:t>
      </w:r>
    </w:p>
    <w:p w14:paraId="20E2EBCB">
      <w:pPr>
        <w:widowControl/>
        <w:spacing w:line="600" w:lineRule="exact"/>
        <w:ind w:firstLine="643" w:firstLineChars="200"/>
        <w:jc w:val="left"/>
        <w:rPr>
          <w:rFonts w:ascii="仿宋_GB2312" w:eastAsia="仿宋_GB2312"/>
          <w:b/>
          <w:color w:val="000000"/>
          <w:sz w:val="32"/>
          <w:szCs w:val="30"/>
        </w:rPr>
      </w:pPr>
      <w:r>
        <w:rPr>
          <w:rFonts w:hint="eastAsia" w:ascii="仿宋_GB2312" w:eastAsia="仿宋_GB2312"/>
          <w:b/>
          <w:color w:val="000000"/>
          <w:sz w:val="32"/>
          <w:szCs w:val="30"/>
        </w:rPr>
        <w:t>（九）一级项目中各二级项目情况说明（部门本级）</w:t>
      </w:r>
    </w:p>
    <w:p w14:paraId="66322656">
      <w:pPr>
        <w:widowControl/>
        <w:spacing w:line="600" w:lineRule="exact"/>
        <w:jc w:val="left"/>
        <w:rPr>
          <w:rFonts w:ascii="仿宋_GB2312" w:eastAsia="仿宋_GB2312"/>
          <w:color w:val="000000"/>
          <w:sz w:val="32"/>
          <w:szCs w:val="30"/>
        </w:rPr>
      </w:pPr>
      <w:r>
        <w:rPr>
          <w:rFonts w:hint="eastAsia" w:ascii="仿宋_GB2312" w:eastAsia="仿宋_GB2312"/>
          <w:color w:val="000000"/>
          <w:sz w:val="32"/>
          <w:szCs w:val="30"/>
        </w:rPr>
        <w:t xml:space="preserve">    无</w:t>
      </w:r>
    </w:p>
    <w:p w14:paraId="781565A3">
      <w:pPr>
        <w:rPr>
          <w:rFonts w:hint="eastAsia" w:ascii="仿宋_GB2312" w:hAnsi="宋体" w:eastAsia="仿宋_GB2312" w:cs="仿宋_GB2312"/>
          <w:sz w:val="32"/>
          <w:szCs w:val="32"/>
        </w:rPr>
      </w:pPr>
    </w:p>
    <w:p w14:paraId="697E82F8">
      <w:pPr>
        <w:ind w:firstLine="640" w:firstLineChars="200"/>
        <w:rPr>
          <w:rFonts w:ascii="黑体" w:eastAsia="黑体" w:cs="Times New Roman"/>
          <w:sz w:val="32"/>
          <w:szCs w:val="32"/>
        </w:rPr>
      </w:pPr>
      <w:r>
        <w:rPr>
          <w:rFonts w:hint="eastAsia" w:ascii="黑体" w:hAnsi="宋体" w:eastAsia="黑体" w:cs="黑体"/>
          <w:sz w:val="32"/>
          <w:szCs w:val="32"/>
        </w:rPr>
        <w:t>第三部分珠山区老干部局2022年部门预算表</w:t>
      </w:r>
    </w:p>
    <w:p w14:paraId="4E533C57">
      <w:pPr>
        <w:jc w:val="center"/>
        <w:rPr>
          <w:rFonts w:ascii="仿宋_GB2312" w:hAnsi="宋体" w:eastAsia="仿宋_GB2312" w:cs="仿宋_GB2312"/>
          <w:sz w:val="32"/>
          <w:szCs w:val="32"/>
        </w:rPr>
      </w:pPr>
      <w:r>
        <w:rPr>
          <w:rFonts w:hint="eastAsia" w:ascii="仿宋_GB2312" w:hAnsi="宋体" w:eastAsia="仿宋_GB2312" w:cs="仿宋_GB2312"/>
          <w:sz w:val="32"/>
          <w:szCs w:val="32"/>
          <w:shd w:val="clear" w:color="FFFFFF" w:fill="D9D9D9"/>
        </w:rPr>
        <w:drawing>
          <wp:anchor distT="0" distB="0" distL="114935" distR="114935" simplePos="0" relativeHeight="251660288" behindDoc="0" locked="0" layoutInCell="1" allowOverlap="1">
            <wp:simplePos x="0" y="0"/>
            <wp:positionH relativeFrom="column">
              <wp:posOffset>-307340</wp:posOffset>
            </wp:positionH>
            <wp:positionV relativeFrom="paragraph">
              <wp:posOffset>5173980</wp:posOffset>
            </wp:positionV>
            <wp:extent cx="6421755" cy="3319145"/>
            <wp:effectExtent l="0" t="0" r="17145" b="14605"/>
            <wp:wrapSquare wrapText="bothSides"/>
            <wp:docPr id="3" name="图片 3" descr="工作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作簿2"/>
                    <pic:cNvPicPr>
                      <a:picLocks noChangeAspect="1"/>
                    </pic:cNvPicPr>
                  </pic:nvPicPr>
                  <pic:blipFill>
                    <a:blip r:embed="rId5"/>
                    <a:stretch>
                      <a:fillRect/>
                    </a:stretch>
                  </pic:blipFill>
                  <pic:spPr>
                    <a:xfrm>
                      <a:off x="0" y="0"/>
                      <a:ext cx="6421755" cy="3319145"/>
                    </a:xfrm>
                    <a:prstGeom prst="rect">
                      <a:avLst/>
                    </a:prstGeom>
                  </pic:spPr>
                </pic:pic>
              </a:graphicData>
            </a:graphic>
          </wp:anchor>
        </w:drawing>
      </w:r>
      <w:r>
        <w:rPr>
          <w:rFonts w:hint="eastAsia" w:ascii="仿宋_GB2312" w:hAnsi="宋体" w:eastAsia="仿宋_GB2312" w:cs="仿宋_GB2312"/>
          <w:sz w:val="32"/>
          <w:szCs w:val="32"/>
        </w:rPr>
        <w:drawing>
          <wp:anchor distT="0" distB="0" distL="114935" distR="114935" simplePos="0" relativeHeight="251659264" behindDoc="0" locked="0" layoutInCell="1" allowOverlap="1">
            <wp:simplePos x="0" y="0"/>
            <wp:positionH relativeFrom="column">
              <wp:posOffset>-321945</wp:posOffset>
            </wp:positionH>
            <wp:positionV relativeFrom="paragraph">
              <wp:posOffset>558165</wp:posOffset>
            </wp:positionV>
            <wp:extent cx="6014085" cy="4479925"/>
            <wp:effectExtent l="0" t="0" r="5715" b="15875"/>
            <wp:wrapSquare wrapText="bothSides"/>
            <wp:docPr id="2" name="图片 2" descr="工作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作簿1"/>
                    <pic:cNvPicPr>
                      <a:picLocks noChangeAspect="1"/>
                    </pic:cNvPicPr>
                  </pic:nvPicPr>
                  <pic:blipFill>
                    <a:blip r:embed="rId6"/>
                    <a:stretch>
                      <a:fillRect/>
                    </a:stretch>
                  </pic:blipFill>
                  <pic:spPr>
                    <a:xfrm>
                      <a:off x="0" y="0"/>
                      <a:ext cx="6014085" cy="4479925"/>
                    </a:xfrm>
                    <a:prstGeom prst="rect">
                      <a:avLst/>
                    </a:prstGeom>
                  </pic:spPr>
                </pic:pic>
              </a:graphicData>
            </a:graphic>
          </wp:anchor>
        </w:drawing>
      </w:r>
      <w:r>
        <w:rPr>
          <w:rFonts w:hint="eastAsia" w:ascii="仿宋_GB2312" w:hAnsi="宋体" w:eastAsia="仿宋_GB2312" w:cs="仿宋_GB2312"/>
          <w:sz w:val="32"/>
          <w:szCs w:val="32"/>
        </w:rPr>
        <w:t>（详见附表）</w:t>
      </w:r>
    </w:p>
    <w:p w14:paraId="78416BA8">
      <w:pPr>
        <w:jc w:val="center"/>
        <w:rPr>
          <w:rFonts w:ascii="仿宋_GB2312" w:hAnsi="宋体" w:eastAsia="仿宋_GB2312" w:cs="仿宋_GB2312"/>
          <w:sz w:val="32"/>
          <w:szCs w:val="32"/>
          <w:shd w:val="clear" w:color="FFFFFF" w:fill="D9D9D9"/>
        </w:rPr>
      </w:pPr>
      <w:r>
        <w:rPr>
          <w:rFonts w:hint="eastAsia" w:ascii="仿宋_GB2312" w:hAnsi="宋体" w:eastAsia="仿宋_GB2312" w:cs="仿宋_GB2312"/>
          <w:sz w:val="32"/>
          <w:szCs w:val="32"/>
          <w:shd w:val="clear" w:color="FFFFFF" w:fill="D9D9D9"/>
        </w:rPr>
        <w:drawing>
          <wp:inline distT="0" distB="0" distL="114300" distR="114300">
            <wp:extent cx="5260975" cy="4255135"/>
            <wp:effectExtent l="0" t="0" r="15875" b="12065"/>
            <wp:docPr id="8" name="图片 8" descr="工作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作簿3"/>
                    <pic:cNvPicPr>
                      <a:picLocks noChangeAspect="1"/>
                    </pic:cNvPicPr>
                  </pic:nvPicPr>
                  <pic:blipFill>
                    <a:blip r:embed="rId7"/>
                    <a:stretch>
                      <a:fillRect/>
                    </a:stretch>
                  </pic:blipFill>
                  <pic:spPr>
                    <a:xfrm>
                      <a:off x="0" y="0"/>
                      <a:ext cx="5260975" cy="4255135"/>
                    </a:xfrm>
                    <a:prstGeom prst="rect">
                      <a:avLst/>
                    </a:prstGeom>
                  </pic:spPr>
                </pic:pic>
              </a:graphicData>
            </a:graphic>
          </wp:inline>
        </w:drawing>
      </w:r>
      <w:r>
        <w:rPr>
          <w:rFonts w:hint="eastAsia" w:ascii="仿宋_GB2312" w:hAnsi="宋体" w:eastAsia="仿宋_GB2312" w:cs="仿宋_GB2312"/>
          <w:sz w:val="32"/>
          <w:szCs w:val="32"/>
          <w:shd w:val="clear" w:color="FFFFFF" w:fill="D9D9D9"/>
        </w:rPr>
        <w:drawing>
          <wp:inline distT="0" distB="0" distL="114300" distR="114300">
            <wp:extent cx="5262880" cy="3256280"/>
            <wp:effectExtent l="0" t="0" r="13970" b="1270"/>
            <wp:docPr id="7" name="图片 7" descr="工作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作簿4"/>
                    <pic:cNvPicPr>
                      <a:picLocks noChangeAspect="1"/>
                    </pic:cNvPicPr>
                  </pic:nvPicPr>
                  <pic:blipFill>
                    <a:blip r:embed="rId8"/>
                    <a:stretch>
                      <a:fillRect/>
                    </a:stretch>
                  </pic:blipFill>
                  <pic:spPr>
                    <a:xfrm>
                      <a:off x="0" y="0"/>
                      <a:ext cx="5262880" cy="3256280"/>
                    </a:xfrm>
                    <a:prstGeom prst="rect">
                      <a:avLst/>
                    </a:prstGeom>
                  </pic:spPr>
                </pic:pic>
              </a:graphicData>
            </a:graphic>
          </wp:inline>
        </w:drawing>
      </w:r>
      <w:r>
        <w:rPr>
          <w:rFonts w:hint="eastAsia" w:ascii="仿宋_GB2312" w:hAnsi="宋体" w:eastAsia="仿宋_GB2312" w:cs="仿宋_GB2312"/>
          <w:sz w:val="32"/>
          <w:szCs w:val="32"/>
          <w:shd w:val="clear" w:color="FFFFFF" w:fill="D9D9D9"/>
        </w:rPr>
        <w:drawing>
          <wp:inline distT="0" distB="0" distL="114300" distR="114300">
            <wp:extent cx="5265420" cy="3478530"/>
            <wp:effectExtent l="0" t="0" r="11430" b="7620"/>
            <wp:docPr id="6" name="图片 6" descr="工作簿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作簿5"/>
                    <pic:cNvPicPr>
                      <a:picLocks noChangeAspect="1"/>
                    </pic:cNvPicPr>
                  </pic:nvPicPr>
                  <pic:blipFill>
                    <a:blip r:embed="rId9"/>
                    <a:stretch>
                      <a:fillRect/>
                    </a:stretch>
                  </pic:blipFill>
                  <pic:spPr>
                    <a:xfrm>
                      <a:off x="0" y="0"/>
                      <a:ext cx="5265420" cy="3478530"/>
                    </a:xfrm>
                    <a:prstGeom prst="rect">
                      <a:avLst/>
                    </a:prstGeom>
                  </pic:spPr>
                </pic:pic>
              </a:graphicData>
            </a:graphic>
          </wp:inline>
        </w:drawing>
      </w:r>
      <w:r>
        <w:rPr>
          <w:rFonts w:hint="eastAsia" w:ascii="仿宋_GB2312" w:hAnsi="宋体" w:eastAsia="仿宋_GB2312" w:cs="仿宋_GB2312"/>
          <w:sz w:val="32"/>
          <w:szCs w:val="32"/>
          <w:shd w:val="clear" w:color="FFFFFF" w:fill="D9D9D9"/>
        </w:rPr>
        <w:drawing>
          <wp:inline distT="0" distB="0" distL="114300" distR="114300">
            <wp:extent cx="5264785" cy="4888865"/>
            <wp:effectExtent l="0" t="0" r="12065" b="6985"/>
            <wp:docPr id="5" name="图片 5" descr="工作簿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作簿6"/>
                    <pic:cNvPicPr>
                      <a:picLocks noChangeAspect="1"/>
                    </pic:cNvPicPr>
                  </pic:nvPicPr>
                  <pic:blipFill>
                    <a:blip r:embed="rId10"/>
                    <a:stretch>
                      <a:fillRect/>
                    </a:stretch>
                  </pic:blipFill>
                  <pic:spPr>
                    <a:xfrm>
                      <a:off x="0" y="0"/>
                      <a:ext cx="5264785" cy="4888865"/>
                    </a:xfrm>
                    <a:prstGeom prst="rect">
                      <a:avLst/>
                    </a:prstGeom>
                  </pic:spPr>
                </pic:pic>
              </a:graphicData>
            </a:graphic>
          </wp:inline>
        </w:drawing>
      </w:r>
      <w:r>
        <w:rPr>
          <w:rFonts w:hint="eastAsia" w:ascii="仿宋_GB2312" w:hAnsi="宋体" w:eastAsia="仿宋_GB2312" w:cs="仿宋_GB2312"/>
          <w:sz w:val="32"/>
          <w:szCs w:val="32"/>
          <w:shd w:val="clear" w:color="FFFFFF" w:fill="D9D9D9"/>
        </w:rPr>
        <w:drawing>
          <wp:inline distT="0" distB="0" distL="114300" distR="114300">
            <wp:extent cx="5262880" cy="1425575"/>
            <wp:effectExtent l="0" t="0" r="13970" b="3175"/>
            <wp:docPr id="4" name="图片 4" descr="工作簿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作簿7"/>
                    <pic:cNvPicPr>
                      <a:picLocks noChangeAspect="1"/>
                    </pic:cNvPicPr>
                  </pic:nvPicPr>
                  <pic:blipFill>
                    <a:blip r:embed="rId11"/>
                    <a:stretch>
                      <a:fillRect/>
                    </a:stretch>
                  </pic:blipFill>
                  <pic:spPr>
                    <a:xfrm>
                      <a:off x="0" y="0"/>
                      <a:ext cx="5262880" cy="1425575"/>
                    </a:xfrm>
                    <a:prstGeom prst="rect">
                      <a:avLst/>
                    </a:prstGeom>
                  </pic:spPr>
                </pic:pic>
              </a:graphicData>
            </a:graphic>
          </wp:inline>
        </w:drawing>
      </w:r>
    </w:p>
    <w:p w14:paraId="119D090F">
      <w:pPr>
        <w:rPr>
          <w:rFonts w:ascii="仿宋_GB2312" w:eastAsia="仿宋_GB2312" w:cs="Times New Roman"/>
          <w:b/>
          <w:bCs/>
          <w:sz w:val="32"/>
          <w:szCs w:val="32"/>
        </w:rPr>
      </w:pPr>
      <w:r>
        <w:rPr>
          <w:rFonts w:hint="eastAsia" w:ascii="黑体" w:hAnsi="宋体" w:eastAsia="黑体" w:cs="黑体"/>
          <w:sz w:val="32"/>
          <w:szCs w:val="32"/>
        </w:rPr>
        <w:t>第四部分名词解释</w:t>
      </w:r>
    </w:p>
    <w:p w14:paraId="691F79DE">
      <w:pPr>
        <w:widowControl/>
        <w:spacing w:line="600" w:lineRule="exact"/>
        <w:ind w:firstLine="640"/>
        <w:jc w:val="left"/>
        <w:rPr>
          <w:rFonts w:ascii="仿宋_GB2312" w:eastAsia="仿宋_GB2312"/>
          <w:color w:val="000000"/>
          <w:sz w:val="32"/>
          <w:szCs w:val="30"/>
        </w:rPr>
      </w:pPr>
      <w:r>
        <w:rPr>
          <w:rFonts w:hint="eastAsia" w:ascii="仿宋_GB2312" w:eastAsia="仿宋_GB2312"/>
          <w:color w:val="000000"/>
          <w:sz w:val="32"/>
          <w:szCs w:val="30"/>
        </w:rPr>
        <w:t>一、收入科目</w:t>
      </w:r>
    </w:p>
    <w:p w14:paraId="48C545DF">
      <w:pPr>
        <w:widowControl/>
        <w:spacing w:line="600" w:lineRule="exact"/>
        <w:ind w:firstLine="640"/>
        <w:jc w:val="left"/>
        <w:rPr>
          <w:rFonts w:ascii="仿宋_GB2312" w:eastAsia="仿宋_GB2312"/>
          <w:color w:val="000000"/>
          <w:sz w:val="32"/>
          <w:szCs w:val="30"/>
        </w:rPr>
      </w:pPr>
      <w:r>
        <w:rPr>
          <w:rFonts w:hint="eastAsia" w:ascii="仿宋_GB2312" w:eastAsia="仿宋_GB2312"/>
          <w:color w:val="000000"/>
          <w:sz w:val="32"/>
          <w:szCs w:val="30"/>
        </w:rPr>
        <w:t>各部门结合实际进行解释。</w:t>
      </w:r>
    </w:p>
    <w:p w14:paraId="1C896473">
      <w:pPr>
        <w:widowControl/>
        <w:spacing w:line="600" w:lineRule="exact"/>
        <w:ind w:firstLine="640"/>
        <w:jc w:val="left"/>
        <w:rPr>
          <w:rFonts w:ascii="仿宋_GB2312" w:eastAsia="仿宋_GB2312"/>
          <w:color w:val="000000"/>
          <w:sz w:val="32"/>
          <w:szCs w:val="30"/>
        </w:rPr>
      </w:pPr>
      <w:r>
        <w:rPr>
          <w:rFonts w:hint="eastAsia" w:ascii="仿宋_GB2312" w:eastAsia="仿宋_GB2312"/>
          <w:color w:val="000000"/>
          <w:sz w:val="32"/>
          <w:szCs w:val="30"/>
        </w:rPr>
        <w:t>（一）财政拨款：指市级财政当年拨付的资金。</w:t>
      </w:r>
    </w:p>
    <w:p w14:paraId="0C8A6FB0">
      <w:pPr>
        <w:widowControl/>
        <w:spacing w:line="600" w:lineRule="exact"/>
        <w:ind w:firstLine="636"/>
        <w:jc w:val="left"/>
        <w:rPr>
          <w:rFonts w:ascii="仿宋_GB2312" w:eastAsia="仿宋_GB2312"/>
          <w:color w:val="000000"/>
          <w:sz w:val="32"/>
          <w:szCs w:val="30"/>
        </w:rPr>
      </w:pPr>
      <w:r>
        <w:rPr>
          <w:rFonts w:hint="eastAsia" w:ascii="仿宋_GB2312" w:eastAsia="仿宋_GB2312"/>
          <w:color w:val="000000"/>
          <w:sz w:val="32"/>
          <w:szCs w:val="30"/>
        </w:rPr>
        <w:t>（二）事业收入：指事业单位开展专业业务活动及辅助活动取得的收入。</w:t>
      </w:r>
    </w:p>
    <w:p w14:paraId="5151F1B7">
      <w:pPr>
        <w:widowControl/>
        <w:spacing w:line="600" w:lineRule="exact"/>
        <w:ind w:firstLine="636"/>
        <w:jc w:val="left"/>
        <w:rPr>
          <w:rFonts w:ascii="仿宋_GB2312" w:eastAsia="仿宋_GB2312"/>
          <w:color w:val="000000"/>
          <w:sz w:val="32"/>
          <w:szCs w:val="30"/>
        </w:rPr>
      </w:pPr>
      <w:r>
        <w:rPr>
          <w:rFonts w:hint="eastAsia" w:ascii="仿宋_GB2312" w:eastAsia="仿宋_GB2312"/>
          <w:color w:val="000000"/>
          <w:sz w:val="32"/>
          <w:szCs w:val="30"/>
        </w:rPr>
        <w:t>（三）事业单位经营收入：指事业单位在专业业务活动及辅助活动之外开展非独立核算经营活动取得的收入。</w:t>
      </w:r>
    </w:p>
    <w:p w14:paraId="2A4457D9">
      <w:pPr>
        <w:widowControl/>
        <w:spacing w:line="600" w:lineRule="exact"/>
        <w:ind w:firstLine="636"/>
        <w:jc w:val="left"/>
        <w:rPr>
          <w:rFonts w:ascii="仿宋_GB2312" w:eastAsia="仿宋_GB2312"/>
          <w:color w:val="000000"/>
          <w:sz w:val="32"/>
          <w:szCs w:val="30"/>
        </w:rPr>
      </w:pPr>
      <w:r>
        <w:rPr>
          <w:rFonts w:hint="eastAsia" w:ascii="仿宋_GB2312" w:eastAsia="仿宋_GB2312"/>
          <w:color w:val="000000"/>
          <w:sz w:val="32"/>
          <w:szCs w:val="30"/>
        </w:rPr>
        <w:t>（四）其他收入：指除财政拨款、事业收入、事业单位经营收入等以外的各项收入。</w:t>
      </w:r>
    </w:p>
    <w:p w14:paraId="0AC61DD3">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（五）附属单位上缴收入：反映事业单位附属的独立核算单位按规定标准或比例缴纳的各项收入。包括附属的事业单位上缴的收入和附属的企业上缴的利润等。</w:t>
      </w:r>
    </w:p>
    <w:p w14:paraId="6A9337B1">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（六）上级补助收入：反映事业单位从主管部门和上级单位取得的非财政补助收入。</w:t>
      </w:r>
    </w:p>
    <w:p w14:paraId="0BEF608D">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（七）用事业基金弥补收支差额：填列事业单位用事业基金弥补2022年收支差额的数额。</w:t>
      </w:r>
    </w:p>
    <w:p w14:paraId="0439D1DA">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（八）上年结转和结余：填列2021年全部结转和结余的资金数，包括当年结转结余资金和历年滚存结转结余资金。</w:t>
      </w:r>
    </w:p>
    <w:p w14:paraId="37187F77">
      <w:pPr>
        <w:widowControl/>
        <w:spacing w:line="600" w:lineRule="exact"/>
        <w:ind w:firstLine="640"/>
        <w:jc w:val="left"/>
        <w:rPr>
          <w:rFonts w:ascii="仿宋_GB2312" w:eastAsia="仿宋_GB2312"/>
          <w:color w:val="000000"/>
          <w:sz w:val="32"/>
          <w:szCs w:val="30"/>
        </w:rPr>
      </w:pPr>
      <w:r>
        <w:rPr>
          <w:rFonts w:hint="eastAsia" w:ascii="仿宋_GB2312" w:eastAsia="仿宋_GB2312"/>
          <w:color w:val="000000"/>
          <w:sz w:val="32"/>
          <w:szCs w:val="30"/>
        </w:rPr>
        <w:t>二、支出科目</w:t>
      </w:r>
    </w:p>
    <w:p w14:paraId="3F06A564">
      <w:pPr>
        <w:widowControl/>
        <w:spacing w:line="600" w:lineRule="exact"/>
        <w:ind w:firstLine="640"/>
        <w:jc w:val="left"/>
        <w:rPr>
          <w:rFonts w:ascii="仿宋_GB2312" w:eastAsia="仿宋_GB2312" w:cs="Times New Roman"/>
          <w:sz w:val="32"/>
          <w:szCs w:val="32"/>
        </w:rPr>
      </w:pPr>
      <w:r>
        <w:rPr>
          <w:rFonts w:hint="eastAsia" w:ascii="仿宋_GB2312" w:eastAsia="仿宋_GB2312"/>
          <w:color w:val="000000"/>
          <w:sz w:val="32"/>
          <w:szCs w:val="30"/>
        </w:rPr>
        <w:t>对部门预算中涉及的支出功能分类科目（明细到项级），结合部门实际，参照《2022年政府收支分类科目》的规范说明进行解释。</w:t>
      </w:r>
    </w:p>
    <w:p w14:paraId="7B5C810A">
      <w:pPr>
        <w:rPr>
          <w:rFonts w:ascii="仿宋_GB2312" w:eastAsia="仿宋_GB2312" w:cs="Times New Roman"/>
          <w:sz w:val="32"/>
          <w:szCs w:val="32"/>
        </w:rPr>
      </w:pPr>
    </w:p>
    <w:p w14:paraId="4B2C8BBA">
      <w:pPr>
        <w:rPr>
          <w:rFonts w:ascii="仿宋_GB2312" w:eastAsia="仿宋_GB2312" w:cs="Times New Roman"/>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7791A">
    <w:pPr>
      <w:pStyle w:val="5"/>
      <w:framePr w:wrap="around" w:vAnchor="text" w:hAnchor="margin" w:xAlign="center" w:y="1"/>
      <w:rPr>
        <w:rStyle w:val="9"/>
        <w:rFonts w:cs="Times New Roman"/>
      </w:rPr>
    </w:pPr>
    <w:r>
      <w:rPr>
        <w:rStyle w:val="9"/>
      </w:rPr>
      <w:fldChar w:fldCharType="begin"/>
    </w:r>
    <w:r>
      <w:rPr>
        <w:rStyle w:val="9"/>
      </w:rPr>
      <w:instrText xml:space="preserve">PAGE  </w:instrText>
    </w:r>
    <w:r>
      <w:rPr>
        <w:rStyle w:val="9"/>
      </w:rPr>
      <w:fldChar w:fldCharType="separate"/>
    </w:r>
    <w:r>
      <w:rPr>
        <w:rStyle w:val="9"/>
      </w:rPr>
      <w:t>1</w:t>
    </w:r>
    <w:r>
      <w:rPr>
        <w:rStyle w:val="9"/>
      </w:rPr>
      <w:fldChar w:fldCharType="end"/>
    </w:r>
  </w:p>
  <w:p w14:paraId="2AC64E63">
    <w:pPr>
      <w:pStyle w:val="5"/>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A778CA"/>
    <w:multiLevelType w:val="singleLevel"/>
    <w:tmpl w:val="59A778CA"/>
    <w:lvl w:ilvl="0" w:tentative="0">
      <w:start w:val="4"/>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19076E1D"/>
    <w:rsid w:val="000429DB"/>
    <w:rsid w:val="00066060"/>
    <w:rsid w:val="000D49FF"/>
    <w:rsid w:val="00136AA0"/>
    <w:rsid w:val="001C7CFF"/>
    <w:rsid w:val="00293EDD"/>
    <w:rsid w:val="004A6051"/>
    <w:rsid w:val="00675E17"/>
    <w:rsid w:val="00683AC4"/>
    <w:rsid w:val="006D6D24"/>
    <w:rsid w:val="0074543D"/>
    <w:rsid w:val="008110CC"/>
    <w:rsid w:val="00B358C5"/>
    <w:rsid w:val="00C04C9A"/>
    <w:rsid w:val="00C113D1"/>
    <w:rsid w:val="00CB427A"/>
    <w:rsid w:val="00D80B81"/>
    <w:rsid w:val="00E42002"/>
    <w:rsid w:val="00F500B9"/>
    <w:rsid w:val="01992CBB"/>
    <w:rsid w:val="022502CD"/>
    <w:rsid w:val="05EB1609"/>
    <w:rsid w:val="08EE0B31"/>
    <w:rsid w:val="0A326819"/>
    <w:rsid w:val="0CBF216E"/>
    <w:rsid w:val="0FCB58D0"/>
    <w:rsid w:val="11427CB1"/>
    <w:rsid w:val="139E3D52"/>
    <w:rsid w:val="162B4B72"/>
    <w:rsid w:val="18AC060B"/>
    <w:rsid w:val="19076E1D"/>
    <w:rsid w:val="1EBD751D"/>
    <w:rsid w:val="1F117155"/>
    <w:rsid w:val="204B45CE"/>
    <w:rsid w:val="20CF2E6A"/>
    <w:rsid w:val="25705B71"/>
    <w:rsid w:val="2DBB222D"/>
    <w:rsid w:val="31D40AAE"/>
    <w:rsid w:val="381119B2"/>
    <w:rsid w:val="3BD871B8"/>
    <w:rsid w:val="3CF55A87"/>
    <w:rsid w:val="429A727D"/>
    <w:rsid w:val="4322216B"/>
    <w:rsid w:val="4C0B38BC"/>
    <w:rsid w:val="4C0B7195"/>
    <w:rsid w:val="4D3B293C"/>
    <w:rsid w:val="50CF427B"/>
    <w:rsid w:val="51B40312"/>
    <w:rsid w:val="56552A05"/>
    <w:rsid w:val="57CC144D"/>
    <w:rsid w:val="62B20F12"/>
    <w:rsid w:val="63973295"/>
    <w:rsid w:val="641E7445"/>
    <w:rsid w:val="71452C49"/>
    <w:rsid w:val="73224148"/>
    <w:rsid w:val="73584830"/>
    <w:rsid w:val="772860B1"/>
    <w:rsid w:val="79F05290"/>
    <w:rsid w:val="7B4102B0"/>
    <w:rsid w:val="7F0C59E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2"/>
    <w:basedOn w:val="1"/>
    <w:next w:val="1"/>
    <w:link w:val="10"/>
    <w:qFormat/>
    <w:uiPriority w:val="99"/>
    <w:pPr>
      <w:keepNext/>
      <w:keepLines/>
      <w:spacing w:line="416" w:lineRule="auto"/>
      <w:outlineLvl w:val="1"/>
    </w:pPr>
    <w:rPr>
      <w:rFonts w:ascii="Arial" w:hAnsi="Arial" w:eastAsia="黑体" w:cs="Arial"/>
      <w:b/>
      <w:bCs/>
      <w:sz w:val="32"/>
      <w:szCs w:val="32"/>
    </w:rPr>
  </w:style>
  <w:style w:type="paragraph" w:styleId="3">
    <w:name w:val="heading 3"/>
    <w:basedOn w:val="1"/>
    <w:next w:val="1"/>
    <w:unhideWhenUsed/>
    <w:qFormat/>
    <w:locked/>
    <w:uiPriority w:val="0"/>
    <w:pPr>
      <w:keepNext/>
      <w:keepLines/>
      <w:spacing w:before="260" w:after="260" w:line="413" w:lineRule="auto"/>
      <w:outlineLvl w:val="2"/>
    </w:pPr>
    <w:rPr>
      <w:b/>
      <w:sz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99"/>
  </w:style>
  <w:style w:type="character" w:customStyle="1" w:styleId="10">
    <w:name w:val="标题 2 Char"/>
    <w:basedOn w:val="8"/>
    <w:link w:val="2"/>
    <w:semiHidden/>
    <w:qFormat/>
    <w:uiPriority w:val="9"/>
    <w:rPr>
      <w:rFonts w:asciiTheme="majorHAnsi" w:hAnsiTheme="majorHAnsi" w:eastAsiaTheme="majorEastAsia" w:cstheme="majorBidi"/>
      <w:b/>
      <w:bCs/>
      <w:sz w:val="32"/>
      <w:szCs w:val="32"/>
    </w:rPr>
  </w:style>
  <w:style w:type="character" w:customStyle="1" w:styleId="11">
    <w:name w:val="页脚 Char"/>
    <w:basedOn w:val="8"/>
    <w:link w:val="5"/>
    <w:semiHidden/>
    <w:qFormat/>
    <w:uiPriority w:val="99"/>
    <w:rPr>
      <w:rFonts w:cs="Calibri"/>
      <w:sz w:val="18"/>
      <w:szCs w:val="18"/>
    </w:rPr>
  </w:style>
  <w:style w:type="character" w:customStyle="1" w:styleId="12">
    <w:name w:val="批注框文本 Char"/>
    <w:basedOn w:val="8"/>
    <w:link w:val="4"/>
    <w:semiHidden/>
    <w:qFormat/>
    <w:uiPriority w:val="99"/>
    <w:rPr>
      <w:rFonts w:ascii="Calibri" w:hAnsi="Calibri" w:cs="Calibri"/>
      <w:kern w:val="2"/>
      <w:sz w:val="18"/>
      <w:szCs w:val="18"/>
    </w:rPr>
  </w:style>
  <w:style w:type="character" w:customStyle="1" w:styleId="13">
    <w:name w:val="页眉 Char"/>
    <w:basedOn w:val="8"/>
    <w:link w:val="6"/>
    <w:semiHidden/>
    <w:qFormat/>
    <w:uiPriority w:val="99"/>
    <w:rPr>
      <w:rFonts w:ascii="Calibri" w:hAnsi="Calibri" w:cs="Calibri"/>
      <w:kern w:val="2"/>
      <w:sz w:val="18"/>
      <w:szCs w:val="18"/>
    </w:rPr>
  </w:style>
  <w:style w:type="paragraph" w:styleId="1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10</Pages>
  <Words>2144</Words>
  <Characters>2326</Characters>
  <Lines>17</Lines>
  <Paragraphs>4</Paragraphs>
  <TotalTime>1</TotalTime>
  <ScaleCrop>false</ScaleCrop>
  <LinksUpToDate>false</LinksUpToDate>
  <CharactersWithSpaces>2374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2022-03-11T03:28:00Z</dcterms:created>
  <dc:creator>Administrator</dc:creator>
  <cp:lastModifiedBy>WPS_1528625045</cp:lastModifiedBy>
  <cp:lastPrinted>2021-05-26T02:23:00Z</cp:lastPrinted>
  <dcterms:modified xsi:type="dcterms:W3CDTF">2026-02-13T09:34:58Z</dcterms:modified>
  <dc:title>附件2：2018年市级部门预算说明和预算公开表</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F4CC2E5705DE4B47BDA039291FBAA1C3</vt:lpwstr>
  </property>
  <property fmtid="{D5CDD505-2E9C-101B-9397-08002B2CF9AE}" pid="4" name="KSOTemplateDocerSaveRecord">
    <vt:lpwstr>eyJoZGlkIjoiNDJjYzFmMzU4NmE4NjM3NTQ2ZmVlZTVmMDQ4YTE1Y2MiLCJ1c2VySWQiOiIzNzczOTM4MzgifQ==</vt:lpwstr>
  </property>
</Properties>
</file>