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0707D">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14:paraId="2F5EE546">
      <w:pPr>
        <w:pStyle w:val="4"/>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w:t>
      </w:r>
      <w:r>
        <w:rPr>
          <w:rFonts w:hint="eastAsia" w:ascii="黑体" w:hAnsi="宋体" w:eastAsia="黑体" w:cs="黑体"/>
          <w:sz w:val="32"/>
          <w:szCs w:val="32"/>
          <w:lang w:val="en-US" w:eastAsia="zh-CN"/>
        </w:rPr>
        <w:t>农业农村和水利</w:t>
      </w:r>
      <w:r>
        <w:rPr>
          <w:rFonts w:hint="eastAsia" w:ascii="黑体" w:hAnsi="黑体" w:eastAsia="黑体" w:cs="黑体"/>
        </w:rPr>
        <w:t>局</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14:paraId="743977AC">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14:paraId="128724FF">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珠山区农业农村和水利</w:t>
      </w:r>
      <w:r>
        <w:rPr>
          <w:rFonts w:hint="eastAsia" w:ascii="黑体" w:hAnsi="宋体" w:eastAsia="黑体" w:cs="黑体"/>
          <w:sz w:val="32"/>
          <w:szCs w:val="32"/>
        </w:rPr>
        <w:t>局概况</w:t>
      </w:r>
    </w:p>
    <w:p w14:paraId="0C1B036E">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14:paraId="32CD7ECC">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14:paraId="1150B41E">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珠山区农业农村和水利</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14:paraId="1E39A9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14:paraId="7E49F6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14:paraId="29273E79">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农业农村和水利</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14:paraId="2E422DD1">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14:paraId="3D4D1368">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14:paraId="3F4B38F6">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14:paraId="56486A40">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14:paraId="0605AC4C">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14:paraId="772B780E">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14:paraId="607E4851">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14:paraId="7A221793">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14:paraId="4CD38A48">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14:paraId="245A9FDF">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14:paraId="36C9C1DE">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25B0E4A9">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珠山区农业农村和水利</w:t>
      </w:r>
      <w:r>
        <w:rPr>
          <w:rFonts w:hint="eastAsia" w:ascii="黑体" w:hAnsi="宋体" w:eastAsia="黑体" w:cs="黑体"/>
          <w:sz w:val="32"/>
          <w:szCs w:val="32"/>
        </w:rPr>
        <w:t>局概况</w:t>
      </w:r>
    </w:p>
    <w:p w14:paraId="30135B84">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14:paraId="1C87858C">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w:t>
      </w:r>
      <w:r>
        <w:rPr>
          <w:rFonts w:hint="eastAsia" w:ascii="仿宋_GB2312" w:hAnsi="仿宋" w:eastAsia="仿宋_GB2312"/>
          <w:sz w:val="32"/>
          <w:szCs w:val="32"/>
        </w:rPr>
        <w:t>统筹研究和组织实施全区“三农”工作的发展战略、中长期规划、重大政策。参与涉农的财税、价格、收储、金融保险、进出口等政策制定。配合市农业农村局做好农业综合行政执法工作。</w:t>
      </w:r>
    </w:p>
    <w:p w14:paraId="16E2D4F2">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2</w:t>
      </w:r>
      <w:r>
        <w:rPr>
          <w:rFonts w:hint="eastAsia" w:ascii="仿宋_GB2312" w:hAnsi="仿宋" w:eastAsia="仿宋_GB2312"/>
          <w:sz w:val="32"/>
          <w:szCs w:val="32"/>
        </w:rPr>
        <w:t>)统筹推动发展全区农村社会事业、农村公共服务、农村文化、农村基础设施和乡村治理。牵头组织改善农村人居环境， 组织、指导、协调区内新农村建设、现代农业建设等基础设施建设工作。指导农村精神文明和优秀农耕文化建设。</w:t>
      </w:r>
    </w:p>
    <w:p w14:paraId="2B0CEE43">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3</w:t>
      </w:r>
      <w:r>
        <w:rPr>
          <w:rFonts w:hint="eastAsia" w:ascii="仿宋_GB2312" w:hAnsi="仿宋" w:eastAsia="仿宋_GB2312"/>
          <w:sz w:val="32"/>
          <w:szCs w:val="32"/>
        </w:rPr>
        <w:t>)拟订深化全区农村经济体制改革和巩固完善农村基本 经营制度的政策。负责农民承包地、农村宅基地改革和管理有关工作,指导农村土地承包、耕地使用权流转和承包纠纷仲裁工作。负责农村集体产权制度改革,指导农村集体经济组织发展和集体资产管理工作，监督减轻农民负担和村民筹资筹劳管理工作。指导农民合作经济组织、农业社会化服务体系、新型农业经营主体建设与发展。</w:t>
      </w:r>
    </w:p>
    <w:p w14:paraId="4724A4F8">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4</w:t>
      </w:r>
      <w:r>
        <w:rPr>
          <w:rFonts w:hint="eastAsia" w:ascii="仿宋_GB2312" w:hAnsi="仿宋" w:eastAsia="仿宋_GB2312"/>
          <w:sz w:val="32"/>
          <w:szCs w:val="32"/>
        </w:rPr>
        <w:t>)指导全区乡村特色产业、农产品加工业、休闲农业和乡镇企业发展工作，促进农村一二三产业融合发展。提出促进大宗农产品流通的建议,培育、保护农业品牌，组织农业产业化龙头企业监测和评定工作。发布全区农业农村经济信息,监测分析农 业农村经济运行。承担全区农业统计和农业农村信息化有关工作。</w:t>
      </w:r>
    </w:p>
    <w:p w14:paraId="443CA4CF">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5</w:t>
      </w:r>
      <w:r>
        <w:rPr>
          <w:rFonts w:hint="eastAsia" w:ascii="仿宋_GB2312" w:hAnsi="仿宋" w:eastAsia="仿宋_GB2312"/>
          <w:sz w:val="32"/>
          <w:szCs w:val="32"/>
        </w:rPr>
        <w:t>)负责全区种植业、畜牧业、渔业、农业机械化等农业各产业的监督管理。指导粮食等农产品生产，组织协调“菜篮子” 工作，引导产业结构调整和产品品质的改善。组织构建现代农业产业体系、生产体系、经营体系,指导农业标准化生产。</w:t>
      </w:r>
    </w:p>
    <w:p w14:paraId="1C3D61C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6</w:t>
      </w:r>
      <w:r>
        <w:rPr>
          <w:rFonts w:hint="eastAsia" w:ascii="仿宋_GB2312" w:hAnsi="仿宋" w:eastAsia="仿宋_GB2312"/>
          <w:sz w:val="32"/>
          <w:szCs w:val="32"/>
        </w:rPr>
        <w:t>)负责全区农产品质量安全监督管理。组织开展农产品质量安全监测、追溯、风险评估。参与制定农产品质量安全标准并会同有关部门组织实施。组织农产品质量安全的重大事故调查处理和突发事件的应对工作。指导全区农业检验检测体系建设。</w:t>
      </w:r>
    </w:p>
    <w:p w14:paraId="0C578B6A">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7</w:t>
      </w:r>
      <w:r>
        <w:rPr>
          <w:rFonts w:hint="eastAsia" w:ascii="仿宋_GB2312" w:hAnsi="仿宋" w:eastAsia="仿宋_GB2312"/>
          <w:sz w:val="32"/>
          <w:szCs w:val="32"/>
        </w:rPr>
        <w:t>)组织全区农业资源区划工作。指导农用地、渔业水域以及农业生物物种资源的保护与管理,负责水生野生动植物保护、耕地及永久基本农田质量保护工作。指导设施农业、生态循环农业、节水农业发展以及农村可再生能源综合开发利用、农业生物质产业发展。</w:t>
      </w:r>
    </w:p>
    <w:p w14:paraId="692336BC">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8</w:t>
      </w:r>
      <w:r>
        <w:rPr>
          <w:rFonts w:hint="eastAsia" w:ascii="仿宋_GB2312" w:hAnsi="仿宋" w:eastAsia="仿宋_GB2312"/>
          <w:sz w:val="32"/>
          <w:szCs w:val="32"/>
        </w:rPr>
        <w:t>)负责全区有关农业生产资料和农业投入品的监督，组织全区农业生产资料市场体系建设,拟订有关农业生产资料标准并监督实施。组织兽医医政、兽药药政药检工作,负责执业兽医和畜禽屠宰行业管理。</w:t>
      </w:r>
    </w:p>
    <w:p w14:paraId="0425C9CA">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9</w:t>
      </w:r>
      <w:r>
        <w:rPr>
          <w:rFonts w:hint="eastAsia" w:ascii="仿宋_GB2312" w:hAnsi="仿宋" w:eastAsia="仿宋_GB2312"/>
          <w:sz w:val="32"/>
          <w:szCs w:val="32"/>
        </w:rPr>
        <w:t>)负责全区农业防灾减灾、农作物重大病虫害防治工作。监测、报告、发布农业灾情，组织农业救灾物资储备和调拨，提出生产救灾资金安排建议，指导紧急救灾和灾后生产恢复。指导全区动植物防疫检疫体系建设,组织、监督区内动植物防疫检疫工作,发布疫情并组织扑灭。</w:t>
      </w:r>
    </w:p>
    <w:p w14:paraId="56C46ABF">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10</w:t>
      </w:r>
      <w:r>
        <w:rPr>
          <w:rFonts w:hint="eastAsia" w:ascii="仿宋_GB2312" w:hAnsi="仿宋" w:eastAsia="仿宋_GB2312"/>
          <w:sz w:val="32"/>
          <w:szCs w:val="32"/>
        </w:rPr>
        <w:t>)负责农业投资管理。提出农业投融资体制机制改革建议。编制区级投资安排的农业投资项目建设规划,提出农业投资规模 和方向、扶持农业农村发展财政项目的建议,按区政府规定权限 审批农业投资项目,负责农业投资项目资金安排和监督管理。</w:t>
      </w:r>
    </w:p>
    <w:p w14:paraId="3048FE52">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11</w:t>
      </w:r>
      <w:r>
        <w:rPr>
          <w:rFonts w:hint="eastAsia" w:ascii="仿宋_GB2312" w:hAnsi="仿宋" w:eastAsia="仿宋_GB2312"/>
          <w:sz w:val="32"/>
          <w:szCs w:val="32"/>
        </w:rPr>
        <w:t>)推动全区农业科技体制改革和农业科技创新体系建 设。指导全区农业产业技术体系和农技推广体系建设,组织开展农业领城的高新技术和应用技术研究、科技成果转化和技术推广, 负责全区农业转基因生物安全监督管理和农业植物新品种保护。</w:t>
      </w:r>
    </w:p>
    <w:p w14:paraId="3349020A">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12</w:t>
      </w:r>
      <w:r>
        <w:rPr>
          <w:rFonts w:hint="eastAsia" w:ascii="仿宋_GB2312" w:hAnsi="仿宋" w:eastAsia="仿宋_GB2312"/>
          <w:sz w:val="32"/>
          <w:szCs w:val="32"/>
        </w:rPr>
        <w:t>)负责农业领域生态环境保护和节能减排工作。牵头负责农业污染源头减量和废弃物资源化利用。牵头统筹协调推进农村人居环境整治。指导农业清洁生产。指导全区农产品产地环境管理，牵头管理全区外出物种。</w:t>
      </w:r>
    </w:p>
    <w:p w14:paraId="4F67CD7B">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13</w:t>
      </w:r>
      <w:r>
        <w:rPr>
          <w:rFonts w:hint="eastAsia" w:ascii="仿宋_GB2312" w:hAnsi="仿宋" w:eastAsia="仿宋_GB2312"/>
          <w:sz w:val="32"/>
          <w:szCs w:val="32"/>
        </w:rPr>
        <w:t>)统筹推进全区农业农村人才工作。拟订全区农业农村人才队伍建设规划并组织实施,指导农业教育和农业职业技能开发,指导新型职业农民培育、农业科技人才培养和农村实用人才培训工作。</w:t>
      </w:r>
    </w:p>
    <w:p w14:paraId="640F871F">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14</w:t>
      </w:r>
      <w:r>
        <w:rPr>
          <w:rFonts w:hint="eastAsia" w:ascii="仿宋_GB2312" w:hAnsi="仿宋" w:eastAsia="仿宋_GB2312"/>
          <w:sz w:val="32"/>
          <w:szCs w:val="32"/>
        </w:rPr>
        <w:t>)监督指导全区农业行业安全生产工作。负责农业机械、渔政和农药使用等安全监督管理工作。</w:t>
      </w:r>
    </w:p>
    <w:p w14:paraId="24FE4A4D">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15</w:t>
      </w:r>
      <w:r>
        <w:rPr>
          <w:rFonts w:hint="eastAsia" w:ascii="仿宋_GB2312" w:hAnsi="仿宋" w:eastAsia="仿宋_GB2312"/>
          <w:sz w:val="32"/>
          <w:szCs w:val="32"/>
        </w:rPr>
        <w:t>)牵头开展全区农业对外合作工作。指导全区系统开展开放型农业及农业招商引资工作。</w:t>
      </w:r>
    </w:p>
    <w:p w14:paraId="1F27A05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16</w:t>
      </w:r>
      <w:r>
        <w:rPr>
          <w:rFonts w:hint="eastAsia" w:ascii="仿宋_GB2312" w:hAnsi="仿宋" w:eastAsia="仿宋_GB2312"/>
          <w:sz w:val="32"/>
          <w:szCs w:val="32"/>
        </w:rPr>
        <w:t>)指导粮油作物结构和布局调整及标准化生产，粮食产业发展工作。</w:t>
      </w:r>
    </w:p>
    <w:p w14:paraId="0E514BE6">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17</w:t>
      </w:r>
      <w:r>
        <w:rPr>
          <w:rFonts w:hint="eastAsia" w:ascii="仿宋_GB2312" w:hAnsi="仿宋" w:eastAsia="仿宋_GB2312"/>
          <w:sz w:val="32"/>
          <w:szCs w:val="32"/>
        </w:rPr>
        <w:t>)负责与巿农业农村局、市水利等部门的工作联系。</w:t>
      </w:r>
      <w:r>
        <w:rPr>
          <w:rFonts w:hint="eastAsia" w:ascii="仿宋_GB2312" w:hAnsi="仿宋" w:eastAsia="仿宋_GB2312"/>
          <w:sz w:val="32"/>
          <w:szCs w:val="32"/>
          <w:lang w:val="en-US" w:eastAsia="zh-CN"/>
        </w:rPr>
        <w:t xml:space="preserve">  </w:t>
      </w:r>
    </w:p>
    <w:p w14:paraId="16A3D490">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18</w:t>
      </w:r>
      <w:r>
        <w:rPr>
          <w:rFonts w:hint="eastAsia" w:ascii="仿宋_GB2312" w:hAnsi="仿宋" w:eastAsia="仿宋_GB2312"/>
          <w:sz w:val="32"/>
          <w:szCs w:val="32"/>
        </w:rPr>
        <w:t>)完成区委、区政府交办的其他任务。</w:t>
      </w:r>
    </w:p>
    <w:p w14:paraId="0046137E">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19</w:t>
      </w:r>
      <w:r>
        <w:rPr>
          <w:rFonts w:hint="eastAsia" w:ascii="仿宋_GB2312" w:hAnsi="仿宋" w:eastAsia="仿宋_GB2312"/>
          <w:sz w:val="32"/>
          <w:szCs w:val="32"/>
        </w:rPr>
        <w:t>)与区市场监督管理局有关职责分工</w:t>
      </w:r>
    </w:p>
    <w:p w14:paraId="5645F32B">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①</w:t>
      </w:r>
      <w:r>
        <w:rPr>
          <w:rFonts w:hint="eastAsia" w:ascii="仿宋_GB2312" w:hAnsi="仿宋" w:eastAsia="仿宋_GB2312"/>
          <w:sz w:val="32"/>
          <w:szCs w:val="32"/>
        </w:rPr>
        <w:t>区农业农村和水利局负责食用农产品从种植养殖环节到进入批发、零售区场或生产加工企业前的质量安全监督管理。食用农产品进入批发、零售区场或生产加工企业后,由区市场监督管理局监督管理。</w:t>
      </w:r>
    </w:p>
    <w:p w14:paraId="2CC282BF">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②</w:t>
      </w:r>
      <w:r>
        <w:rPr>
          <w:rFonts w:hint="eastAsia" w:ascii="仿宋_GB2312" w:hAnsi="仿宋" w:eastAsia="仿宋_GB2312"/>
          <w:sz w:val="32"/>
          <w:szCs w:val="32"/>
        </w:rPr>
        <w:t>区农业农村和水利局负责动植物疫病防控、畜禽屠宰环节、生鲜乳收购环节质量安全的监督管理。</w:t>
      </w:r>
    </w:p>
    <w:p w14:paraId="11811B80">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③</w:t>
      </w:r>
      <w:r>
        <w:rPr>
          <w:rFonts w:hint="eastAsia" w:ascii="仿宋_GB2312" w:hAnsi="仿宋" w:eastAsia="仿宋_GB2312"/>
          <w:sz w:val="32"/>
          <w:szCs w:val="32"/>
        </w:rPr>
        <w:t>两部门要建立食品安全产地准出、市场准入和追溯机制, 加强协调配合和工作衔接,形成监管合力。</w:t>
      </w:r>
    </w:p>
    <w:p w14:paraId="77A066F3">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20</w:t>
      </w:r>
      <w:r>
        <w:rPr>
          <w:rFonts w:hint="eastAsia" w:ascii="仿宋_GB2312" w:hAnsi="仿宋" w:eastAsia="仿宋_GB2312"/>
          <w:sz w:val="32"/>
          <w:szCs w:val="32"/>
        </w:rPr>
        <w:t>）负责全区水土保持工作；研究制定水土保持的工程措施防治规划，组织水土流失的监测和综合防治，负责水土保持监督执法工作。</w:t>
      </w:r>
    </w:p>
    <w:p w14:paraId="0E509760">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14:paraId="5D3373AC">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珠山区农业农村和水利</w:t>
      </w:r>
      <w:r>
        <w:rPr>
          <w:rFonts w:hint="eastAsia" w:ascii="仿宋_GB2312" w:hAnsi="宋体" w:eastAsia="仿宋_GB2312" w:cs="仿宋_GB2312"/>
          <w:sz w:val="32"/>
          <w:szCs w:val="32"/>
        </w:rPr>
        <w:t>局共有预算单位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个，包括局本级。编制数为</w:t>
      </w:r>
      <w:r>
        <w:rPr>
          <w:rFonts w:hint="eastAsia" w:ascii="仿宋_GB2312" w:hAnsi="宋体" w:eastAsia="仿宋_GB2312" w:cs="仿宋_GB2312"/>
          <w:sz w:val="32"/>
          <w:szCs w:val="32"/>
          <w:lang w:val="en-US" w:eastAsia="zh-CN"/>
        </w:rPr>
        <w:t>16</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人、部分补助事业编制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14:paraId="0E9E6CEB">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珠山区农业农村和水利</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14:paraId="6205B1C2">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14:paraId="75CD7A96">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14:paraId="1575F5C1">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珠山区农业农村和水利</w:t>
      </w:r>
      <w:r>
        <w:rPr>
          <w:rFonts w:hint="eastAsia" w:ascii="仿宋_GB2312" w:hAnsi="宋体" w:eastAsia="仿宋_GB2312" w:cs="仿宋_GB2312"/>
          <w:sz w:val="32"/>
          <w:szCs w:val="32"/>
        </w:rPr>
        <w:t>局收入预算总额为</w:t>
      </w:r>
      <w:r>
        <w:rPr>
          <w:rFonts w:hint="eastAsia" w:ascii="仿宋_GB2312" w:hAnsi="宋体" w:eastAsia="仿宋_GB2312" w:cs="仿宋_GB2312"/>
          <w:sz w:val="32"/>
          <w:szCs w:val="32"/>
          <w:lang w:val="en-US" w:eastAsia="zh-CN"/>
        </w:rPr>
        <w:t>189.6</w:t>
      </w:r>
      <w:r>
        <w:rPr>
          <w:rFonts w:hint="eastAsia" w:ascii="仿宋_GB2312" w:hAnsi="宋体" w:eastAsia="仿宋_GB2312" w:cs="仿宋_GB2312"/>
          <w:sz w:val="32"/>
          <w:szCs w:val="32"/>
        </w:rPr>
        <w:t>万元，与上年预算相比增减变化，说明情况。其中：当年财政拨款收入</w:t>
      </w:r>
      <w:r>
        <w:rPr>
          <w:rFonts w:hint="eastAsia" w:ascii="仿宋_GB2312" w:hAnsi="宋体" w:eastAsia="仿宋_GB2312" w:cs="仿宋_GB2312"/>
          <w:sz w:val="32"/>
          <w:szCs w:val="32"/>
          <w:lang w:val="en-US" w:eastAsia="zh-CN"/>
        </w:rPr>
        <w:t>189.6</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14:paraId="0A9D8A45">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14:paraId="21A3047E">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珠山区农业农村和水利</w:t>
      </w:r>
      <w:r>
        <w:rPr>
          <w:rFonts w:hint="eastAsia" w:ascii="仿宋_GB2312" w:hAnsi="宋体" w:eastAsia="仿宋_GB2312" w:cs="仿宋_GB2312"/>
          <w:sz w:val="32"/>
          <w:szCs w:val="32"/>
        </w:rPr>
        <w:t>局支出预算总额为</w:t>
      </w:r>
      <w:r>
        <w:rPr>
          <w:rFonts w:hint="eastAsia" w:ascii="仿宋_GB2312" w:hAnsi="宋体" w:eastAsia="仿宋_GB2312" w:cs="仿宋_GB2312"/>
          <w:sz w:val="32"/>
          <w:szCs w:val="32"/>
          <w:lang w:val="en-US" w:eastAsia="zh-CN"/>
        </w:rPr>
        <w:t>189.6</w:t>
      </w:r>
      <w:r>
        <w:rPr>
          <w:rFonts w:hint="eastAsia" w:ascii="仿宋_GB2312" w:hAnsi="宋体" w:eastAsia="仿宋_GB2312" w:cs="仿宋_GB2312"/>
          <w:sz w:val="32"/>
          <w:szCs w:val="32"/>
        </w:rPr>
        <w:t>万元，与上年预算相比增减变化，说明情况。其中：按支出项目类别划分：基本支出</w:t>
      </w:r>
      <w:r>
        <w:rPr>
          <w:rFonts w:hint="eastAsia" w:ascii="仿宋_GB2312" w:hAnsi="宋体" w:eastAsia="仿宋_GB2312" w:cs="仿宋_GB2312"/>
          <w:sz w:val="32"/>
          <w:szCs w:val="32"/>
          <w:lang w:val="en-US" w:eastAsia="zh-CN"/>
        </w:rPr>
        <w:t>119.6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63.8</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91.02</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28.58</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70</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36.92</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70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14:paraId="0B31683E">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按支出功能项目科目划分：</w:t>
      </w:r>
      <w:r>
        <w:rPr>
          <w:rFonts w:hint="eastAsia" w:ascii="仿宋_GB2312" w:hAnsi="宋体" w:eastAsia="仿宋_GB2312" w:cs="仿宋_GB2312"/>
          <w:sz w:val="32"/>
          <w:szCs w:val="32"/>
          <w:lang w:val="en-US" w:eastAsia="zh-CN"/>
        </w:rPr>
        <w:t>社会保障和就业支出9.79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5.16</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卫生健康</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3.98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2.1</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农林水</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167.28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88.23</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住房保障</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8.56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4.51</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14:paraId="3AE3EADA">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91.02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48</w:t>
      </w:r>
      <w:r>
        <w:rPr>
          <w:rFonts w:ascii="仿宋_GB2312" w:hAnsi="宋体" w:eastAsia="仿宋_GB2312" w:cs="仿宋_GB2312"/>
          <w:sz w:val="32"/>
          <w:szCs w:val="32"/>
        </w:rPr>
        <w:t>%</w:t>
      </w:r>
      <w:r>
        <w:rPr>
          <w:rFonts w:hint="eastAsia" w:ascii="仿宋_GB2312" w:hAnsi="宋体" w:eastAsia="仿宋_GB2312" w:cs="仿宋_GB2312"/>
          <w:sz w:val="32"/>
          <w:szCs w:val="32"/>
        </w:rPr>
        <w:t>；商品和服</w:t>
      </w:r>
      <w:bookmarkStart w:id="0" w:name="_GoBack"/>
      <w:r>
        <w:rPr>
          <w:rFonts w:hint="eastAsia" w:ascii="仿宋_GB2312" w:hAnsi="宋体" w:eastAsia="仿宋_GB2312" w:cs="仿宋_GB2312"/>
          <w:sz w:val="32"/>
          <w:szCs w:val="32"/>
        </w:rPr>
        <w:t>务支出</w:t>
      </w:r>
      <w:r>
        <w:rPr>
          <w:rFonts w:hint="eastAsia" w:ascii="仿宋_GB2312" w:hAnsi="宋体" w:eastAsia="仿宋_GB2312" w:cs="仿宋_GB2312"/>
          <w:sz w:val="32"/>
          <w:szCs w:val="32"/>
          <w:lang w:val="en-US" w:eastAsia="zh-CN"/>
        </w:rPr>
        <w:t>98.58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52</w:t>
      </w:r>
      <w:r>
        <w:rPr>
          <w:rFonts w:ascii="仿宋_GB2312" w:hAnsi="宋体" w:eastAsia="仿宋_GB2312" w:cs="仿宋_GB2312"/>
          <w:sz w:val="32"/>
          <w:szCs w:val="32"/>
        </w:rPr>
        <w:t>%</w:t>
      </w:r>
      <w:bookmarkEnd w:id="0"/>
      <w:r>
        <w:rPr>
          <w:rFonts w:hint="eastAsia" w:ascii="仿宋_GB2312" w:hAnsi="宋体" w:eastAsia="仿宋_GB2312" w:cs="仿宋_GB2312"/>
          <w:sz w:val="32"/>
          <w:szCs w:val="32"/>
        </w:rPr>
        <w:t>；……（根据单位涉及的支出经济分类按类级科目逐项说明。）</w:t>
      </w:r>
    </w:p>
    <w:p w14:paraId="35216CE2">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14:paraId="158A0486">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珠山区农业农村和水利</w:t>
      </w:r>
      <w:r>
        <w:rPr>
          <w:rFonts w:hint="eastAsia" w:ascii="仿宋_GB2312" w:hAnsi="宋体" w:eastAsia="仿宋_GB2312" w:cs="仿宋_GB2312"/>
          <w:sz w:val="32"/>
          <w:szCs w:val="32"/>
        </w:rPr>
        <w:t>局财政拨款支出预算</w:t>
      </w:r>
      <w:r>
        <w:rPr>
          <w:rFonts w:hint="eastAsia" w:ascii="仿宋_GB2312" w:hAnsi="宋体" w:eastAsia="仿宋_GB2312" w:cs="仿宋_GB2312"/>
          <w:sz w:val="32"/>
          <w:szCs w:val="32"/>
          <w:lang w:val="en-US" w:eastAsia="zh-CN"/>
        </w:rPr>
        <w:t>189.6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，与上年预算相比增减变化，说明情况。具体支出情况是：农林水事务</w:t>
      </w:r>
      <w:r>
        <w:rPr>
          <w:rFonts w:hint="eastAsia" w:ascii="仿宋_GB2312" w:hAnsi="宋体" w:eastAsia="仿宋_GB2312" w:cs="仿宋_GB2312"/>
          <w:sz w:val="32"/>
          <w:szCs w:val="32"/>
          <w:lang w:val="en-US" w:eastAsia="zh-CN"/>
        </w:rPr>
        <w:t>167.28</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88.23</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住房保障</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8.56</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4.51</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社会保障和就业支出9.79</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5.16</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卫生健康</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3.98</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2.1</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14:paraId="02216C5E">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14:paraId="1521A4A3">
      <w:pPr>
        <w:tabs>
          <w:tab w:val="left" w:pos="1162"/>
        </w:tabs>
        <w:ind w:left="420" w:leftChars="200" w:firstLine="320" w:firstLineChars="1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无政府采购预算</w:t>
      </w:r>
      <w:r>
        <w:rPr>
          <w:rFonts w:hint="eastAsia" w:ascii="仿宋_GB2312" w:hAnsi="宋体" w:eastAsia="仿宋_GB2312" w:cs="仿宋_GB2312"/>
          <w:sz w:val="32"/>
          <w:szCs w:val="32"/>
        </w:rPr>
        <w:t>。</w:t>
      </w:r>
    </w:p>
    <w:p w14:paraId="1DA7CB91">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14:paraId="48F87AAE">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14:paraId="16681C83">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14:paraId="2F539623">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珠山区农业农村和水利</w:t>
      </w:r>
      <w:r>
        <w:rPr>
          <w:rFonts w:hint="eastAsia" w:ascii="仿宋_GB2312" w:hAnsi="宋体" w:eastAsia="仿宋_GB2312" w:cs="仿宋_GB2312"/>
          <w:sz w:val="32"/>
          <w:szCs w:val="32"/>
        </w:rPr>
        <w:t>局“三公”经费年初预算安排</w:t>
      </w:r>
      <w:r>
        <w:rPr>
          <w:rFonts w:hint="eastAsia" w:ascii="仿宋_GB2312" w:hAnsi="宋体" w:eastAsia="仿宋_GB2312" w:cs="仿宋_GB2312"/>
          <w:sz w:val="32"/>
          <w:szCs w:val="32"/>
          <w:lang w:val="en-US" w:eastAsia="zh-CN"/>
        </w:rPr>
        <w:t>1.34</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ascii="仿宋_GB2312" w:eastAsia="仿宋_GB2312" w:cs="仿宋_GB2312"/>
          <w:sz w:val="32"/>
          <w:szCs w:val="32"/>
        </w:rPr>
        <w:t>...</w:t>
      </w:r>
      <w:r>
        <w:rPr>
          <w:rFonts w:hint="eastAsia" w:ascii="仿宋_GB2312" w:hAnsi="宋体" w:eastAsia="仿宋_GB2312" w:cs="仿宋_GB2312"/>
          <w:sz w:val="32"/>
          <w:szCs w:val="32"/>
        </w:rPr>
        <w:t>。</w:t>
      </w:r>
    </w:p>
    <w:p w14:paraId="10991D0F">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1.34</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val="en-US" w:eastAsia="zh-CN"/>
        </w:rPr>
        <w:t>0.2</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val="en-US" w:eastAsia="zh-CN"/>
        </w:rPr>
        <w:t>每年下降</w:t>
      </w:r>
      <w:r>
        <w:rPr>
          <w:rFonts w:hint="eastAsia" w:ascii="仿宋_GB2312" w:hAnsi="宋体" w:eastAsia="仿宋_GB2312" w:cs="仿宋_GB2312"/>
          <w:sz w:val="32"/>
          <w:szCs w:val="32"/>
        </w:rPr>
        <w:t>。</w:t>
      </w:r>
    </w:p>
    <w:p w14:paraId="20335904">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val="en-US" w:eastAsia="zh-CN"/>
        </w:rPr>
        <w:t>无</w:t>
      </w:r>
      <w:r>
        <w:rPr>
          <w:rFonts w:hint="eastAsia" w:ascii="仿宋_GB2312" w:hAnsi="宋体" w:eastAsia="仿宋_GB2312" w:cs="仿宋_GB2312"/>
          <w:sz w:val="32"/>
          <w:szCs w:val="32"/>
        </w:rPr>
        <w:t>。</w:t>
      </w:r>
    </w:p>
    <w:p w14:paraId="3358DD4F">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val="en-US" w:eastAsia="zh-CN"/>
        </w:rPr>
        <w:t>无</w:t>
      </w:r>
      <w:r>
        <w:rPr>
          <w:rFonts w:hint="eastAsia" w:ascii="仿宋_GB2312" w:hAnsi="宋体" w:eastAsia="仿宋_GB2312" w:cs="仿宋_GB2312"/>
          <w:sz w:val="32"/>
          <w:szCs w:val="32"/>
        </w:rPr>
        <w:t>。</w:t>
      </w:r>
    </w:p>
    <w:p w14:paraId="48FF7485">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14:paraId="1C0C2DB4">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val="en-US" w:eastAsia="zh-CN"/>
        </w:rPr>
        <w:t>完成当年各项工作</w:t>
      </w:r>
      <w:r>
        <w:rPr>
          <w:rFonts w:hint="eastAsia" w:ascii="仿宋_GB2312" w:eastAsia="仿宋_GB2312"/>
          <w:color w:val="000000"/>
          <w:sz w:val="32"/>
          <w:szCs w:val="30"/>
        </w:rPr>
        <w:t>，部门预算情况</w:t>
      </w:r>
      <w:r>
        <w:rPr>
          <w:rFonts w:hint="eastAsia" w:ascii="仿宋_GB2312" w:eastAsia="仿宋_GB2312"/>
          <w:color w:val="000000"/>
          <w:sz w:val="32"/>
          <w:szCs w:val="30"/>
          <w:lang w:val="en-US" w:eastAsia="zh-CN"/>
        </w:rPr>
        <w:t>完成各项资金使用</w:t>
      </w:r>
      <w:r>
        <w:rPr>
          <w:rFonts w:hint="eastAsia" w:ascii="仿宋_GB2312" w:eastAsia="仿宋_GB2312"/>
          <w:color w:val="000000"/>
          <w:sz w:val="32"/>
          <w:szCs w:val="30"/>
        </w:rPr>
        <w:t>。</w:t>
      </w:r>
    </w:p>
    <w:p w14:paraId="310185C3">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14:paraId="23E25725">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 xml:space="preserve">个，涉及资金     </w:t>
      </w:r>
      <w:r>
        <w:rPr>
          <w:rFonts w:hint="eastAsia" w:ascii="仿宋_GB2312" w:eastAsia="仿宋_GB2312"/>
          <w:color w:val="000000"/>
          <w:sz w:val="32"/>
          <w:szCs w:val="30"/>
          <w:lang w:val="en-US" w:eastAsia="zh-CN"/>
        </w:rPr>
        <w:t>70</w:t>
      </w:r>
      <w:r>
        <w:rPr>
          <w:rFonts w:hint="eastAsia" w:ascii="仿宋_GB2312" w:eastAsia="仿宋_GB2312"/>
          <w:color w:val="000000"/>
          <w:sz w:val="32"/>
          <w:szCs w:val="30"/>
        </w:rPr>
        <w:t>万元，其中：二级项目</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个（部门预算中</w:t>
      </w:r>
      <w:r>
        <w:rPr>
          <w:rFonts w:hint="eastAsia" w:ascii="仿宋_GB2312" w:eastAsia="仿宋_GB2312"/>
          <w:color w:val="000000"/>
          <w:sz w:val="32"/>
          <w:szCs w:val="30"/>
          <w:lang w:val="en-US" w:eastAsia="zh-CN"/>
        </w:rPr>
        <w:t>20</w:t>
      </w:r>
      <w:r>
        <w:rPr>
          <w:rFonts w:hint="eastAsia" w:ascii="仿宋_GB2312" w:eastAsia="仿宋_GB2312"/>
          <w:color w:val="000000"/>
          <w:sz w:val="32"/>
          <w:szCs w:val="30"/>
        </w:rPr>
        <w:t xml:space="preserve">万元以上的，且进行了绩效评审的项目 </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70</w:t>
      </w:r>
      <w:r>
        <w:rPr>
          <w:rFonts w:hint="eastAsia" w:ascii="仿宋_GB2312" w:eastAsia="仿宋_GB2312"/>
          <w:color w:val="000000"/>
          <w:sz w:val="32"/>
          <w:szCs w:val="30"/>
        </w:rPr>
        <w:t>万元），涉及资金</w:t>
      </w:r>
      <w:r>
        <w:rPr>
          <w:rFonts w:hint="eastAsia" w:ascii="仿宋_GB2312" w:eastAsia="仿宋_GB2312"/>
          <w:color w:val="000000"/>
          <w:sz w:val="32"/>
          <w:szCs w:val="30"/>
          <w:lang w:val="en-US" w:eastAsia="zh-CN"/>
        </w:rPr>
        <w:t>70</w:t>
      </w:r>
      <w:r>
        <w:rPr>
          <w:rFonts w:hint="eastAsia" w:ascii="仿宋_GB2312" w:eastAsia="仿宋_GB2312"/>
          <w:color w:val="000000"/>
          <w:sz w:val="32"/>
          <w:szCs w:val="30"/>
        </w:rPr>
        <w:t>万元。</w:t>
      </w:r>
    </w:p>
    <w:p w14:paraId="0805451F">
      <w:pPr>
        <w:ind w:firstLine="640" w:firstLineChars="200"/>
        <w:rPr>
          <w:rFonts w:ascii="仿宋_GB2312" w:hAnsi="宋体" w:eastAsia="仿宋_GB2312" w:cs="仿宋_GB2312"/>
          <w:sz w:val="32"/>
          <w:szCs w:val="32"/>
        </w:rPr>
      </w:pPr>
    </w:p>
    <w:p w14:paraId="6D700CE6">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珠山区农业农村和水利</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14:paraId="11756A4E">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14:paraId="35F1B2D7">
      <w:pPr>
        <w:rPr>
          <w:rFonts w:ascii="仿宋_GB2312" w:hAnsi="宋体" w:eastAsia="仿宋_GB2312" w:cs="仿宋_GB2312"/>
          <w:sz w:val="32"/>
          <w:szCs w:val="32"/>
          <w:shd w:val="clear" w:color="FFFFFF" w:fill="D9D9D9"/>
        </w:rPr>
      </w:pPr>
    </w:p>
    <w:p w14:paraId="279C0521">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2CEF9843">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14:paraId="795FB047">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14:paraId="3DFFCA11">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14:paraId="1622B101">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14:paraId="63F51071">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14:paraId="1CA516C1">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14:paraId="16D47EA0">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14:paraId="66871B3C">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14:paraId="4206B26D">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14:paraId="4C13B9A9">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14:paraId="48E9F814">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14:paraId="32F91B57">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14:paraId="0C779C1D">
      <w:pPr>
        <w:rPr>
          <w:rFonts w:ascii="仿宋_GB2312" w:eastAsia="仿宋_GB2312" w:cs="Times New Roman"/>
          <w:sz w:val="32"/>
          <w:szCs w:val="32"/>
        </w:rPr>
      </w:pPr>
    </w:p>
    <w:p w14:paraId="3E04615D">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F810">
    <w:pPr>
      <w:pStyle w:val="6"/>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14:paraId="56DC02EC">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BF216E"/>
    <w:rsid w:val="0FCB58D0"/>
    <w:rsid w:val="11427CB1"/>
    <w:rsid w:val="139E3D52"/>
    <w:rsid w:val="162B4B72"/>
    <w:rsid w:val="18AC060B"/>
    <w:rsid w:val="19076E1D"/>
    <w:rsid w:val="1EBD751D"/>
    <w:rsid w:val="1F117155"/>
    <w:rsid w:val="204B45CE"/>
    <w:rsid w:val="25705B71"/>
    <w:rsid w:val="2DBB222D"/>
    <w:rsid w:val="31D40AAE"/>
    <w:rsid w:val="332C1363"/>
    <w:rsid w:val="381119B2"/>
    <w:rsid w:val="3BD871B8"/>
    <w:rsid w:val="3CF55A87"/>
    <w:rsid w:val="429A727D"/>
    <w:rsid w:val="4322216B"/>
    <w:rsid w:val="4C0B38BC"/>
    <w:rsid w:val="4C0B7195"/>
    <w:rsid w:val="4D3B293C"/>
    <w:rsid w:val="51B40312"/>
    <w:rsid w:val="56552A05"/>
    <w:rsid w:val="57CC144D"/>
    <w:rsid w:val="62B20F12"/>
    <w:rsid w:val="63973295"/>
    <w:rsid w:val="641E7445"/>
    <w:rsid w:val="6F3102E1"/>
    <w:rsid w:val="71452C49"/>
    <w:rsid w:val="73224148"/>
    <w:rsid w:val="73584830"/>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Balloon Text"/>
    <w:basedOn w:val="1"/>
    <w:link w:val="12"/>
    <w:semiHidden/>
    <w:unhideWhenUsed/>
    <w:qFormat/>
    <w:uiPriority w:val="99"/>
    <w:rPr>
      <w:sz w:val="18"/>
      <w:szCs w:val="18"/>
    </w:rPr>
  </w:style>
  <w:style w:type="paragraph" w:styleId="6">
    <w:name w:val="footer"/>
    <w:basedOn w:val="1"/>
    <w:link w:val="11"/>
    <w:qFormat/>
    <w:uiPriority w:val="99"/>
    <w:pPr>
      <w:tabs>
        <w:tab w:val="center" w:pos="4153"/>
        <w:tab w:val="right" w:pos="8306"/>
      </w:tabs>
      <w:snapToGrid w:val="0"/>
      <w:jc w:val="left"/>
    </w:pPr>
    <w:rPr>
      <w:sz w:val="18"/>
      <w:szCs w:val="18"/>
    </w:rPr>
  </w:style>
  <w:style w:type="character" w:styleId="9">
    <w:name w:val="page number"/>
    <w:basedOn w:val="8"/>
    <w:qFormat/>
    <w:uiPriority w:val="99"/>
  </w:style>
  <w:style w:type="character" w:customStyle="1" w:styleId="10">
    <w:name w:val="标题 2 Char"/>
    <w:basedOn w:val="8"/>
    <w:link w:val="3"/>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6"/>
    <w:semiHidden/>
    <w:qFormat/>
    <w:uiPriority w:val="99"/>
    <w:rPr>
      <w:rFonts w:cs="Calibri"/>
      <w:sz w:val="18"/>
      <w:szCs w:val="18"/>
    </w:rPr>
  </w:style>
  <w:style w:type="character" w:customStyle="1" w:styleId="12">
    <w:name w:val="批注框文本 Char"/>
    <w:basedOn w:val="8"/>
    <w:link w:val="5"/>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3952</Words>
  <Characters>4196</Characters>
  <Lines>3</Lines>
  <Paragraphs>5</Paragraphs>
  <TotalTime>4</TotalTime>
  <ScaleCrop>false</ScaleCrop>
  <LinksUpToDate>false</LinksUpToDate>
  <CharactersWithSpaces>4242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寒冰</cp:lastModifiedBy>
  <cp:lastPrinted>2021-05-26T02:23:00Z</cp:lastPrinted>
  <dcterms:modified xsi:type="dcterms:W3CDTF">2025-10-20T09:12:33Z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4FA2CFFCE3754C1D8E17F43A4819D5BD</vt:lpwstr>
  </property>
  <property fmtid="{D5CDD505-2E9C-101B-9397-08002B2CF9AE}" pid="4" name="KSOTemplateDocerSaveRecord">
    <vt:lpwstr>eyJoZGlkIjoiNDM2MWM2M2RiYzMzMDU0OGJkNWUxOTYwYzZmZGRjMzciLCJ1c2VySWQiOiI1MjIyMzU4MzYifQ==</vt:lpwstr>
  </property>
</Properties>
</file>