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珠山区协税护税办公室</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黑体" w:eastAsia="黑体" w:cs="黑体"/>
          <w:sz w:val="32"/>
          <w:szCs w:val="32"/>
          <w:lang w:val="en-US" w:eastAsia="zh-CN"/>
        </w:rPr>
        <w:t>协税护税办公室</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黑体" w:eastAsia="黑体" w:cs="黑体"/>
          <w:sz w:val="32"/>
          <w:szCs w:val="32"/>
          <w:lang w:val="en-US" w:eastAsia="zh-CN"/>
        </w:rPr>
        <w:t>协税护税办公室</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黑体" w:eastAsia="黑体" w:cs="黑体"/>
          <w:sz w:val="32"/>
          <w:szCs w:val="32"/>
          <w:lang w:val="en-US" w:eastAsia="zh-CN"/>
        </w:rPr>
        <w:t>协税护税办公室</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w:t>
      </w:r>
      <w:r>
        <w:rPr>
          <w:rFonts w:hint="eastAsia" w:ascii="黑体" w:hAnsi="黑体" w:eastAsia="黑体" w:cs="黑体"/>
          <w:sz w:val="32"/>
          <w:szCs w:val="32"/>
          <w:lang w:val="en-US" w:eastAsia="zh-CN"/>
        </w:rPr>
        <w:t>协税护税办公室</w:t>
      </w:r>
      <w:r>
        <w:rPr>
          <w:rFonts w:hint="eastAsia" w:ascii="黑体" w:hAnsi="宋体" w:eastAsia="黑体" w:cs="黑体"/>
          <w:b/>
          <w:bCs/>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lang w:eastAsia="zh-CN"/>
        </w:rPr>
      </w:pP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cs="仿宋"/>
          <w:kern w:val="2"/>
          <w:sz w:val="28"/>
          <w:szCs w:val="28"/>
        </w:rPr>
        <w:t>1、</w:t>
      </w:r>
      <w:r>
        <w:rPr>
          <w:rFonts w:hint="eastAsia" w:ascii="仿宋_GB2312" w:hAnsi="仿宋" w:eastAsia="仿宋_GB2312" w:cs="仿宋"/>
          <w:kern w:val="2"/>
          <w:sz w:val="28"/>
          <w:szCs w:val="28"/>
          <w:lang w:eastAsia="zh-CN"/>
        </w:rPr>
        <w:t>认真编制年度税收收入计划，并组织税收及时入库。</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lang w:val="en-US" w:eastAsia="zh-CN"/>
        </w:rPr>
      </w:pPr>
      <w:r>
        <w:rPr>
          <w:rFonts w:hint="eastAsia" w:ascii="仿宋_GB2312" w:hAnsi="仿宋" w:eastAsia="仿宋_GB2312" w:cs="仿宋"/>
          <w:kern w:val="2"/>
          <w:sz w:val="28"/>
          <w:szCs w:val="28"/>
          <w:lang w:val="en-US" w:eastAsia="zh-CN"/>
        </w:rPr>
        <w:t>2、贯彻落实财税税收政策，负责税源调查、分析。</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lang w:val="en-US" w:eastAsia="zh-CN"/>
        </w:rPr>
      </w:pPr>
      <w:r>
        <w:rPr>
          <w:rFonts w:hint="eastAsia" w:ascii="仿宋_GB2312" w:hAnsi="仿宋" w:eastAsia="仿宋_GB2312" w:cs="仿宋"/>
          <w:kern w:val="2"/>
          <w:sz w:val="28"/>
          <w:szCs w:val="28"/>
          <w:lang w:val="en-US" w:eastAsia="zh-CN"/>
        </w:rPr>
        <w:t>3、定期开展全区协税护税活动，布置工作，传递信息，负责协税护税人员的培训和指导。</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lang w:val="en-US" w:eastAsia="zh-CN"/>
        </w:rPr>
      </w:pPr>
      <w:r>
        <w:rPr>
          <w:rFonts w:hint="eastAsia" w:ascii="仿宋_GB2312" w:hAnsi="仿宋" w:eastAsia="仿宋_GB2312" w:cs="仿宋"/>
          <w:kern w:val="2"/>
          <w:sz w:val="28"/>
          <w:szCs w:val="28"/>
          <w:lang w:val="en-US" w:eastAsia="zh-CN"/>
        </w:rPr>
        <w:t>4、建立考核激励机制，加强对协税护税工作的考核。</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lang w:val="en-US" w:eastAsia="zh-CN"/>
        </w:rPr>
      </w:pPr>
      <w:r>
        <w:rPr>
          <w:rFonts w:hint="eastAsia" w:ascii="仿宋_GB2312" w:hAnsi="仿宋" w:eastAsia="仿宋_GB2312" w:cs="仿宋"/>
          <w:kern w:val="2"/>
          <w:sz w:val="28"/>
          <w:szCs w:val="28"/>
          <w:lang w:val="en-US" w:eastAsia="zh-CN"/>
        </w:rPr>
        <w:t>5、负责协调工商、公安、税务等有关职能部门对协税护税工作的支持。</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28"/>
          <w:szCs w:val="28"/>
          <w:lang w:val="en-US" w:eastAsia="zh-CN"/>
        </w:rPr>
      </w:pPr>
      <w:bookmarkStart w:id="0" w:name="_GoBack"/>
      <w:bookmarkEnd w:id="0"/>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w:t>
      </w:r>
      <w:r>
        <w:rPr>
          <w:rFonts w:hint="eastAsia" w:ascii="仿宋" w:hAnsi="仿宋" w:eastAsia="仿宋" w:cs="仿宋"/>
          <w:sz w:val="32"/>
          <w:szCs w:val="32"/>
          <w:lang w:val="en-US" w:eastAsia="zh-CN"/>
        </w:rPr>
        <w:t>协税护税办公室</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w:t>
      </w:r>
      <w:r>
        <w:rPr>
          <w:rFonts w:hint="eastAsia" w:ascii="黑体" w:hAnsi="黑体" w:eastAsia="黑体" w:cs="黑体"/>
          <w:sz w:val="32"/>
          <w:szCs w:val="32"/>
          <w:lang w:val="en-US" w:eastAsia="zh-CN"/>
        </w:rPr>
        <w:t>协税护税办公室</w:t>
      </w:r>
      <w:r>
        <w:rPr>
          <w:rFonts w:hint="eastAsia" w:ascii="黑体" w:hAnsi="宋体" w:eastAsia="黑体" w:cs="黑体"/>
          <w:b/>
          <w:bCs/>
          <w:sz w:val="32"/>
          <w:szCs w:val="32"/>
          <w:lang w:eastAsia="zh-CN"/>
        </w:rPr>
        <w:t>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 w:hAnsi="仿宋" w:eastAsia="仿宋" w:cs="仿宋"/>
          <w:sz w:val="32"/>
          <w:szCs w:val="32"/>
          <w:lang w:val="en-US" w:eastAsia="zh-CN"/>
        </w:rPr>
        <w:t>协税护税办公室</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224.62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因为人员变动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224.62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 w:hAnsi="仿宋" w:eastAsia="仿宋" w:cs="仿宋"/>
          <w:sz w:val="32"/>
          <w:szCs w:val="32"/>
          <w:lang w:val="en-US" w:eastAsia="zh-CN"/>
        </w:rPr>
        <w:t>协税护税办公室</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224.62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原因是人员变动</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209.62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83.3</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155.18</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9.44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45</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35</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16.7</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155.18</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9.44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45</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35</w:t>
      </w:r>
      <w:r>
        <w:rPr>
          <w:rFonts w:hint="eastAsia" w:ascii="仿宋_GB2312" w:hAnsi="宋体" w:eastAsia="仿宋_GB2312" w:cs="仿宋_GB2312"/>
          <w:sz w:val="32"/>
          <w:szCs w:val="32"/>
        </w:rPr>
        <w:t>万元；事业经营支出</w:t>
      </w:r>
      <w:r>
        <w:rPr>
          <w:rFonts w:ascii="仿宋_GB2312" w:hAnsi="宋体" w:eastAsia="仿宋_GB2312" w:cs="仿宋_GB2312"/>
          <w:sz w:val="32"/>
          <w:szCs w:val="32"/>
        </w:rPr>
        <w:t>xx</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FF"/>
          <w:sz w:val="32"/>
          <w:szCs w:val="32"/>
        </w:rPr>
        <w:t>算总额的</w:t>
      </w:r>
      <w:r>
        <w:rPr>
          <w:rFonts w:hint="eastAsia" w:ascii="仿宋_GB2312" w:hAnsi="宋体" w:eastAsia="仿宋_GB2312" w:cs="仿宋_GB2312"/>
          <w:color w:val="0000FF"/>
          <w:sz w:val="32"/>
          <w:szCs w:val="32"/>
          <w:lang w:val="en-US" w:eastAsia="zh-CN"/>
        </w:rPr>
        <w:t>0</w:t>
      </w:r>
      <w:r>
        <w:rPr>
          <w:rFonts w:ascii="仿宋_GB2312" w:hAnsi="宋体" w:eastAsia="仿宋_GB2312" w:cs="仿宋_GB2312"/>
          <w:color w:val="0000FF"/>
          <w:sz w:val="32"/>
          <w:szCs w:val="32"/>
        </w:rPr>
        <w:t>%</w:t>
      </w:r>
      <w:r>
        <w:rPr>
          <w:rFonts w:hint="eastAsia" w:ascii="仿宋_GB2312" w:hAnsi="宋体" w:eastAsia="仿宋_GB2312" w:cs="仿宋_GB2312"/>
          <w:sz w:val="32"/>
          <w:szCs w:val="32"/>
          <w:lang w:eastAsia="zh-CN"/>
        </w:rPr>
        <w:t>。</w:t>
      </w:r>
    </w:p>
    <w:p>
      <w:pPr>
        <w:ind w:firstLine="620" w:firstLineChars="200"/>
        <w:rPr>
          <w:rFonts w:hint="eastAsia" w:ascii="仿宋_GB2312" w:hAnsi="仿宋" w:eastAsia="仿宋_GB2312" w:cs="仿宋"/>
          <w:sz w:val="28"/>
          <w:szCs w:val="28"/>
          <w:lang w:eastAsia="zh-CN"/>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221.18万元，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92.82</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医疗卫生与计划生育支出6.67万元、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1.87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社会保障和就业支出16.67万元、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5.31</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城乡社区支</w:t>
      </w:r>
      <w:r>
        <w:rPr>
          <w:rFonts w:hint="eastAsia" w:ascii="仿宋_GB2312" w:hAnsi="仿宋" w:eastAsia="仿宋_GB2312" w:cs="仿宋"/>
          <w:color w:val="0000FF"/>
          <w:sz w:val="28"/>
          <w:szCs w:val="28"/>
          <w:lang w:val="en-US" w:eastAsia="zh-CN"/>
        </w:rPr>
        <w:t>出0万元、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0</w:t>
      </w:r>
      <w:r>
        <w:rPr>
          <w:rFonts w:hint="eastAsia" w:ascii="仿宋_GB2312" w:hAnsi="仿宋" w:eastAsia="仿宋_GB2312" w:cs="仿宋"/>
          <w:color w:val="0000FF"/>
          <w:sz w:val="28"/>
          <w:szCs w:val="28"/>
          <w:lang w:eastAsia="zh-CN"/>
        </w:rPr>
        <w:t>%，住房保障支出</w:t>
      </w:r>
      <w:r>
        <w:rPr>
          <w:rFonts w:hint="eastAsia" w:ascii="仿宋_GB2312" w:hAnsi="仿宋" w:eastAsia="仿宋_GB2312" w:cs="仿宋"/>
          <w:color w:val="0000FF"/>
          <w:sz w:val="28"/>
          <w:szCs w:val="28"/>
          <w:lang w:val="en-US" w:eastAsia="zh-CN"/>
        </w:rPr>
        <w:t>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0</w:t>
      </w:r>
      <w:r>
        <w:rPr>
          <w:rFonts w:hint="eastAsia" w:ascii="仿宋_GB2312" w:hAnsi="仿宋" w:eastAsia="仿宋_GB2312" w:cs="仿宋"/>
          <w:color w:val="0000FF"/>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sz w:val="28"/>
          <w:szCs w:val="28"/>
          <w:highlight w:val="none"/>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按支出经济分类划分：工资福利支出155.18万元，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66.49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商品和服务支出9.44万元，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对个人和家庭的补助支出45万元，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26.86</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w:t>
      </w:r>
    </w:p>
    <w:p>
      <w:pPr>
        <w:ind w:firstLine="640" w:firstLineChars="200"/>
        <w:rPr>
          <w:rFonts w:ascii="仿宋_GB2312" w:eastAsia="仿宋_GB2312" w:cs="Times New Roman"/>
          <w:sz w:val="32"/>
          <w:szCs w:val="32"/>
        </w:rPr>
      </w:pP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2022年</w:t>
      </w:r>
      <w:r>
        <w:rPr>
          <w:rFonts w:hint="eastAsia" w:ascii="仿宋" w:hAnsi="仿宋" w:eastAsia="仿宋" w:cs="仿宋"/>
          <w:sz w:val="32"/>
          <w:szCs w:val="32"/>
          <w:lang w:val="en-US" w:eastAsia="zh-CN"/>
        </w:rPr>
        <w:t>协税护税办公室</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244.62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人员变动</w:t>
      </w:r>
      <w:r>
        <w:rPr>
          <w:rFonts w:hint="eastAsia" w:ascii="仿宋_GB2312" w:hAnsi="宋体" w:eastAsia="仿宋_GB2312" w:cs="仿宋_GB2312"/>
          <w:sz w:val="32"/>
          <w:szCs w:val="32"/>
        </w:rPr>
        <w:t>。具体支出情况是：</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221.18万元，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92.82</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医疗卫生与计划生育支出6.67万元、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1.87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社会保障和就业支出16.67万元、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5.31</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城乡社区支</w:t>
      </w:r>
      <w:r>
        <w:rPr>
          <w:rFonts w:hint="eastAsia" w:ascii="仿宋_GB2312" w:hAnsi="仿宋" w:eastAsia="仿宋_GB2312" w:cs="仿宋"/>
          <w:color w:val="0000FF"/>
          <w:sz w:val="28"/>
          <w:szCs w:val="28"/>
          <w:lang w:val="en-US" w:eastAsia="zh-CN"/>
        </w:rPr>
        <w:t>出0万元、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0</w:t>
      </w:r>
      <w:r>
        <w:rPr>
          <w:rFonts w:hint="eastAsia" w:ascii="仿宋_GB2312" w:hAnsi="仿宋" w:eastAsia="仿宋_GB2312" w:cs="仿宋"/>
          <w:color w:val="0000FF"/>
          <w:sz w:val="28"/>
          <w:szCs w:val="28"/>
          <w:lang w:eastAsia="zh-CN"/>
        </w:rPr>
        <w:t>%，住房保障支出</w:t>
      </w:r>
      <w:r>
        <w:rPr>
          <w:rFonts w:hint="eastAsia" w:ascii="仿宋_GB2312" w:hAnsi="仿宋" w:eastAsia="仿宋_GB2312" w:cs="仿宋"/>
          <w:color w:val="0000FF"/>
          <w:sz w:val="28"/>
          <w:szCs w:val="28"/>
          <w:lang w:val="en-US" w:eastAsia="zh-CN"/>
        </w:rPr>
        <w:t>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0</w:t>
      </w:r>
      <w:r>
        <w:rPr>
          <w:rFonts w:hint="eastAsia" w:ascii="仿宋_GB2312" w:hAnsi="仿宋" w:eastAsia="仿宋_GB2312" w:cs="仿宋"/>
          <w:color w:val="0000FF"/>
          <w:sz w:val="28"/>
          <w:szCs w:val="28"/>
          <w:lang w:eastAsia="zh-CN"/>
        </w:rPr>
        <w:t>%，</w:t>
      </w:r>
      <w:r>
        <w:rPr>
          <w:rFonts w:hint="eastAsia" w:ascii="仿宋_GB2312" w:hAnsi="宋体" w:eastAsia="仿宋_GB2312" w:cs="仿宋_GB2312"/>
          <w:sz w:val="32"/>
          <w:szCs w:val="32"/>
        </w:rPr>
        <w:t>农林水事务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；教育</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机关运行经费安排情况说明</w:t>
      </w:r>
    </w:p>
    <w:p>
      <w:pPr>
        <w:numPr>
          <w:ilvl w:val="0"/>
          <w:numId w:val="0"/>
        </w:numPr>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本部门2022年度机关运行经费支出221.18万元，占支出预算总额的92.82%。</w:t>
      </w:r>
    </w:p>
    <w:p>
      <w:pPr>
        <w:numPr>
          <w:ilvl w:val="0"/>
          <w:numId w:val="0"/>
        </w:numPr>
        <w:rPr>
          <w:rFonts w:ascii="仿宋_GB2312" w:eastAsia="仿宋_GB2312" w:cs="Times New Roman"/>
          <w:b/>
          <w:bCs/>
          <w:sz w:val="32"/>
          <w:szCs w:val="32"/>
        </w:rPr>
      </w:pPr>
      <w:r>
        <w:rPr>
          <w:rFonts w:hint="eastAsia" w:ascii="仿宋_GB2312" w:hAnsi="宋体" w:eastAsia="仿宋_GB2312" w:cs="仿宋_GB2312"/>
          <w:sz w:val="32"/>
          <w:szCs w:val="32"/>
          <w:lang w:val="en-US" w:eastAsia="zh-CN"/>
        </w:rPr>
        <w:t>（五）</w:t>
      </w: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00" w:firstLineChars="200"/>
        <w:textAlignment w:val="auto"/>
        <w:outlineLvl w:val="9"/>
        <w:rPr>
          <w:rFonts w:ascii="仿宋_GB2312" w:hAnsi="仿宋" w:eastAsia="仿宋_GB2312" w:cs="仿宋"/>
          <w:sz w:val="30"/>
          <w:szCs w:val="30"/>
        </w:rPr>
      </w:pPr>
      <w:r>
        <w:rPr>
          <w:rFonts w:hint="eastAsia" w:ascii="仿宋_GB2312" w:hAnsi="仿宋" w:eastAsia="仿宋_GB2312" w:cs="仿宋"/>
          <w:sz w:val="30"/>
          <w:szCs w:val="30"/>
          <w:lang w:val="en-US" w:eastAsia="zh-CN"/>
        </w:rPr>
        <w:t>2022</w:t>
      </w:r>
      <w:r>
        <w:rPr>
          <w:rFonts w:hint="eastAsia" w:ascii="仿宋_GB2312" w:hAnsi="仿宋" w:eastAsia="仿宋_GB2312" w:cs="仿宋"/>
          <w:sz w:val="30"/>
          <w:szCs w:val="30"/>
        </w:rPr>
        <w:t>年</w:t>
      </w:r>
      <w:r>
        <w:rPr>
          <w:rFonts w:hint="eastAsia" w:ascii="仿宋" w:hAnsi="仿宋" w:eastAsia="仿宋" w:cs="仿宋"/>
          <w:sz w:val="30"/>
          <w:szCs w:val="30"/>
          <w:lang w:val="en-US" w:eastAsia="zh-CN"/>
        </w:rPr>
        <w:t>协税护税办公室</w:t>
      </w:r>
      <w:r>
        <w:rPr>
          <w:rFonts w:hint="eastAsia" w:ascii="仿宋_GB2312" w:hAnsi="仿宋" w:eastAsia="仿宋_GB2312" w:cs="仿宋"/>
          <w:sz w:val="30"/>
          <w:szCs w:val="30"/>
        </w:rPr>
        <w:t>政府采购预算为</w:t>
      </w:r>
      <w:r>
        <w:rPr>
          <w:rFonts w:hint="eastAsia" w:ascii="仿宋_GB2312" w:hAnsi="仿宋" w:eastAsia="仿宋_GB2312" w:cs="仿宋"/>
          <w:sz w:val="30"/>
          <w:szCs w:val="30"/>
          <w:lang w:val="en-US" w:eastAsia="zh-CN"/>
        </w:rPr>
        <w:t>0</w:t>
      </w:r>
      <w:r>
        <w:rPr>
          <w:rFonts w:hint="eastAsia" w:ascii="仿宋_GB2312" w:hAnsi="仿宋" w:eastAsia="仿宋_GB2312" w:cs="仿宋"/>
          <w:sz w:val="30"/>
          <w:szCs w:val="30"/>
        </w:rPr>
        <w:t>万元，其中：政府集中采购</w:t>
      </w:r>
      <w:r>
        <w:rPr>
          <w:rFonts w:hint="eastAsia" w:ascii="仿宋_GB2312" w:hAnsi="仿宋" w:eastAsia="仿宋_GB2312" w:cs="仿宋"/>
          <w:sz w:val="30"/>
          <w:szCs w:val="30"/>
          <w:lang w:val="en-US" w:eastAsia="zh-CN"/>
        </w:rPr>
        <w:t>0</w:t>
      </w:r>
      <w:r>
        <w:rPr>
          <w:rFonts w:hint="eastAsia" w:ascii="仿宋_GB2312" w:hAnsi="仿宋" w:eastAsia="仿宋_GB2312" w:cs="仿宋"/>
          <w:sz w:val="30"/>
          <w:szCs w:val="30"/>
        </w:rPr>
        <w:t>万元</w:t>
      </w:r>
      <w:r>
        <w:rPr>
          <w:rFonts w:hint="eastAsia" w:ascii="仿宋_GB2312" w:hAnsi="仿宋" w:eastAsia="仿宋_GB2312" w:cs="仿宋"/>
          <w:sz w:val="30"/>
          <w:szCs w:val="30"/>
          <w:lang w:eastAsia="zh-CN"/>
        </w:rPr>
        <w:t>，部门集中采购</w:t>
      </w:r>
      <w:r>
        <w:rPr>
          <w:rFonts w:hint="eastAsia" w:ascii="仿宋_GB2312" w:hAnsi="仿宋" w:eastAsia="仿宋_GB2312" w:cs="仿宋"/>
          <w:sz w:val="30"/>
          <w:szCs w:val="30"/>
          <w:lang w:val="en-US" w:eastAsia="zh-CN"/>
        </w:rPr>
        <w:t>0万元。主要原因：无</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w:t>
      </w:r>
      <w:r>
        <w:rPr>
          <w:rFonts w:hint="eastAsia" w:ascii="仿宋" w:hAnsi="仿宋" w:eastAsia="仿宋" w:cs="仿宋"/>
          <w:sz w:val="32"/>
          <w:szCs w:val="32"/>
          <w:lang w:val="en-US" w:eastAsia="zh-CN"/>
        </w:rPr>
        <w:t>协税护税办公室</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1.92</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1.92</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0.11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节约开支，减少接待</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244.62万元，具体情况国是：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0000FF"/>
          <w:sz w:val="28"/>
          <w:szCs w:val="28"/>
          <w:highlight w:val="none"/>
          <w:shd w:val="clear" w:color="auto" w:fill="auto"/>
        </w:rPr>
      </w:pPr>
      <w:r>
        <w:rPr>
          <w:rFonts w:hint="eastAsia" w:ascii="仿宋_GB2312" w:hAnsi="仿宋" w:eastAsia="仿宋_GB2312" w:cs="仿宋"/>
          <w:sz w:val="28"/>
          <w:szCs w:val="28"/>
          <w:lang w:val="en-US" w:eastAsia="zh-CN"/>
        </w:rPr>
        <w:t>工资资福利支出155.18万元，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66.49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，绩效目标：按时发放工资</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商品和服务支出6.44万元，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p>
    <w:p>
      <w:pPr>
        <w:widowControl/>
        <w:numPr>
          <w:ilvl w:val="0"/>
          <w:numId w:val="0"/>
        </w:numPr>
        <w:spacing w:line="600" w:lineRule="exact"/>
        <w:ind w:leftChars="266"/>
        <w:jc w:val="left"/>
        <w:rPr>
          <w:rFonts w:hint="eastAsia" w:ascii="仿宋_GB2312" w:hAnsi="仿宋_GB2312" w:eastAsia="仿宋_GB2312" w:cs="仿宋_GB2312"/>
          <w:color w:val="0000FF"/>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 w:eastAsia="仿宋_GB2312" w:cs="仿宋"/>
          <w:sz w:val="28"/>
          <w:szCs w:val="28"/>
          <w:lang w:val="en-US" w:eastAsia="zh-CN"/>
        </w:rPr>
        <w:t>对个人和家庭的补助支出45万元，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26.86</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，按时发放对个人的补助</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九</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eastAsia="zh-CN"/>
        </w:rPr>
        <w:t>十</w:t>
      </w:r>
      <w:r>
        <w:rPr>
          <w:rFonts w:hint="eastAsia" w:ascii="仿宋_GB2312" w:eastAsia="仿宋_GB2312"/>
          <w:b/>
          <w:color w:val="000000"/>
          <w:sz w:val="32"/>
          <w:szCs w:val="30"/>
        </w:rPr>
        <w:t>）一级项目中各二级项目情况说明（部门本级）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仿宋" w:hAnsi="仿宋" w:eastAsia="仿宋" w:cs="仿宋"/>
          <w:sz w:val="32"/>
          <w:szCs w:val="32"/>
          <w:lang w:val="en-US" w:eastAsia="zh-CN"/>
        </w:rPr>
        <w:t>协税护税办公室</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jc w:val="right"/>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77539"/>
    <w:multiLevelType w:val="singleLevel"/>
    <w:tmpl w:val="AEB77539"/>
    <w:lvl w:ilvl="0" w:tentative="0">
      <w:start w:val="4"/>
      <w:numFmt w:val="chineseCounting"/>
      <w:suff w:val="nothing"/>
      <w:lvlText w:val="(%1）"/>
      <w:lvlJc w:val="left"/>
      <w:rPr>
        <w:rFonts w:hint="eastAsia"/>
      </w:rPr>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0E5510"/>
    <w:rsid w:val="00675E17"/>
    <w:rsid w:val="00683AC4"/>
    <w:rsid w:val="008110CC"/>
    <w:rsid w:val="00B358C5"/>
    <w:rsid w:val="00C04C9A"/>
    <w:rsid w:val="00CB427A"/>
    <w:rsid w:val="00F500B9"/>
    <w:rsid w:val="01992CBB"/>
    <w:rsid w:val="022502CD"/>
    <w:rsid w:val="05EB1609"/>
    <w:rsid w:val="074D26C2"/>
    <w:rsid w:val="07E32CEB"/>
    <w:rsid w:val="08EE0B31"/>
    <w:rsid w:val="09DA01AF"/>
    <w:rsid w:val="0A326819"/>
    <w:rsid w:val="0CBF216E"/>
    <w:rsid w:val="0FAF3566"/>
    <w:rsid w:val="0FCB58D0"/>
    <w:rsid w:val="11427CB1"/>
    <w:rsid w:val="139E3D52"/>
    <w:rsid w:val="13A051EB"/>
    <w:rsid w:val="153624FB"/>
    <w:rsid w:val="162B4B72"/>
    <w:rsid w:val="16610551"/>
    <w:rsid w:val="18AC060B"/>
    <w:rsid w:val="19076E1D"/>
    <w:rsid w:val="1A777675"/>
    <w:rsid w:val="1B315F0C"/>
    <w:rsid w:val="1DB93368"/>
    <w:rsid w:val="1EBD751D"/>
    <w:rsid w:val="1EF5217E"/>
    <w:rsid w:val="1F117155"/>
    <w:rsid w:val="202F7912"/>
    <w:rsid w:val="204B45CE"/>
    <w:rsid w:val="20C35D88"/>
    <w:rsid w:val="21FD2465"/>
    <w:rsid w:val="22F22C45"/>
    <w:rsid w:val="248B21FF"/>
    <w:rsid w:val="25705B71"/>
    <w:rsid w:val="25E97E48"/>
    <w:rsid w:val="2C4176B1"/>
    <w:rsid w:val="2C4560DF"/>
    <w:rsid w:val="2C624BCB"/>
    <w:rsid w:val="2D777579"/>
    <w:rsid w:val="2DBB222D"/>
    <w:rsid w:val="31D40AAE"/>
    <w:rsid w:val="381119B2"/>
    <w:rsid w:val="39050679"/>
    <w:rsid w:val="394A0B10"/>
    <w:rsid w:val="3A22533C"/>
    <w:rsid w:val="3BD871B8"/>
    <w:rsid w:val="3CE72D17"/>
    <w:rsid w:val="3CF55A87"/>
    <w:rsid w:val="3DDF3C75"/>
    <w:rsid w:val="401978B9"/>
    <w:rsid w:val="429A727D"/>
    <w:rsid w:val="4322216B"/>
    <w:rsid w:val="49E238D2"/>
    <w:rsid w:val="4C0B38BC"/>
    <w:rsid w:val="4C0B7195"/>
    <w:rsid w:val="4D135D42"/>
    <w:rsid w:val="4D3B293C"/>
    <w:rsid w:val="4D5C0D09"/>
    <w:rsid w:val="50102BCF"/>
    <w:rsid w:val="51B40312"/>
    <w:rsid w:val="550153AB"/>
    <w:rsid w:val="56552A05"/>
    <w:rsid w:val="57CC144D"/>
    <w:rsid w:val="62B20F12"/>
    <w:rsid w:val="633C2039"/>
    <w:rsid w:val="63973295"/>
    <w:rsid w:val="641E7445"/>
    <w:rsid w:val="6CE86541"/>
    <w:rsid w:val="71452C49"/>
    <w:rsid w:val="73224148"/>
    <w:rsid w:val="73584830"/>
    <w:rsid w:val="742C1313"/>
    <w:rsid w:val="75F10F3F"/>
    <w:rsid w:val="772860B1"/>
    <w:rsid w:val="7AE801D6"/>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page number"/>
    <w:basedOn w:val="7"/>
    <w:qFormat/>
    <w:uiPriority w:val="99"/>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7"/>
    <w:link w:val="5"/>
    <w:semiHidden/>
    <w:qFormat/>
    <w:uiPriority w:val="99"/>
    <w:rPr>
      <w:rFonts w:cs="Calibri"/>
      <w:sz w:val="18"/>
      <w:szCs w:val="18"/>
    </w:rPr>
  </w:style>
  <w:style w:type="character" w:customStyle="1" w:styleId="12">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ScaleCrop>false</ScaleCrop>
  <LinksUpToDate>false</LinksUpToDate>
  <CharactersWithSpaces>2873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WHGX</cp:lastModifiedBy>
  <cp:lastPrinted>2021-05-26T02:23:00Z</cp:lastPrinted>
  <dcterms:modified xsi:type="dcterms:W3CDTF">2023-05-15T08:40:38Z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F4CC2E5705DE4B47BDA039291FBAA1C3</vt:lpwstr>
  </property>
</Properties>
</file>