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珠山区投融资中心</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投融资中心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投融资中心2022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投融资中心2022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珠山区投融资中心</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napToGrid w:val="0"/>
        <w:spacing w:line="520" w:lineRule="exact"/>
        <w:ind w:firstLine="560" w:firstLineChars="200"/>
        <w:rPr>
          <w:rFonts w:hint="eastAsia" w:ascii="仿宋_GB2312" w:hAnsi="仿宋" w:eastAsia="仿宋_GB2312"/>
          <w:sz w:val="32"/>
          <w:szCs w:val="32"/>
        </w:rPr>
      </w:pPr>
      <w:r>
        <w:rPr>
          <w:rFonts w:hint="eastAsia" w:ascii="仿宋_GB2312" w:hAnsi="仿宋" w:eastAsia="仿宋_GB2312" w:cs="仿宋"/>
          <w:kern w:val="2"/>
          <w:sz w:val="28"/>
          <w:szCs w:val="28"/>
          <w:lang w:val="en-US" w:eastAsia="zh-CN"/>
        </w:rPr>
        <w:t xml:space="preserve"> </w:t>
      </w:r>
      <w:r>
        <w:rPr>
          <w:rFonts w:hint="eastAsia" w:ascii="仿宋_GB2312" w:hAnsi="仿宋" w:eastAsia="仿宋_GB2312"/>
          <w:sz w:val="32"/>
          <w:szCs w:val="32"/>
        </w:rPr>
        <w:t>1．主要职能。</w:t>
      </w:r>
      <w:r>
        <w:rPr>
          <w:rFonts w:hint="eastAsia" w:ascii="仿宋_GB2312" w:hAnsi="仿宋" w:eastAsia="仿宋_GB2312"/>
          <w:sz w:val="32"/>
          <w:szCs w:val="32"/>
          <w:lang w:eastAsia="zh-CN"/>
        </w:rPr>
        <w:t>依法筹集建设资金，管理区政府授权经营的国有资产，使之保值、增值。</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right="0" w:rightChars="0"/>
        <w:textAlignment w:val="auto"/>
        <w:outlineLvl w:val="9"/>
        <w:rPr>
          <w:rFonts w:hint="eastAsia" w:ascii="仿宋_GB2312" w:hAnsi="仿宋" w:eastAsia="仿宋_GB2312" w:cs="仿宋"/>
          <w:kern w:val="2"/>
          <w:sz w:val="28"/>
          <w:szCs w:val="28"/>
        </w:rPr>
      </w:pP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珠山区投融资中心</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w:t>
      </w:r>
      <w:r>
        <w:rPr>
          <w:rFonts w:hint="eastAsia" w:ascii="仿宋_GB2312" w:hAnsi="仿宋" w:eastAsia="仿宋_GB2312" w:cs="仿宋"/>
          <w:sz w:val="28"/>
          <w:szCs w:val="28"/>
          <w:lang w:val="en-US" w:eastAsia="zh-CN"/>
        </w:rPr>
        <w:t>单位</w:t>
      </w:r>
      <w:r>
        <w:rPr>
          <w:rFonts w:hint="eastAsia" w:ascii="仿宋_GB2312" w:hAnsi="仿宋" w:eastAsia="仿宋_GB2312" w:cs="仿宋"/>
          <w:sz w:val="28"/>
          <w:szCs w:val="28"/>
        </w:rPr>
        <w:t>本级</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本单位为珠山区财政局的二级预算单位。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珠山区投融资中心2022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投融资中心</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投融资中心</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无变动</w:t>
      </w:r>
      <w:r>
        <w:rPr>
          <w:rFonts w:hint="eastAsia" w:ascii="仿宋_GB2312" w:hAnsi="宋体" w:eastAsia="仿宋_GB2312" w:cs="仿宋_GB2312"/>
          <w:sz w:val="32"/>
          <w:szCs w:val="32"/>
        </w:rPr>
        <w:t>。其中：按支出项目类别划分：</w:t>
      </w:r>
      <w:r>
        <w:rPr>
          <w:rFonts w:hint="eastAsia" w:ascii="仿宋_GB2312" w:hAnsi="宋体" w:eastAsia="仿宋_GB2312" w:cs="仿宋_GB2312"/>
          <w:sz w:val="32"/>
          <w:szCs w:val="32"/>
          <w:lang w:val="en-US" w:eastAsia="zh-CN"/>
        </w:rPr>
        <w:t>项目</w:t>
      </w:r>
      <w:bookmarkStart w:id="0" w:name="_GoBack"/>
      <w:bookmarkEnd w:id="0"/>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FF"/>
          <w:sz w:val="32"/>
          <w:szCs w:val="32"/>
        </w:rPr>
        <w:t>算总额的</w:t>
      </w:r>
      <w:r>
        <w:rPr>
          <w:rFonts w:hint="eastAsia" w:ascii="仿宋_GB2312" w:hAnsi="宋体" w:eastAsia="仿宋_GB2312" w:cs="仿宋_GB2312"/>
          <w:color w:val="0000FF"/>
          <w:sz w:val="32"/>
          <w:szCs w:val="32"/>
          <w:lang w:val="en-US" w:eastAsia="zh-CN"/>
        </w:rPr>
        <w:t>0</w:t>
      </w:r>
      <w:r>
        <w:rPr>
          <w:rFonts w:ascii="仿宋_GB2312" w:hAnsi="宋体" w:eastAsia="仿宋_GB2312" w:cs="仿宋_GB2312"/>
          <w:color w:val="0000FF"/>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主要原因为本单位为珠山区财政局的二级预算单位，人员支出均在财政局发放。</w:t>
      </w:r>
    </w:p>
    <w:p>
      <w:pPr>
        <w:ind w:firstLine="620" w:firstLineChars="200"/>
        <w:rPr>
          <w:rFonts w:hint="eastAsia" w:ascii="仿宋_GB2312" w:hAnsi="仿宋" w:eastAsia="仿宋_GB2312" w:cs="仿宋"/>
          <w:sz w:val="28"/>
          <w:szCs w:val="28"/>
          <w:lang w:eastAsia="zh-CN"/>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其他支</w:t>
      </w:r>
      <w:r>
        <w:rPr>
          <w:rFonts w:hint="eastAsia" w:ascii="仿宋_GB2312" w:hAnsi="仿宋" w:eastAsia="仿宋_GB2312" w:cs="仿宋"/>
          <w:color w:val="0000FF"/>
          <w:sz w:val="28"/>
          <w:szCs w:val="28"/>
          <w:lang w:val="en-US" w:eastAsia="zh-CN"/>
        </w:rPr>
        <w:t>出30万元、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100</w:t>
      </w:r>
      <w:r>
        <w:rPr>
          <w:rFonts w:hint="eastAsia" w:ascii="仿宋_GB2312" w:hAnsi="仿宋" w:eastAsia="仿宋_GB2312" w:cs="仿宋"/>
          <w:color w:val="0000FF"/>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sz w:val="28"/>
          <w:szCs w:val="28"/>
          <w:highlight w:val="none"/>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0000FF"/>
          <w:sz w:val="28"/>
          <w:szCs w:val="28"/>
          <w:highlight w:val="none"/>
          <w:shd w:val="clear" w:color="auto" w:fill="auto"/>
        </w:rPr>
        <w:t>%</w:t>
      </w:r>
      <w:r>
        <w:rPr>
          <w:rFonts w:hint="eastAsia" w:ascii="仿宋_GB2312" w:hAnsi="仿宋_GB2312" w:eastAsia="仿宋_GB2312" w:cs="仿宋_GB2312"/>
          <w:color w:val="0000FF"/>
          <w:sz w:val="28"/>
          <w:szCs w:val="28"/>
          <w:highlight w:val="none"/>
          <w:shd w:val="clear" w:color="auto" w:fill="auto"/>
          <w:lang w:eastAsia="zh-CN"/>
        </w:rPr>
        <w:t>。</w:t>
      </w:r>
    </w:p>
    <w:p>
      <w:pPr>
        <w:ind w:firstLine="640" w:firstLineChars="200"/>
        <w:rPr>
          <w:rFonts w:ascii="仿宋_GB2312" w:eastAsia="仿宋_GB2312" w:cs="Times New Roman"/>
          <w:sz w:val="32"/>
          <w:szCs w:val="32"/>
        </w:rPr>
      </w:pP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2022年投融资中心</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lang w:eastAsia="zh-CN"/>
        </w:rPr>
        <w:t>变动</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其他支</w:t>
      </w:r>
      <w:r>
        <w:rPr>
          <w:rFonts w:hint="eastAsia" w:ascii="仿宋_GB2312" w:hAnsi="仿宋" w:eastAsia="仿宋_GB2312" w:cs="仿宋"/>
          <w:color w:val="0000FF"/>
          <w:sz w:val="28"/>
          <w:szCs w:val="28"/>
          <w:lang w:val="en-US" w:eastAsia="zh-CN"/>
        </w:rPr>
        <w:t>出30万元、</w:t>
      </w:r>
      <w:r>
        <w:rPr>
          <w:rFonts w:hint="eastAsia" w:ascii="仿宋_GB2312" w:hAnsi="仿宋" w:eastAsia="仿宋_GB2312" w:cs="仿宋"/>
          <w:color w:val="0000FF"/>
          <w:sz w:val="28"/>
          <w:szCs w:val="28"/>
          <w:lang w:eastAsia="zh-CN"/>
        </w:rPr>
        <w:t>占支出预算总额的</w:t>
      </w:r>
      <w:r>
        <w:rPr>
          <w:rFonts w:hint="eastAsia" w:ascii="仿宋_GB2312" w:hAnsi="仿宋" w:eastAsia="仿宋_GB2312" w:cs="仿宋"/>
          <w:color w:val="0000FF"/>
          <w:sz w:val="28"/>
          <w:szCs w:val="28"/>
          <w:lang w:val="en-US" w:eastAsia="zh-CN"/>
        </w:rPr>
        <w:t>100</w:t>
      </w:r>
      <w:r>
        <w:rPr>
          <w:rFonts w:hint="eastAsia" w:ascii="仿宋_GB2312" w:hAnsi="仿宋" w:eastAsia="仿宋_GB2312" w:cs="仿宋"/>
          <w:color w:val="0000FF"/>
          <w:sz w:val="28"/>
          <w:szCs w:val="28"/>
          <w:lang w:eastAsia="zh-CN"/>
        </w:rPr>
        <w:t>%。</w:t>
      </w:r>
    </w:p>
    <w:p>
      <w:pPr>
        <w:numPr>
          <w:ilvl w:val="0"/>
          <w:numId w:val="1"/>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机关运行经费安排情况说明</w:t>
      </w:r>
    </w:p>
    <w:p>
      <w:pPr>
        <w:numPr>
          <w:ilvl w:val="0"/>
          <w:numId w:val="0"/>
        </w:numPr>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本部门2022年度机关运行经费支出0万元，占支出预算总额的0%。本单位为财政补助事业单位，无机关运行经费。</w:t>
      </w:r>
    </w:p>
    <w:p>
      <w:pPr>
        <w:numPr>
          <w:ilvl w:val="0"/>
          <w:numId w:val="0"/>
        </w:numPr>
        <w:rPr>
          <w:rFonts w:ascii="仿宋_GB2312" w:eastAsia="仿宋_GB2312" w:cs="Times New Roman"/>
          <w:b/>
          <w:bCs/>
          <w:sz w:val="32"/>
          <w:szCs w:val="32"/>
        </w:rPr>
      </w:pPr>
      <w:r>
        <w:rPr>
          <w:rFonts w:hint="eastAsia" w:ascii="仿宋_GB2312" w:hAnsi="宋体" w:eastAsia="仿宋_GB2312" w:cs="仿宋_GB2312"/>
          <w:sz w:val="32"/>
          <w:szCs w:val="32"/>
          <w:lang w:val="en-US" w:eastAsia="zh-CN"/>
        </w:rPr>
        <w:t>（五）</w:t>
      </w: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hint="default" w:ascii="仿宋_GB2312" w:hAnsi="仿宋" w:eastAsia="仿宋_GB2312" w:cs="仿宋"/>
          <w:sz w:val="28"/>
          <w:szCs w:val="28"/>
          <w:lang w:val="en-US"/>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投融资中心</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0万元，主要原因为本单位将于2022年进行撤销，未编制采购预算。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珠山区投融资中心</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仿宋_GB2312" w:hAnsi="仿宋" w:eastAsia="仿宋_GB2312" w:cs="仿宋"/>
          <w:sz w:val="28"/>
          <w:szCs w:val="28"/>
          <w:lang w:val="en-US"/>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仿宋" w:eastAsia="仿宋_GB2312" w:cs="仿宋"/>
          <w:sz w:val="28"/>
          <w:szCs w:val="28"/>
          <w:lang w:val="en-US" w:eastAsia="zh-CN"/>
        </w:rPr>
        <w:t>主要原因为本单位将于2022年进行撤销，未编制三公支出预算。</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30万元，具体情况国是：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商品和服务支出30万元，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r>
        <w:rPr>
          <w:rFonts w:hint="eastAsia" w:ascii="仿宋_GB2312" w:hAnsi="仿宋_GB2312" w:eastAsia="仿宋_GB2312" w:cs="仿宋_GB2312"/>
          <w:color w:val="auto"/>
          <w:sz w:val="28"/>
          <w:szCs w:val="28"/>
          <w:highlight w:val="none"/>
          <w:shd w:val="clear" w:color="auto" w:fill="auto"/>
          <w:lang w:val="en-US" w:eastAsia="zh-CN"/>
        </w:rPr>
        <w:t>维持本单位未撤销前的正常运行。</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九</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eastAsia="zh-CN"/>
        </w:rPr>
        <w:t>十</w:t>
      </w:r>
      <w:r>
        <w:rPr>
          <w:rFonts w:hint="eastAsia" w:ascii="仿宋_GB2312" w:eastAsia="仿宋_GB2312"/>
          <w:b/>
          <w:color w:val="000000"/>
          <w:sz w:val="32"/>
          <w:szCs w:val="30"/>
        </w:rPr>
        <w:t>）一级项目中各二级项目情况说明（部门本级）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珠山区投融资中心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jc w:val="right"/>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val="en-US"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77539"/>
    <w:multiLevelType w:val="singleLevel"/>
    <w:tmpl w:val="AEB77539"/>
    <w:lvl w:ilvl="0" w:tentative="0">
      <w:start w:val="4"/>
      <w:numFmt w:val="chineseCounting"/>
      <w:suff w:val="nothing"/>
      <w:lvlText w:val="(%1）"/>
      <w:lvlJc w:val="left"/>
      <w:rPr>
        <w:rFonts w:hint="eastAsia"/>
      </w:rPr>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ZjQ1NDY0MTc3Mzk2MWY3YThkNDE4YjMxOTkzMTcifQ=="/>
  </w:docVars>
  <w:rsids>
    <w:rsidRoot w:val="19076E1D"/>
    <w:rsid w:val="000429DB"/>
    <w:rsid w:val="00066060"/>
    <w:rsid w:val="000E5510"/>
    <w:rsid w:val="00675E17"/>
    <w:rsid w:val="00683AC4"/>
    <w:rsid w:val="008110CC"/>
    <w:rsid w:val="00B358C5"/>
    <w:rsid w:val="00C04C9A"/>
    <w:rsid w:val="00CB427A"/>
    <w:rsid w:val="00F500B9"/>
    <w:rsid w:val="01992CBB"/>
    <w:rsid w:val="022502CD"/>
    <w:rsid w:val="05EB1609"/>
    <w:rsid w:val="074D26C2"/>
    <w:rsid w:val="07E32CEB"/>
    <w:rsid w:val="08EE0B31"/>
    <w:rsid w:val="09DA01AF"/>
    <w:rsid w:val="0A326819"/>
    <w:rsid w:val="0CBF216E"/>
    <w:rsid w:val="0F621C35"/>
    <w:rsid w:val="0FAF3566"/>
    <w:rsid w:val="0FCB58D0"/>
    <w:rsid w:val="11427CB1"/>
    <w:rsid w:val="139E3D52"/>
    <w:rsid w:val="13D269BB"/>
    <w:rsid w:val="153624FB"/>
    <w:rsid w:val="162B4B72"/>
    <w:rsid w:val="16610551"/>
    <w:rsid w:val="18AC060B"/>
    <w:rsid w:val="19076E1D"/>
    <w:rsid w:val="1B315F0C"/>
    <w:rsid w:val="1DB93368"/>
    <w:rsid w:val="1DD11B7C"/>
    <w:rsid w:val="1EBD751D"/>
    <w:rsid w:val="1EF5217E"/>
    <w:rsid w:val="1F117155"/>
    <w:rsid w:val="202F7912"/>
    <w:rsid w:val="204B45CE"/>
    <w:rsid w:val="20C35D88"/>
    <w:rsid w:val="21FD2465"/>
    <w:rsid w:val="22F22C45"/>
    <w:rsid w:val="248B21FF"/>
    <w:rsid w:val="25705B71"/>
    <w:rsid w:val="25E97E48"/>
    <w:rsid w:val="26915E24"/>
    <w:rsid w:val="2C4176B1"/>
    <w:rsid w:val="2C4560DF"/>
    <w:rsid w:val="2C624BCB"/>
    <w:rsid w:val="2D777579"/>
    <w:rsid w:val="2DBB222D"/>
    <w:rsid w:val="31D40AAE"/>
    <w:rsid w:val="381119B2"/>
    <w:rsid w:val="39050679"/>
    <w:rsid w:val="394A0B10"/>
    <w:rsid w:val="3A22533C"/>
    <w:rsid w:val="3BD871B8"/>
    <w:rsid w:val="3CE72D17"/>
    <w:rsid w:val="3CF55A87"/>
    <w:rsid w:val="3DDF3C75"/>
    <w:rsid w:val="3F004D4B"/>
    <w:rsid w:val="401978B9"/>
    <w:rsid w:val="429A727D"/>
    <w:rsid w:val="4322216B"/>
    <w:rsid w:val="4C0B38BC"/>
    <w:rsid w:val="4C0B7195"/>
    <w:rsid w:val="4D135D42"/>
    <w:rsid w:val="4D3B293C"/>
    <w:rsid w:val="4D5C0D09"/>
    <w:rsid w:val="50102BCF"/>
    <w:rsid w:val="514D21CD"/>
    <w:rsid w:val="51B40312"/>
    <w:rsid w:val="52861DDC"/>
    <w:rsid w:val="550153AB"/>
    <w:rsid w:val="56552A05"/>
    <w:rsid w:val="57CC144D"/>
    <w:rsid w:val="62B20F12"/>
    <w:rsid w:val="633C2039"/>
    <w:rsid w:val="63973295"/>
    <w:rsid w:val="641E7445"/>
    <w:rsid w:val="65CB4DDD"/>
    <w:rsid w:val="6CE86541"/>
    <w:rsid w:val="71452C49"/>
    <w:rsid w:val="728D1018"/>
    <w:rsid w:val="73224148"/>
    <w:rsid w:val="73584830"/>
    <w:rsid w:val="742C1313"/>
    <w:rsid w:val="772860B1"/>
    <w:rsid w:val="7AE801D6"/>
    <w:rsid w:val="7B1273BF"/>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2660</Words>
  <Characters>2774</Characters>
  <Lines>3</Lines>
  <Paragraphs>5</Paragraphs>
  <TotalTime>1</TotalTime>
  <ScaleCrop>false</ScaleCrop>
  <LinksUpToDate>false</LinksUpToDate>
  <CharactersWithSpaces>2845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皇家轰炸机</cp:lastModifiedBy>
  <cp:lastPrinted>2021-05-26T02:23:00Z</cp:lastPrinted>
  <dcterms:modified xsi:type="dcterms:W3CDTF">2023-05-15T08:36:34Z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F4CC2E5705DE4B47BDA039291FBAA1C3</vt:lpwstr>
  </property>
</Properties>
</file>