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pPr>
        <w:pStyle w:val="3"/>
        <w:spacing w:before="0" w:after="0" w:line="240" w:lineRule="auto"/>
        <w:jc w:val="center"/>
        <w:rPr>
          <w:rFonts w:hint="eastAsia" w:ascii="黑体" w:hAnsi="黑体" w:eastAsia="黑体" w:cs="黑体"/>
          <w:lang w:val="en-US" w:eastAsia="zh-CN"/>
        </w:rPr>
      </w:pPr>
      <w:r>
        <w:rPr>
          <w:rFonts w:hint="eastAsia" w:ascii="黑体" w:hAnsi="黑体" w:eastAsia="黑体" w:cs="黑体"/>
        </w:rPr>
        <w:t>景德镇市</w:t>
      </w:r>
      <w:r>
        <w:rPr>
          <w:rFonts w:hint="eastAsia" w:ascii="黑体" w:hAnsi="黑体" w:eastAsia="黑体" w:cs="黑体"/>
          <w:lang w:val="en-US" w:eastAsia="zh-CN"/>
        </w:rPr>
        <w:t>珠山区非税局</w:t>
      </w:r>
      <w:r>
        <w:rPr>
          <w:rFonts w:hint="eastAsia" w:ascii="黑体" w:hAnsi="黑体" w:eastAsia="黑体" w:cs="黑体"/>
          <w:lang w:eastAsia="zh-CN"/>
        </w:rPr>
        <w:t>2022</w:t>
      </w:r>
      <w:r>
        <w:rPr>
          <w:rFonts w:hint="eastAsia" w:ascii="黑体" w:hAnsi="黑体" w:eastAsia="黑体" w:cs="黑体"/>
        </w:rPr>
        <w:t>年部门预算</w:t>
      </w:r>
      <w:r>
        <w:rPr>
          <w:rFonts w:hint="eastAsia" w:ascii="黑体" w:hAnsi="黑体" w:eastAsia="黑体" w:cs="黑体"/>
          <w:lang w:val="en-US" w:eastAsia="zh-CN"/>
        </w:rPr>
        <w:t>公开</w:t>
      </w:r>
    </w:p>
    <w:p>
      <w:pPr>
        <w:pStyle w:val="3"/>
        <w:spacing w:before="0" w:after="0" w:line="240" w:lineRule="auto"/>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非税局</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非税局2022</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非税局2022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hint="eastAsia" w:ascii="黑体" w:hAnsi="宋体" w:eastAsia="黑体" w:cs="黑体"/>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lang w:val="en-US" w:eastAsia="zh-CN"/>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hint="eastAsia" w:ascii="黑体" w:hAnsi="宋体" w:eastAsia="黑体" w:cs="黑体"/>
          <w:sz w:val="32"/>
          <w:szCs w:val="32"/>
        </w:rPr>
      </w:pPr>
    </w:p>
    <w:p>
      <w:pPr>
        <w:ind w:firstLine="643" w:firstLineChars="200"/>
        <w:jc w:val="center"/>
        <w:rPr>
          <w:rFonts w:ascii="黑体" w:hAnsi="宋体" w:eastAsia="黑体" w:cs="Times New Roman"/>
          <w:b/>
          <w:bCs/>
          <w:sz w:val="32"/>
          <w:szCs w:val="32"/>
        </w:rPr>
      </w:pPr>
      <w:r>
        <w:rPr>
          <w:rFonts w:hint="eastAsia" w:ascii="黑体" w:hAnsi="宋体" w:eastAsia="黑体" w:cs="黑体"/>
          <w:b/>
          <w:bCs/>
          <w:sz w:val="32"/>
          <w:szCs w:val="32"/>
        </w:rPr>
        <w:t>第一部分</w:t>
      </w:r>
      <w:r>
        <w:rPr>
          <w:rFonts w:ascii="黑体" w:hAnsi="宋体" w:eastAsia="黑体" w:cs="黑体"/>
          <w:b/>
          <w:bCs/>
          <w:sz w:val="32"/>
          <w:szCs w:val="32"/>
        </w:rPr>
        <w:t xml:space="preserve">  </w:t>
      </w:r>
      <w:r>
        <w:rPr>
          <w:rFonts w:hint="eastAsia" w:ascii="黑体" w:hAnsi="宋体" w:eastAsia="黑体" w:cs="黑体"/>
          <w:b/>
          <w:bCs/>
          <w:sz w:val="32"/>
          <w:szCs w:val="32"/>
          <w:lang w:val="en-US" w:eastAsia="zh-CN"/>
        </w:rPr>
        <w:t>珠山区非税局</w:t>
      </w:r>
      <w:r>
        <w:rPr>
          <w:rFonts w:hint="eastAsia" w:ascii="黑体" w:hAnsi="宋体" w:eastAsia="黑体" w:cs="黑体"/>
          <w:b/>
          <w:bCs/>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pStyle w:val="7"/>
        <w:spacing w:before="225" w:beforeAutospacing="0" w:after="0" w:afterAutospacing="0"/>
        <w:ind w:firstLine="480"/>
        <w:rPr>
          <w:rFonts w:ascii="仿宋" w:hAnsi="仿宋" w:eastAsia="仿宋" w:cs="Tahoma"/>
          <w:color w:val="333333"/>
          <w:sz w:val="32"/>
          <w:szCs w:val="32"/>
        </w:rPr>
      </w:pPr>
      <w:r>
        <w:rPr>
          <w:rFonts w:hint="eastAsia" w:ascii="仿宋_GB2312" w:hAnsi="仿宋" w:eastAsia="仿宋_GB2312" w:cs="仿宋"/>
          <w:kern w:val="2"/>
          <w:sz w:val="28"/>
          <w:szCs w:val="28"/>
          <w:lang w:val="en-US" w:eastAsia="zh-CN"/>
        </w:rPr>
        <w:t xml:space="preserve"> </w:t>
      </w:r>
      <w:r>
        <w:rPr>
          <w:rFonts w:hint="eastAsia" w:ascii="仿宋_GB2312" w:hAnsi="仿宋" w:eastAsia="仿宋_GB2312"/>
          <w:sz w:val="32"/>
          <w:szCs w:val="32"/>
        </w:rPr>
        <w:t>1．</w:t>
      </w:r>
      <w:r>
        <w:rPr>
          <w:rFonts w:ascii="仿宋" w:hAnsi="仿宋" w:eastAsia="仿宋" w:cs="Tahoma"/>
          <w:color w:val="333333"/>
          <w:sz w:val="32"/>
          <w:szCs w:val="32"/>
        </w:rPr>
        <w:t>1</w:t>
      </w:r>
      <w:r>
        <w:rPr>
          <w:rFonts w:hint="eastAsia" w:ascii="仿宋" w:hAnsi="仿宋" w:eastAsia="仿宋" w:cs="Tahoma"/>
          <w:color w:val="333333"/>
          <w:sz w:val="32"/>
          <w:szCs w:val="32"/>
        </w:rPr>
        <w:t>、贯彻落实上级有关非税收入管理的法律、法规、规章和制度，研究制定我区非税收入征收管理的具体实施办法</w:t>
      </w:r>
      <w:r>
        <w:rPr>
          <w:rFonts w:ascii="仿宋" w:hAnsi="仿宋" w:eastAsia="仿宋" w:cs="Tahoma"/>
          <w:color w:val="333333"/>
          <w:sz w:val="32"/>
          <w:szCs w:val="32"/>
        </w:rPr>
        <w:t>;</w:t>
      </w:r>
      <w:r>
        <w:rPr>
          <w:rFonts w:hint="eastAsia" w:ascii="仿宋" w:hAnsi="仿宋" w:eastAsia="仿宋" w:cs="Tahoma"/>
          <w:color w:val="333333"/>
          <w:sz w:val="32"/>
          <w:szCs w:val="32"/>
        </w:rPr>
        <w:t>负责区级行政事业性收费、政府性基金</w:t>
      </w:r>
      <w:r>
        <w:rPr>
          <w:rFonts w:ascii="仿宋" w:hAnsi="仿宋" w:eastAsia="仿宋" w:cs="Tahoma"/>
          <w:color w:val="333333"/>
          <w:sz w:val="32"/>
          <w:szCs w:val="32"/>
        </w:rPr>
        <w:t>(</w:t>
      </w:r>
      <w:r>
        <w:rPr>
          <w:rFonts w:hint="eastAsia" w:ascii="仿宋" w:hAnsi="仿宋" w:eastAsia="仿宋" w:cs="Tahoma"/>
          <w:color w:val="333333"/>
          <w:sz w:val="32"/>
          <w:szCs w:val="32"/>
        </w:rPr>
        <w:t>附加</w:t>
      </w:r>
      <w:r>
        <w:rPr>
          <w:rFonts w:ascii="仿宋" w:hAnsi="仿宋" w:eastAsia="仿宋" w:cs="Tahoma"/>
          <w:color w:val="333333"/>
          <w:sz w:val="32"/>
          <w:szCs w:val="32"/>
        </w:rPr>
        <w:t>)</w:t>
      </w:r>
      <w:r>
        <w:rPr>
          <w:rFonts w:hint="eastAsia" w:ascii="仿宋" w:hAnsi="仿宋" w:eastAsia="仿宋" w:cs="Tahoma"/>
          <w:color w:val="333333"/>
          <w:sz w:val="32"/>
          <w:szCs w:val="32"/>
        </w:rPr>
        <w:t>、罚没收入、国有资本经营收入、国有资产和国有资源收益、其他非税收入的征收管理。</w:t>
      </w:r>
    </w:p>
    <w:p>
      <w:pPr>
        <w:pStyle w:val="7"/>
        <w:spacing w:before="225" w:beforeAutospacing="0" w:after="0" w:afterAutospacing="0"/>
        <w:ind w:firstLine="480"/>
        <w:rPr>
          <w:rFonts w:ascii="仿宋" w:hAnsi="仿宋" w:eastAsia="仿宋" w:cs="Tahoma"/>
          <w:color w:val="333333"/>
          <w:sz w:val="32"/>
          <w:szCs w:val="32"/>
        </w:rPr>
      </w:pPr>
      <w:r>
        <w:rPr>
          <w:rFonts w:ascii="仿宋" w:hAnsi="仿宋" w:eastAsia="仿宋" w:cs="Tahoma"/>
          <w:color w:val="333333"/>
          <w:sz w:val="32"/>
          <w:szCs w:val="32"/>
        </w:rPr>
        <w:t>2</w:t>
      </w:r>
      <w:r>
        <w:rPr>
          <w:rFonts w:hint="eastAsia" w:ascii="仿宋" w:hAnsi="仿宋" w:eastAsia="仿宋" w:cs="Tahoma"/>
          <w:color w:val="333333"/>
          <w:sz w:val="32"/>
          <w:szCs w:val="32"/>
        </w:rPr>
        <w:t>、组织、委托和督促各执收单位做好非税收入的征缴工作。</w:t>
      </w:r>
    </w:p>
    <w:p>
      <w:pPr>
        <w:pStyle w:val="7"/>
        <w:spacing w:before="225" w:beforeAutospacing="0" w:after="0" w:afterAutospacing="0"/>
        <w:ind w:firstLine="480"/>
        <w:rPr>
          <w:rFonts w:ascii="仿宋" w:hAnsi="仿宋" w:eastAsia="仿宋" w:cs="Tahoma"/>
          <w:color w:val="333333"/>
          <w:sz w:val="32"/>
          <w:szCs w:val="32"/>
        </w:rPr>
      </w:pPr>
      <w:r>
        <w:rPr>
          <w:rFonts w:ascii="仿宋" w:hAnsi="仿宋" w:eastAsia="仿宋" w:cs="Tahoma"/>
          <w:color w:val="333333"/>
          <w:sz w:val="32"/>
          <w:szCs w:val="32"/>
        </w:rPr>
        <w:t>3</w:t>
      </w:r>
      <w:r>
        <w:rPr>
          <w:rFonts w:hint="eastAsia" w:ascii="仿宋" w:hAnsi="仿宋" w:eastAsia="仿宋" w:cs="Tahoma"/>
          <w:color w:val="333333"/>
          <w:sz w:val="32"/>
          <w:szCs w:val="32"/>
        </w:rPr>
        <w:t>、核定全区行政事业单位非税收入年度征收计划，组织非税收入计划的执行。</w:t>
      </w:r>
    </w:p>
    <w:p>
      <w:pPr>
        <w:pStyle w:val="7"/>
        <w:spacing w:before="225" w:beforeAutospacing="0" w:after="0" w:afterAutospacing="0"/>
        <w:ind w:firstLine="480"/>
        <w:rPr>
          <w:rFonts w:ascii="仿宋" w:hAnsi="仿宋" w:eastAsia="仿宋" w:cs="Tahoma"/>
          <w:color w:val="333333"/>
          <w:sz w:val="32"/>
          <w:szCs w:val="32"/>
        </w:rPr>
      </w:pPr>
      <w:r>
        <w:rPr>
          <w:rFonts w:ascii="仿宋" w:hAnsi="仿宋" w:eastAsia="仿宋" w:cs="Tahoma"/>
          <w:color w:val="333333"/>
          <w:sz w:val="32"/>
          <w:szCs w:val="32"/>
        </w:rPr>
        <w:t>4</w:t>
      </w:r>
      <w:r>
        <w:rPr>
          <w:rFonts w:hint="eastAsia" w:ascii="仿宋" w:hAnsi="仿宋" w:eastAsia="仿宋" w:cs="Tahoma"/>
          <w:color w:val="333333"/>
          <w:sz w:val="32"/>
          <w:szCs w:val="32"/>
        </w:rPr>
        <w:t>、负责全区非税收入征收管理工作及统计、分析、报表报送工作。</w:t>
      </w:r>
    </w:p>
    <w:p>
      <w:pPr>
        <w:pStyle w:val="7"/>
        <w:spacing w:before="225" w:beforeAutospacing="0" w:after="0" w:afterAutospacing="0"/>
        <w:ind w:firstLine="480"/>
        <w:rPr>
          <w:rFonts w:ascii="仿宋" w:hAnsi="仿宋" w:eastAsia="仿宋" w:cs="Tahoma"/>
          <w:color w:val="333333"/>
          <w:sz w:val="32"/>
          <w:szCs w:val="32"/>
        </w:rPr>
      </w:pPr>
      <w:r>
        <w:rPr>
          <w:rFonts w:ascii="仿宋" w:hAnsi="仿宋" w:eastAsia="仿宋" w:cs="Tahoma"/>
          <w:color w:val="333333"/>
          <w:sz w:val="32"/>
          <w:szCs w:val="32"/>
        </w:rPr>
        <w:t>5</w:t>
      </w:r>
      <w:r>
        <w:rPr>
          <w:rFonts w:hint="eastAsia" w:ascii="仿宋" w:hAnsi="仿宋" w:eastAsia="仿宋" w:cs="Tahoma"/>
          <w:color w:val="333333"/>
          <w:sz w:val="32"/>
          <w:szCs w:val="32"/>
        </w:rPr>
        <w:t>、负责非税收入的核算与统计和</w:t>
      </w:r>
      <w:r>
        <w:rPr>
          <w:rFonts w:ascii="仿宋" w:hAnsi="仿宋" w:eastAsia="仿宋" w:cs="Tahoma"/>
          <w:color w:val="333333"/>
          <w:sz w:val="32"/>
          <w:szCs w:val="32"/>
        </w:rPr>
        <w:t>“</w:t>
      </w:r>
      <w:r>
        <w:rPr>
          <w:rFonts w:hint="eastAsia" w:ascii="仿宋" w:hAnsi="仿宋" w:eastAsia="仿宋" w:cs="Tahoma"/>
          <w:color w:val="333333"/>
          <w:sz w:val="32"/>
          <w:szCs w:val="32"/>
        </w:rPr>
        <w:t>非税收入汇缴结算户</w:t>
      </w:r>
      <w:r>
        <w:rPr>
          <w:rFonts w:ascii="仿宋" w:hAnsi="仿宋" w:eastAsia="仿宋" w:cs="Tahoma"/>
          <w:color w:val="333333"/>
          <w:sz w:val="32"/>
          <w:szCs w:val="32"/>
        </w:rPr>
        <w:t>”</w:t>
      </w:r>
      <w:r>
        <w:rPr>
          <w:rFonts w:hint="eastAsia" w:ascii="仿宋" w:hAnsi="仿宋" w:eastAsia="仿宋" w:cs="Tahoma"/>
          <w:color w:val="333333"/>
          <w:sz w:val="32"/>
          <w:szCs w:val="32"/>
        </w:rPr>
        <w:t>资金的核对、清算与划解。</w:t>
      </w:r>
    </w:p>
    <w:p>
      <w:pPr>
        <w:pStyle w:val="7"/>
        <w:spacing w:before="225" w:beforeAutospacing="0" w:after="0" w:afterAutospacing="0"/>
        <w:ind w:firstLine="480"/>
        <w:rPr>
          <w:rFonts w:ascii="仿宋" w:hAnsi="仿宋" w:eastAsia="仿宋" w:cs="Tahoma"/>
          <w:color w:val="333333"/>
          <w:sz w:val="32"/>
          <w:szCs w:val="32"/>
        </w:rPr>
      </w:pPr>
      <w:r>
        <w:rPr>
          <w:rFonts w:ascii="仿宋" w:hAnsi="仿宋" w:eastAsia="仿宋" w:cs="Tahoma"/>
          <w:color w:val="333333"/>
          <w:sz w:val="32"/>
          <w:szCs w:val="32"/>
        </w:rPr>
        <w:t>6</w:t>
      </w:r>
      <w:r>
        <w:rPr>
          <w:rFonts w:hint="eastAsia" w:ascii="仿宋" w:hAnsi="仿宋" w:eastAsia="仿宋" w:cs="Tahoma"/>
          <w:color w:val="333333"/>
          <w:sz w:val="32"/>
          <w:szCs w:val="32"/>
        </w:rPr>
        <w:t>、负责非税收入等所有财政票据的领发、保管、核销、检查等日常管理工作。</w:t>
      </w:r>
    </w:p>
    <w:p>
      <w:pPr>
        <w:pStyle w:val="7"/>
        <w:spacing w:before="225" w:beforeAutospacing="0" w:after="0" w:afterAutospacing="0"/>
        <w:ind w:firstLine="480"/>
        <w:rPr>
          <w:rFonts w:ascii="仿宋" w:hAnsi="仿宋" w:eastAsia="仿宋" w:cs="Tahoma"/>
          <w:color w:val="333333"/>
          <w:sz w:val="32"/>
          <w:szCs w:val="32"/>
        </w:rPr>
      </w:pPr>
      <w:r>
        <w:rPr>
          <w:rFonts w:ascii="仿宋" w:hAnsi="仿宋" w:eastAsia="仿宋" w:cs="Tahoma"/>
          <w:color w:val="333333"/>
          <w:sz w:val="32"/>
          <w:szCs w:val="32"/>
        </w:rPr>
        <w:t>7</w:t>
      </w:r>
      <w:r>
        <w:rPr>
          <w:rFonts w:hint="eastAsia" w:ascii="仿宋" w:hAnsi="仿宋" w:eastAsia="仿宋" w:cs="Tahoma"/>
          <w:color w:val="333333"/>
          <w:sz w:val="32"/>
          <w:szCs w:val="32"/>
        </w:rPr>
        <w:t>、参与非税收入的清理整顿和已取消</w:t>
      </w:r>
      <w:r>
        <w:rPr>
          <w:rFonts w:ascii="仿宋" w:hAnsi="仿宋" w:eastAsia="仿宋" w:cs="Tahoma"/>
          <w:color w:val="333333"/>
          <w:sz w:val="32"/>
          <w:szCs w:val="32"/>
        </w:rPr>
        <w:t>(</w:t>
      </w:r>
      <w:r>
        <w:rPr>
          <w:rFonts w:hint="eastAsia" w:ascii="仿宋" w:hAnsi="仿宋" w:eastAsia="仿宋" w:cs="Tahoma"/>
          <w:color w:val="333333"/>
          <w:sz w:val="32"/>
          <w:szCs w:val="32"/>
        </w:rPr>
        <w:t>或调整</w:t>
      </w:r>
      <w:r>
        <w:rPr>
          <w:rFonts w:ascii="仿宋" w:hAnsi="仿宋" w:eastAsia="仿宋" w:cs="Tahoma"/>
          <w:color w:val="333333"/>
          <w:sz w:val="32"/>
          <w:szCs w:val="32"/>
        </w:rPr>
        <w:t>)</w:t>
      </w:r>
      <w:r>
        <w:rPr>
          <w:rFonts w:hint="eastAsia" w:ascii="仿宋" w:hAnsi="仿宋" w:eastAsia="仿宋" w:cs="Tahoma"/>
          <w:color w:val="333333"/>
          <w:sz w:val="32"/>
          <w:szCs w:val="32"/>
        </w:rPr>
        <w:t>的非税收</w:t>
      </w:r>
    </w:p>
    <w:p>
      <w:pPr>
        <w:pStyle w:val="7"/>
        <w:spacing w:before="225" w:beforeAutospacing="0" w:after="0" w:afterAutospacing="0"/>
        <w:ind w:firstLine="480"/>
        <w:rPr>
          <w:rFonts w:ascii="仿宋" w:hAnsi="仿宋" w:eastAsia="仿宋" w:cs="Tahoma"/>
          <w:color w:val="333333"/>
          <w:sz w:val="32"/>
          <w:szCs w:val="32"/>
        </w:rPr>
      </w:pPr>
      <w:r>
        <w:rPr>
          <w:rFonts w:hint="eastAsia" w:ascii="仿宋" w:hAnsi="仿宋" w:eastAsia="仿宋" w:cs="Tahoma"/>
          <w:color w:val="333333"/>
          <w:sz w:val="32"/>
          <w:szCs w:val="32"/>
        </w:rPr>
        <w:t>入项目和标准的督查落实情况。</w:t>
      </w:r>
    </w:p>
    <w:p>
      <w:pPr>
        <w:pStyle w:val="7"/>
        <w:spacing w:before="225" w:beforeAutospacing="0" w:after="0" w:afterAutospacing="0"/>
        <w:ind w:firstLine="480"/>
        <w:rPr>
          <w:rFonts w:ascii="仿宋" w:hAnsi="仿宋" w:eastAsia="仿宋" w:cs="Tahoma"/>
          <w:color w:val="333333"/>
          <w:sz w:val="32"/>
          <w:szCs w:val="32"/>
        </w:rPr>
      </w:pPr>
      <w:r>
        <w:rPr>
          <w:rFonts w:ascii="仿宋" w:hAnsi="仿宋" w:eastAsia="仿宋" w:cs="Tahoma"/>
          <w:color w:val="333333"/>
          <w:sz w:val="32"/>
          <w:szCs w:val="32"/>
        </w:rPr>
        <w:t>8</w:t>
      </w:r>
      <w:r>
        <w:rPr>
          <w:rFonts w:hint="eastAsia" w:ascii="仿宋" w:hAnsi="仿宋" w:eastAsia="仿宋" w:cs="Tahoma"/>
          <w:color w:val="333333"/>
          <w:sz w:val="32"/>
          <w:szCs w:val="32"/>
        </w:rPr>
        <w:t>、开展非税收入日常监督和专项稽查，依法查处各种违反非税收入征收管理和票据管理规定的行为。</w:t>
      </w:r>
    </w:p>
    <w:p>
      <w:pPr>
        <w:pStyle w:val="7"/>
        <w:spacing w:before="225" w:beforeAutospacing="0" w:after="0" w:afterAutospacing="0"/>
        <w:ind w:firstLine="480"/>
        <w:rPr>
          <w:rFonts w:ascii="仿宋" w:hAnsi="仿宋" w:eastAsia="仿宋" w:cs="Tahoma"/>
          <w:color w:val="333333"/>
          <w:sz w:val="32"/>
          <w:szCs w:val="32"/>
        </w:rPr>
      </w:pPr>
      <w:r>
        <w:rPr>
          <w:rFonts w:ascii="仿宋" w:hAnsi="仿宋" w:eastAsia="仿宋" w:cs="Tahoma"/>
          <w:color w:val="333333"/>
          <w:sz w:val="32"/>
          <w:szCs w:val="32"/>
        </w:rPr>
        <w:t>9</w:t>
      </w:r>
      <w:r>
        <w:rPr>
          <w:rFonts w:hint="eastAsia" w:ascii="仿宋" w:hAnsi="仿宋" w:eastAsia="仿宋" w:cs="Tahoma"/>
          <w:color w:val="333333"/>
          <w:sz w:val="32"/>
          <w:szCs w:val="32"/>
        </w:rPr>
        <w:t>、负责非税收入征收管理系统的网络建设与维护，协调执收单位与银行有关网络方面的相关事宜。</w:t>
      </w:r>
    </w:p>
    <w:p>
      <w:pPr>
        <w:pStyle w:val="7"/>
        <w:spacing w:before="225" w:beforeAutospacing="0" w:after="0" w:afterAutospacing="0"/>
        <w:ind w:firstLine="480"/>
        <w:rPr>
          <w:rFonts w:ascii="仿宋" w:hAnsi="仿宋" w:eastAsia="仿宋" w:cs="Tahoma"/>
          <w:color w:val="333333"/>
          <w:sz w:val="32"/>
          <w:szCs w:val="32"/>
        </w:rPr>
      </w:pPr>
      <w:r>
        <w:rPr>
          <w:rFonts w:ascii="仿宋" w:hAnsi="仿宋" w:eastAsia="仿宋" w:cs="Tahoma"/>
          <w:color w:val="333333"/>
          <w:sz w:val="32"/>
          <w:szCs w:val="32"/>
        </w:rPr>
        <w:t>10</w:t>
      </w:r>
      <w:r>
        <w:rPr>
          <w:rFonts w:hint="eastAsia" w:ascii="仿宋" w:hAnsi="仿宋" w:eastAsia="仿宋" w:cs="Tahoma"/>
          <w:color w:val="333333"/>
          <w:sz w:val="32"/>
          <w:szCs w:val="32"/>
        </w:rPr>
        <w:t>、完成领导交办的其他工作。</w:t>
      </w:r>
    </w:p>
    <w:p>
      <w:pPr>
        <w:snapToGrid w:val="0"/>
        <w:spacing w:line="520" w:lineRule="exact"/>
        <w:ind w:firstLine="640" w:firstLineChars="200"/>
        <w:rPr>
          <w:rFonts w:hint="eastAsia" w:ascii="仿宋_GB2312" w:hAnsi="仿宋" w:eastAsia="仿宋_GB2312"/>
          <w:sz w:val="32"/>
          <w:szCs w:val="32"/>
        </w:rPr>
      </w:pP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eastAsia="zh-CN"/>
        </w:rPr>
        <w:t>珠山区非税局</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w:t>
      </w:r>
      <w:r>
        <w:rPr>
          <w:rFonts w:hint="eastAsia" w:ascii="仿宋_GB2312" w:hAnsi="仿宋" w:eastAsia="仿宋_GB2312" w:cs="仿宋"/>
          <w:sz w:val="28"/>
          <w:szCs w:val="28"/>
        </w:rPr>
        <w:t>即</w:t>
      </w:r>
      <w:r>
        <w:rPr>
          <w:rFonts w:hint="eastAsia" w:ascii="仿宋_GB2312" w:hAnsi="仿宋" w:eastAsia="仿宋_GB2312" w:cs="仿宋"/>
          <w:sz w:val="28"/>
          <w:szCs w:val="28"/>
          <w:lang w:val="en-US" w:eastAsia="zh-CN"/>
        </w:rPr>
        <w:t>单位</w:t>
      </w:r>
      <w:r>
        <w:rPr>
          <w:rFonts w:hint="eastAsia" w:ascii="仿宋_GB2312" w:hAnsi="仿宋" w:eastAsia="仿宋_GB2312" w:cs="仿宋"/>
          <w:sz w:val="28"/>
          <w:szCs w:val="28"/>
        </w:rPr>
        <w:t>本级</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本单位为珠山区财政局的二级预算单位。</w:t>
      </w:r>
      <w:r>
        <w:rPr>
          <w:rFonts w:hint="eastAsia" w:ascii="仿宋_GB2312" w:hAnsi="宋体" w:eastAsia="仿宋_GB2312" w:cs="仿宋_GB2312"/>
          <w:sz w:val="32"/>
          <w:szCs w:val="32"/>
        </w:rPr>
        <w:t>编制数为</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人，其中全额补助事业编制</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人；离休人员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人。在校学生</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人，其中：高等学校</w:t>
      </w:r>
      <w:r>
        <w:rPr>
          <w:rFonts w:hint="eastAsia" w:ascii="仿宋_GB2312" w:hAnsi="宋体" w:eastAsia="仿宋_GB2312" w:cs="仿宋_GB2312"/>
          <w:sz w:val="32"/>
          <w:szCs w:val="32"/>
          <w:lang w:val="en-US" w:eastAsia="zh-CN"/>
        </w:rPr>
        <w:t>0人</w:t>
      </w:r>
      <w:r>
        <w:rPr>
          <w:rFonts w:hint="eastAsia" w:ascii="仿宋_GB2312" w:hAnsi="宋体" w:eastAsia="仿宋_GB2312" w:cs="仿宋_GB2312"/>
          <w:sz w:val="32"/>
          <w:szCs w:val="32"/>
        </w:rPr>
        <w:t>、中等专业学校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人，其他</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w:t>
      </w:r>
    </w:p>
    <w:p>
      <w:pPr>
        <w:ind w:firstLine="640" w:firstLineChars="200"/>
        <w:rPr>
          <w:rFonts w:ascii="仿宋_GB2312" w:hAnsi="宋体" w:eastAsia="仿宋_GB2312" w:cs="仿宋_GB2312"/>
          <w:sz w:val="32"/>
          <w:szCs w:val="32"/>
        </w:rPr>
      </w:pPr>
    </w:p>
    <w:p>
      <w:pPr>
        <w:jc w:val="center"/>
        <w:rPr>
          <w:rFonts w:ascii="黑体" w:hAnsi="宋体" w:eastAsia="黑体" w:cs="Times New Roman"/>
          <w:b/>
          <w:bCs/>
          <w:sz w:val="32"/>
          <w:szCs w:val="32"/>
        </w:rPr>
      </w:pPr>
      <w:r>
        <w:rPr>
          <w:rFonts w:hint="eastAsia" w:ascii="黑体" w:hAnsi="宋体" w:eastAsia="黑体" w:cs="黑体"/>
          <w:b/>
          <w:bCs/>
          <w:sz w:val="32"/>
          <w:szCs w:val="32"/>
        </w:rPr>
        <w:t>第二部分</w:t>
      </w:r>
      <w:r>
        <w:rPr>
          <w:rFonts w:ascii="黑体" w:hAnsi="宋体" w:eastAsia="黑体" w:cs="黑体"/>
          <w:b/>
          <w:bCs/>
          <w:sz w:val="32"/>
          <w:szCs w:val="32"/>
        </w:rPr>
        <w:t xml:space="preserve"> </w:t>
      </w:r>
      <w:r>
        <w:rPr>
          <w:rFonts w:hint="eastAsia" w:ascii="黑体" w:hAnsi="宋体" w:eastAsia="黑体" w:cs="黑体"/>
          <w:b/>
          <w:bCs/>
          <w:sz w:val="32"/>
          <w:szCs w:val="32"/>
          <w:lang w:eastAsia="zh-CN"/>
        </w:rPr>
        <w:t>珠山区非税局2022</w:t>
      </w:r>
      <w:r>
        <w:rPr>
          <w:rFonts w:hint="eastAsia" w:ascii="黑体" w:hAnsi="宋体" w:eastAsia="黑体" w:cs="黑体"/>
          <w:b/>
          <w:bCs/>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非税局</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30</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0万元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无变动</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30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r>
        <w:rPr>
          <w:rFonts w:ascii="仿宋_GB2312" w:hAnsi="宋体" w:eastAsia="仿宋_GB2312" w:cs="仿宋_GB2312"/>
          <w:b/>
          <w:bCs/>
          <w:sz w:val="32"/>
          <w:szCs w:val="32"/>
        </w:rPr>
        <w:t xml:space="preserve"> </w:t>
      </w:r>
    </w:p>
    <w:p>
      <w:pPr>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非税局</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30</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0万元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无变动</w:t>
      </w:r>
      <w:r>
        <w:rPr>
          <w:rFonts w:hint="eastAsia" w:ascii="仿宋_GB2312" w:hAnsi="宋体" w:eastAsia="仿宋_GB2312" w:cs="仿宋_GB2312"/>
          <w:sz w:val="32"/>
          <w:szCs w:val="32"/>
        </w:rPr>
        <w:t>。其中：按支出项目类别划分：</w:t>
      </w:r>
      <w:r>
        <w:rPr>
          <w:rFonts w:hint="eastAsia" w:ascii="仿宋_GB2312" w:hAnsi="宋体" w:eastAsia="仿宋_GB2312" w:cs="仿宋_GB2312"/>
          <w:sz w:val="32"/>
          <w:szCs w:val="32"/>
          <w:lang w:val="en-US" w:eastAsia="zh-CN"/>
        </w:rPr>
        <w:t>项目</w:t>
      </w:r>
      <w:bookmarkStart w:id="0" w:name="_GoBack"/>
      <w:bookmarkEnd w:id="0"/>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30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30</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万元；事业经营支出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；上缴上级支出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w:t>
      </w:r>
      <w:r>
        <w:rPr>
          <w:rFonts w:hint="eastAsia" w:ascii="仿宋_GB2312" w:hAnsi="宋体" w:eastAsia="仿宋_GB2312" w:cs="仿宋_GB2312"/>
          <w:color w:val="0000FF"/>
          <w:sz w:val="32"/>
          <w:szCs w:val="32"/>
        </w:rPr>
        <w:t>算总额的</w:t>
      </w:r>
      <w:r>
        <w:rPr>
          <w:rFonts w:hint="eastAsia" w:ascii="仿宋_GB2312" w:hAnsi="宋体" w:eastAsia="仿宋_GB2312" w:cs="仿宋_GB2312"/>
          <w:color w:val="0000FF"/>
          <w:sz w:val="32"/>
          <w:szCs w:val="32"/>
          <w:lang w:val="en-US" w:eastAsia="zh-CN"/>
        </w:rPr>
        <w:t>0</w:t>
      </w:r>
      <w:r>
        <w:rPr>
          <w:rFonts w:ascii="仿宋_GB2312" w:hAnsi="宋体" w:eastAsia="仿宋_GB2312" w:cs="仿宋_GB2312"/>
          <w:color w:val="0000FF"/>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主要原因为本单位为珠山区财政局的二级预算单位，人员支出均在财政局发放。</w:t>
      </w:r>
    </w:p>
    <w:p>
      <w:pPr>
        <w:ind w:firstLine="620" w:firstLineChars="200"/>
        <w:rPr>
          <w:rFonts w:hint="eastAsia" w:ascii="仿宋_GB2312" w:hAnsi="仿宋" w:eastAsia="仿宋_GB2312" w:cs="仿宋"/>
          <w:sz w:val="28"/>
          <w:szCs w:val="28"/>
          <w:lang w:eastAsia="zh-CN"/>
        </w:rPr>
      </w:pPr>
      <w:r>
        <w:rPr>
          <w:rFonts w:ascii="仿宋" w:hAnsi="仿宋" w:eastAsia="仿宋" w:cs="仿宋"/>
          <w:color w:val="000000"/>
          <w:kern w:val="0"/>
          <w:sz w:val="31"/>
          <w:szCs w:val="31"/>
          <w:lang w:val="en-US" w:eastAsia="zh-CN" w:bidi="ar"/>
        </w:rPr>
        <w:t>按支出功能科目划分:</w:t>
      </w:r>
      <w:r>
        <w:rPr>
          <w:rFonts w:hint="eastAsia" w:ascii="仿宋_GB2312" w:hAnsi="仿宋" w:eastAsia="仿宋_GB2312" w:cs="仿宋"/>
          <w:sz w:val="28"/>
          <w:szCs w:val="28"/>
          <w:lang w:eastAsia="zh-CN"/>
        </w:rPr>
        <w:t>一般公共服务支出</w:t>
      </w:r>
      <w:r>
        <w:rPr>
          <w:rFonts w:hint="eastAsia" w:ascii="仿宋_GB2312" w:hAnsi="仿宋" w:eastAsia="仿宋_GB2312" w:cs="仿宋"/>
          <w:sz w:val="28"/>
          <w:szCs w:val="28"/>
          <w:lang w:val="en-US" w:eastAsia="zh-CN"/>
        </w:rPr>
        <w:t>30万元，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100</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医疗卫生与计划生育支出0万元、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社会保障和就业支出0万元、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lang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 w:eastAsia="仿宋_GB2312" w:cs="仿宋"/>
          <w:sz w:val="28"/>
          <w:szCs w:val="28"/>
          <w:highlight w:val="none"/>
          <w:lang w:val="en-US" w:eastAsia="zh-CN"/>
        </w:rPr>
      </w:pPr>
      <w:r>
        <w:rPr>
          <w:rFonts w:hint="eastAsia" w:ascii="仿宋_GB2312" w:hAnsi="宋体" w:eastAsia="仿宋_GB2312" w:cs="仿宋_GB2312"/>
          <w:sz w:val="32"/>
          <w:szCs w:val="32"/>
        </w:rPr>
        <w:t>按支出经济分类划分：</w:t>
      </w:r>
      <w:r>
        <w:rPr>
          <w:rFonts w:hint="eastAsia" w:ascii="仿宋_GB2312" w:hAnsi="仿宋" w:eastAsia="仿宋_GB2312" w:cs="仿宋"/>
          <w:sz w:val="28"/>
          <w:szCs w:val="28"/>
          <w:lang w:val="en-US" w:eastAsia="zh-CN"/>
        </w:rPr>
        <w:t>按支出经济分类划分：工资福利支出0万元，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 w:eastAsia="仿宋_GB2312" w:cs="仿宋"/>
          <w:sz w:val="28"/>
          <w:szCs w:val="28"/>
          <w:lang w:val="en-US" w:eastAsia="zh-CN"/>
        </w:rPr>
        <w:t>商品和服务支出30万元，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 w:eastAsia="仿宋_GB2312" w:cs="仿宋"/>
          <w:sz w:val="28"/>
          <w:szCs w:val="28"/>
          <w:lang w:val="en-US" w:eastAsia="zh-CN"/>
        </w:rPr>
        <w:t>对个人和家庭的补助支出0万元，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0000FF"/>
          <w:sz w:val="28"/>
          <w:szCs w:val="28"/>
          <w:highlight w:val="none"/>
          <w:shd w:val="clear" w:color="auto" w:fill="auto"/>
        </w:rPr>
        <w:t>%</w:t>
      </w:r>
      <w:r>
        <w:rPr>
          <w:rFonts w:hint="eastAsia" w:ascii="仿宋_GB2312" w:hAnsi="仿宋_GB2312" w:eastAsia="仿宋_GB2312" w:cs="仿宋_GB2312"/>
          <w:color w:val="0000FF"/>
          <w:sz w:val="28"/>
          <w:szCs w:val="28"/>
          <w:highlight w:val="none"/>
          <w:shd w:val="clear" w:color="auto" w:fill="auto"/>
          <w:lang w:eastAsia="zh-CN"/>
        </w:rPr>
        <w:t>。</w:t>
      </w:r>
    </w:p>
    <w:p>
      <w:pPr>
        <w:ind w:firstLine="640" w:firstLineChars="200"/>
        <w:rPr>
          <w:rFonts w:ascii="仿宋_GB2312" w:eastAsia="仿宋_GB2312" w:cs="Times New Roman"/>
          <w:sz w:val="32"/>
          <w:szCs w:val="32"/>
        </w:rPr>
      </w:pPr>
    </w:p>
    <w:p>
      <w:pPr>
        <w:widowControl/>
        <w:spacing w:line="600" w:lineRule="exact"/>
        <w:ind w:firstLine="640"/>
        <w:jc w:val="left"/>
        <w:rPr>
          <w:rFonts w:ascii="仿宋_GB2312" w:eastAsia="仿宋_GB2312" w:cs="Times New Roman"/>
          <w:sz w:val="32"/>
          <w:szCs w:val="32"/>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2022年非税局</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30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rPr>
        <w:t>，与上年预算相</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0万元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无</w:t>
      </w:r>
      <w:r>
        <w:rPr>
          <w:rFonts w:hint="eastAsia" w:ascii="仿宋_GB2312" w:hAnsi="宋体" w:eastAsia="仿宋_GB2312" w:cs="仿宋_GB2312"/>
          <w:sz w:val="32"/>
          <w:szCs w:val="32"/>
          <w:lang w:eastAsia="zh-CN"/>
        </w:rPr>
        <w:t>变动</w:t>
      </w:r>
      <w:r>
        <w:rPr>
          <w:rFonts w:hint="eastAsia" w:ascii="仿宋_GB2312" w:hAnsi="宋体" w:eastAsia="仿宋_GB2312" w:cs="仿宋_GB2312"/>
          <w:sz w:val="32"/>
          <w:szCs w:val="32"/>
        </w:rPr>
        <w:t>。具体支出情况是：</w:t>
      </w:r>
      <w:r>
        <w:rPr>
          <w:rFonts w:hint="eastAsia" w:ascii="仿宋_GB2312" w:hAnsi="仿宋" w:eastAsia="仿宋_GB2312" w:cs="仿宋"/>
          <w:sz w:val="28"/>
          <w:szCs w:val="28"/>
          <w:lang w:eastAsia="zh-CN"/>
        </w:rPr>
        <w:t>一般公共服务支出</w:t>
      </w:r>
      <w:r>
        <w:rPr>
          <w:rFonts w:hint="eastAsia" w:ascii="仿宋_GB2312" w:hAnsi="仿宋" w:eastAsia="仿宋_GB2312" w:cs="仿宋"/>
          <w:sz w:val="28"/>
          <w:szCs w:val="28"/>
          <w:lang w:val="en-US" w:eastAsia="zh-CN"/>
        </w:rPr>
        <w:t>30万元，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100</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医疗卫生与计划生育支出0万元、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社会保障和就业支出0万元、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lang w:eastAsia="zh-CN"/>
        </w:rPr>
        <w:t>%。</w:t>
      </w:r>
    </w:p>
    <w:p>
      <w:pPr>
        <w:numPr>
          <w:ilvl w:val="0"/>
          <w:numId w:val="1"/>
        </w:num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机关运行经费安排情况说明</w:t>
      </w:r>
    </w:p>
    <w:p>
      <w:pPr>
        <w:numPr>
          <w:ilvl w:val="0"/>
          <w:numId w:val="0"/>
        </w:numPr>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本部门2022年度机关运行经费支出0万元，占支出预算总额的0%。本单位为财政补助事业单位，无机关运行经费。</w:t>
      </w:r>
    </w:p>
    <w:p>
      <w:pPr>
        <w:numPr>
          <w:ilvl w:val="0"/>
          <w:numId w:val="0"/>
        </w:numPr>
        <w:rPr>
          <w:rFonts w:ascii="仿宋_GB2312" w:eastAsia="仿宋_GB2312" w:cs="Times New Roman"/>
          <w:b/>
          <w:bCs/>
          <w:sz w:val="32"/>
          <w:szCs w:val="32"/>
        </w:rPr>
      </w:pPr>
      <w:r>
        <w:rPr>
          <w:rFonts w:hint="eastAsia" w:ascii="仿宋_GB2312" w:hAnsi="宋体" w:eastAsia="仿宋_GB2312" w:cs="仿宋_GB2312"/>
          <w:sz w:val="32"/>
          <w:szCs w:val="32"/>
          <w:lang w:val="en-US" w:eastAsia="zh-CN"/>
        </w:rPr>
        <w:t>（五）</w:t>
      </w:r>
      <w:r>
        <w:rPr>
          <w:rFonts w:hint="eastAsia" w:ascii="仿宋_GB2312" w:hAnsi="宋体" w:eastAsia="仿宋_GB2312" w:cs="仿宋_GB2312"/>
          <w:b/>
          <w:bCs/>
          <w:sz w:val="32"/>
          <w:szCs w:val="32"/>
        </w:rPr>
        <w:t>政府采购预算情况</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outlineLvl w:val="9"/>
        <w:rPr>
          <w:rFonts w:hint="default" w:ascii="仿宋_GB2312" w:hAnsi="仿宋" w:eastAsia="仿宋_GB2312" w:cs="仿宋"/>
          <w:sz w:val="28"/>
          <w:szCs w:val="28"/>
          <w:lang w:val="en-US"/>
        </w:rPr>
      </w:pPr>
      <w:r>
        <w:rPr>
          <w:rFonts w:hint="eastAsia" w:ascii="仿宋_GB2312" w:hAnsi="仿宋" w:eastAsia="仿宋_GB2312" w:cs="仿宋"/>
          <w:sz w:val="28"/>
          <w:szCs w:val="28"/>
          <w:lang w:val="en-US" w:eastAsia="zh-CN"/>
        </w:rPr>
        <w:t>2022</w:t>
      </w:r>
      <w:r>
        <w:rPr>
          <w:rFonts w:hint="eastAsia" w:ascii="仿宋_GB2312" w:hAnsi="仿宋" w:eastAsia="仿宋_GB2312" w:cs="仿宋"/>
          <w:sz w:val="28"/>
          <w:szCs w:val="28"/>
        </w:rPr>
        <w:t>年</w:t>
      </w:r>
      <w:r>
        <w:rPr>
          <w:rFonts w:hint="eastAsia" w:ascii="仿宋_GB2312" w:hAnsi="仿宋" w:eastAsia="仿宋_GB2312" w:cs="仿宋"/>
          <w:sz w:val="28"/>
          <w:szCs w:val="28"/>
          <w:lang w:eastAsia="zh-CN"/>
        </w:rPr>
        <w:t>非税局</w:t>
      </w:r>
      <w:r>
        <w:rPr>
          <w:rFonts w:hint="eastAsia" w:ascii="仿宋_GB2312" w:hAnsi="仿宋" w:eastAsia="仿宋_GB2312" w:cs="仿宋"/>
          <w:sz w:val="28"/>
          <w:szCs w:val="28"/>
        </w:rPr>
        <w:t>政府采购预算为</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rPr>
        <w:t>万元，其中：政府集中采购</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rPr>
        <w:t>万元</w:t>
      </w:r>
      <w:r>
        <w:rPr>
          <w:rFonts w:hint="eastAsia" w:ascii="仿宋_GB2312" w:hAnsi="仿宋" w:eastAsia="仿宋_GB2312" w:cs="仿宋"/>
          <w:sz w:val="28"/>
          <w:szCs w:val="28"/>
          <w:lang w:eastAsia="zh-CN"/>
        </w:rPr>
        <w:t>，部门集中采购</w:t>
      </w:r>
      <w:r>
        <w:rPr>
          <w:rFonts w:hint="eastAsia" w:ascii="仿宋_GB2312" w:hAnsi="仿宋" w:eastAsia="仿宋_GB2312" w:cs="仿宋"/>
          <w:sz w:val="28"/>
          <w:szCs w:val="28"/>
          <w:lang w:val="en-US" w:eastAsia="zh-CN"/>
        </w:rPr>
        <w:t>0万元，主要原因为本单位将于2022年进行撤销，未编制采购预算。</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lang w:eastAsia="zh-CN"/>
        </w:rPr>
        <w:t>（六）</w:t>
      </w:r>
      <w:r>
        <w:rPr>
          <w:rFonts w:hint="eastAsia" w:ascii="仿宋_GB2312" w:hAnsi="宋体" w:eastAsia="仿宋_GB2312" w:cs="仿宋_GB2312"/>
          <w:b/>
          <w:bCs/>
          <w:sz w:val="32"/>
          <w:szCs w:val="32"/>
        </w:rPr>
        <w:t>政府基金收支情况</w:t>
      </w:r>
    </w:p>
    <w:p>
      <w:pPr>
        <w:tabs>
          <w:tab w:val="left" w:pos="1113"/>
        </w:tabs>
        <w:ind w:firstLine="560" w:firstLineChars="20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没有使用政府性基金预算拨款安排的支出</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七）2022</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珠山区非税局</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default" w:ascii="仿宋_GB2312" w:hAnsi="仿宋" w:eastAsia="仿宋_GB2312" w:cs="仿宋"/>
          <w:sz w:val="28"/>
          <w:szCs w:val="28"/>
          <w:lang w:val="en-US"/>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万元，比上年减</w:t>
      </w:r>
      <w:r>
        <w:rPr>
          <w:rFonts w:hint="eastAsia" w:ascii="仿宋_GB2312" w:hAnsi="宋体" w:eastAsia="仿宋_GB2312" w:cs="仿宋_GB2312"/>
          <w:sz w:val="32"/>
          <w:szCs w:val="32"/>
          <w:lang w:eastAsia="zh-CN"/>
        </w:rPr>
        <w:t>少</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hAnsi="仿宋" w:eastAsia="仿宋_GB2312" w:cs="仿宋"/>
          <w:sz w:val="28"/>
          <w:szCs w:val="28"/>
          <w:lang w:val="en-US" w:eastAsia="zh-CN"/>
        </w:rPr>
        <w:t>主要原因为本单位将于2022年进行撤销，未编制三公支出预算。</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八</w:t>
      </w:r>
      <w:r>
        <w:rPr>
          <w:rFonts w:hint="eastAsia" w:ascii="仿宋_GB2312" w:hAnsi="宋体" w:eastAsia="仿宋_GB2312" w:cs="仿宋_GB2312"/>
          <w:b/>
          <w:bCs/>
          <w:sz w:val="32"/>
          <w:szCs w:val="32"/>
        </w:rPr>
        <w:t>）</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年部门整体</w:t>
      </w:r>
      <w:r>
        <w:rPr>
          <w:rFonts w:hint="eastAsia" w:ascii="仿宋_GB2312" w:eastAsia="仿宋_GB2312"/>
          <w:color w:val="000000"/>
          <w:sz w:val="32"/>
          <w:szCs w:val="30"/>
          <w:lang w:eastAsia="zh-CN"/>
        </w:rPr>
        <w:t>预算资金为</w:t>
      </w:r>
      <w:r>
        <w:rPr>
          <w:rFonts w:hint="eastAsia" w:ascii="仿宋_GB2312" w:eastAsia="仿宋_GB2312"/>
          <w:color w:val="000000"/>
          <w:sz w:val="32"/>
          <w:szCs w:val="30"/>
          <w:lang w:val="en-US" w:eastAsia="zh-CN"/>
        </w:rPr>
        <w:t>30万元，具体情况国是：</w:t>
      </w:r>
    </w:p>
    <w:p>
      <w:pPr>
        <w:widowControl/>
        <w:numPr>
          <w:ilvl w:val="0"/>
          <w:numId w:val="2"/>
        </w:numPr>
        <w:spacing w:line="600" w:lineRule="exact"/>
        <w:ind w:left="559" w:leftChars="266" w:firstLine="0" w:firstLineChars="0"/>
        <w:jc w:val="left"/>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 w:eastAsia="仿宋_GB2312" w:cs="仿宋"/>
          <w:sz w:val="28"/>
          <w:szCs w:val="28"/>
          <w:lang w:val="en-US" w:eastAsia="zh-CN"/>
        </w:rPr>
        <w:t>商品和服务支出30万元，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，绩效目标：本着节约的原则，合理使用资金，</w:t>
      </w:r>
      <w:r>
        <w:rPr>
          <w:rFonts w:hint="eastAsia" w:ascii="仿宋_GB2312" w:hAnsi="仿宋_GB2312" w:eastAsia="仿宋_GB2312" w:cs="仿宋_GB2312"/>
          <w:color w:val="auto"/>
          <w:sz w:val="28"/>
          <w:szCs w:val="28"/>
          <w:highlight w:val="none"/>
          <w:shd w:val="clear" w:color="auto" w:fill="auto"/>
          <w:lang w:val="en-US" w:eastAsia="zh-CN"/>
        </w:rPr>
        <w:t>维持本单位未撤销前的正常运行。</w:t>
      </w:r>
    </w:p>
    <w:p>
      <w:pPr>
        <w:widowControl/>
        <w:numPr>
          <w:ilvl w:val="0"/>
          <w:numId w:val="0"/>
        </w:numPr>
        <w:spacing w:line="600" w:lineRule="exact"/>
        <w:ind w:leftChars="266"/>
        <w:jc w:val="left"/>
        <w:rPr>
          <w:rFonts w:ascii="仿宋_GB2312" w:eastAsia="仿宋_GB2312"/>
          <w:b/>
          <w:color w:val="000000"/>
          <w:sz w:val="32"/>
          <w:szCs w:val="30"/>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九</w:t>
      </w:r>
      <w:r>
        <w:rPr>
          <w:rFonts w:hint="eastAsia" w:ascii="仿宋_GB2312" w:hAnsi="宋体" w:eastAsia="仿宋_GB2312" w:cs="仿宋_GB2312"/>
          <w:b/>
          <w:bCs/>
          <w:sz w:val="32"/>
          <w:szCs w:val="32"/>
        </w:rPr>
        <w:t>）</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 xml:space="preserve">年实行绩效目标管理的一级项目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个，涉及资金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万元，其中：二级项目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个（部门预算中  万元以上的，且进行了绩效评审的项目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个，涉及资金     万元），涉及资金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w:t>
      </w:r>
      <w:r>
        <w:rPr>
          <w:rFonts w:hint="eastAsia" w:ascii="仿宋_GB2312" w:eastAsia="仿宋_GB2312"/>
          <w:b/>
          <w:color w:val="000000"/>
          <w:sz w:val="32"/>
          <w:szCs w:val="30"/>
          <w:lang w:eastAsia="zh-CN"/>
        </w:rPr>
        <w:t>十</w:t>
      </w:r>
      <w:r>
        <w:rPr>
          <w:rFonts w:hint="eastAsia" w:ascii="仿宋_GB2312" w:eastAsia="仿宋_GB2312"/>
          <w:b/>
          <w:color w:val="000000"/>
          <w:sz w:val="32"/>
          <w:szCs w:val="30"/>
        </w:rPr>
        <w:t>）一级项目中各二级项目情况说明（部门本级）</w:t>
      </w:r>
    </w:p>
    <w:p>
      <w:pPr>
        <w:ind w:firstLine="640" w:firstLineChars="200"/>
        <w:rPr>
          <w:rFonts w:hint="eastAsia" w:ascii="黑体" w:hAnsi="宋体" w:eastAsia="黑体" w:cs="黑体"/>
          <w:sz w:val="32"/>
          <w:szCs w:val="32"/>
        </w:rPr>
      </w:pPr>
      <w:r>
        <w:rPr>
          <w:rFonts w:hint="eastAsia" w:ascii="仿宋_GB2312" w:eastAsia="仿宋_GB2312"/>
          <w:color w:val="000000"/>
          <w:sz w:val="32"/>
          <w:szCs w:val="30"/>
          <w:lang w:eastAsia="zh-CN"/>
        </w:rPr>
        <w:t>无</w:t>
      </w:r>
    </w:p>
    <w:p>
      <w:pPr>
        <w:rPr>
          <w:rFonts w:hint="eastAsia" w:ascii="黑体" w:hAnsi="宋体" w:eastAsia="黑体" w:cs="黑体"/>
          <w:sz w:val="32"/>
          <w:szCs w:val="32"/>
        </w:rPr>
      </w:pPr>
    </w:p>
    <w:p>
      <w:pPr>
        <w:jc w:val="cente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珠山区非税局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jc w:val="both"/>
        <w:rPr>
          <w:rFonts w:ascii="仿宋_GB2312" w:hAnsi="宋体" w:eastAsia="仿宋_GB2312" w:cs="仿宋_GB2312"/>
          <w:sz w:val="32"/>
          <w:szCs w:val="32"/>
        </w:rPr>
      </w:pPr>
    </w:p>
    <w:p>
      <w:pPr>
        <w:rPr>
          <w:rFonts w:ascii="仿宋_GB2312" w:hAnsi="宋体" w:eastAsia="仿宋_GB2312" w:cs="仿宋_GB2312"/>
          <w:sz w:val="32"/>
          <w:szCs w:val="32"/>
          <w:shd w:val="clear" w:color="FFFFFF" w:fill="D9D9D9"/>
        </w:rPr>
      </w:pPr>
    </w:p>
    <w:p>
      <w:pPr>
        <w:rPr>
          <w:rFonts w:hint="eastAsia" w:ascii="黑体" w:hAnsi="宋体" w:eastAsia="黑体" w:cs="黑体"/>
          <w:sz w:val="32"/>
          <w:szCs w:val="32"/>
        </w:rPr>
      </w:pPr>
    </w:p>
    <w:p>
      <w:pPr>
        <w:jc w:val="right"/>
        <w:rPr>
          <w:rFonts w:hint="eastAsia" w:ascii="黑体" w:hAnsi="宋体" w:eastAsia="黑体" w:cs="黑体"/>
          <w:sz w:val="32"/>
          <w:szCs w:val="32"/>
        </w:rPr>
      </w:pPr>
    </w:p>
    <w:p>
      <w:pPr>
        <w:jc w:val="cente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w:t>
      </w:r>
      <w:r>
        <w:rPr>
          <w:rFonts w:hint="eastAsia" w:ascii="仿宋_GB2312" w:eastAsia="仿宋_GB2312"/>
          <w:color w:val="000000"/>
          <w:sz w:val="32"/>
          <w:szCs w:val="30"/>
          <w:lang w:val="en-US" w:eastAsia="zh-CN"/>
        </w:rPr>
        <w:t>区</w:t>
      </w:r>
      <w:r>
        <w:rPr>
          <w:rFonts w:hint="eastAsia" w:ascii="仿宋_GB2312" w:eastAsia="仿宋_GB2312"/>
          <w:color w:val="000000"/>
          <w:sz w:val="32"/>
          <w:szCs w:val="30"/>
        </w:rPr>
        <w:t>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一）行政运行：反映行政单位（包括参公单位）的基本支出。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（二）一般行政管理事务：反映行政单位（包括参公单位）未单独设置项级科目的其他项目支出。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（三）机关服务：反映为行政单位（包括参公单位）提供后勤服务的各类后勤服务中心的支出。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（四）预算改革业务：反映财政部门用于预算改革方面的支出。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（五）财政国库业务：反映财政部门用于财政国库集中支出收付业务方面的支出。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（六）财政监察：反映财政监察派出机构的专项业务支出。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10</w:t>
      </w:r>
      <w:r>
        <w:rPr>
          <w:rFonts w:hint="default" w:ascii="仿宋_GB2312" w:hAnsi="仿宋" w:eastAsia="仿宋_GB2312" w:cs="仿宋"/>
          <w:sz w:val="28"/>
          <w:szCs w:val="28"/>
          <w:lang w:val="en-US" w:eastAsia="zh-CN"/>
        </w:rPr>
        <w:t xml:space="preserve">（七）信息化建设：反映财政部门用于“金财工程”等信息化建设方面的支出。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（八）事业运行：反映事业单位的基本支出。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（九）其他财政事务支出：反映除上述项目以外的其他财政事务方面的支出。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（十）培训支出：反映各部门安排的用于培训的支出。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（十一）机关事业单位基本养老保险缴费支出：反映机关事业单位实施养老保险制度由单位缴纳的基本养老保险费的支出。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p>
    <w:p>
      <w:pPr>
        <w:rPr>
          <w:rFonts w:ascii="仿宋_GB2312" w:eastAsia="仿宋_GB2312" w:cs="Times New Roman"/>
          <w:sz w:val="32"/>
          <w:szCs w:val="32"/>
        </w:rPr>
      </w:pPr>
    </w:p>
    <w:sectPr>
      <w:footerReference r:id="rId3" w:type="default"/>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Fonts w:cs="Times New Roman"/>
      </w:rPr>
    </w:pPr>
    <w:r>
      <w:rPr>
        <w:rStyle w:val="10"/>
      </w:rPr>
      <w:fldChar w:fldCharType="begin"/>
    </w:r>
    <w:r>
      <w:rPr>
        <w:rStyle w:val="10"/>
      </w:rPr>
      <w:instrText xml:space="preserve">PAGE  </w:instrText>
    </w:r>
    <w:r>
      <w:rPr>
        <w:rStyle w:val="10"/>
      </w:rPr>
      <w:fldChar w:fldCharType="separate"/>
    </w:r>
    <w:r>
      <w:rPr>
        <w:rStyle w:val="10"/>
      </w:rPr>
      <w:t>8</w:t>
    </w:r>
    <w:r>
      <w:rPr>
        <w:rStyle w:val="10"/>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B77539"/>
    <w:multiLevelType w:val="singleLevel"/>
    <w:tmpl w:val="AEB77539"/>
    <w:lvl w:ilvl="0" w:tentative="0">
      <w:start w:val="4"/>
      <w:numFmt w:val="chineseCounting"/>
      <w:suff w:val="nothing"/>
      <w:lvlText w:val="(%1）"/>
      <w:lvlJc w:val="left"/>
      <w:rPr>
        <w:rFonts w:hint="eastAsia"/>
      </w:rPr>
    </w:lvl>
  </w:abstractNum>
  <w:abstractNum w:abstractNumId="1">
    <w:nsid w:val="6F9A6B2A"/>
    <w:multiLevelType w:val="singleLevel"/>
    <w:tmpl w:val="6F9A6B2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5ZjQ1NDY0MTc3Mzk2MWY3YThkNDE4YjMxOTkzMTcifQ=="/>
  </w:docVars>
  <w:rsids>
    <w:rsidRoot w:val="19076E1D"/>
    <w:rsid w:val="000429DB"/>
    <w:rsid w:val="00066060"/>
    <w:rsid w:val="000E5510"/>
    <w:rsid w:val="00675E17"/>
    <w:rsid w:val="00683AC4"/>
    <w:rsid w:val="008110CC"/>
    <w:rsid w:val="00B358C5"/>
    <w:rsid w:val="00C04C9A"/>
    <w:rsid w:val="00CB427A"/>
    <w:rsid w:val="00F500B9"/>
    <w:rsid w:val="017250A5"/>
    <w:rsid w:val="01992CBB"/>
    <w:rsid w:val="022502CD"/>
    <w:rsid w:val="05EB1609"/>
    <w:rsid w:val="074D26C2"/>
    <w:rsid w:val="07E32CEB"/>
    <w:rsid w:val="08EE0B31"/>
    <w:rsid w:val="09DA01AF"/>
    <w:rsid w:val="0A326819"/>
    <w:rsid w:val="0CBF216E"/>
    <w:rsid w:val="0D4F7752"/>
    <w:rsid w:val="0F621C35"/>
    <w:rsid w:val="0FAF3566"/>
    <w:rsid w:val="0FCB58D0"/>
    <w:rsid w:val="11427CB1"/>
    <w:rsid w:val="139E3D52"/>
    <w:rsid w:val="13D269BB"/>
    <w:rsid w:val="153624FB"/>
    <w:rsid w:val="162B4B72"/>
    <w:rsid w:val="16610551"/>
    <w:rsid w:val="18AC060B"/>
    <w:rsid w:val="19076E1D"/>
    <w:rsid w:val="1B090738"/>
    <w:rsid w:val="1B315F0C"/>
    <w:rsid w:val="1DB93368"/>
    <w:rsid w:val="1DD11B7C"/>
    <w:rsid w:val="1EBD751D"/>
    <w:rsid w:val="1EF5217E"/>
    <w:rsid w:val="1F117155"/>
    <w:rsid w:val="202F7912"/>
    <w:rsid w:val="204B45CE"/>
    <w:rsid w:val="20C35D88"/>
    <w:rsid w:val="21FD2465"/>
    <w:rsid w:val="22F22C45"/>
    <w:rsid w:val="248B21FF"/>
    <w:rsid w:val="25705B71"/>
    <w:rsid w:val="25E97E48"/>
    <w:rsid w:val="26915E24"/>
    <w:rsid w:val="2AD5250D"/>
    <w:rsid w:val="2C4176B1"/>
    <w:rsid w:val="2C4560DF"/>
    <w:rsid w:val="2C624BCB"/>
    <w:rsid w:val="2D777579"/>
    <w:rsid w:val="2DBB222D"/>
    <w:rsid w:val="31D40AAE"/>
    <w:rsid w:val="381119B2"/>
    <w:rsid w:val="39050679"/>
    <w:rsid w:val="394A0B10"/>
    <w:rsid w:val="3A22533C"/>
    <w:rsid w:val="3BD871B8"/>
    <w:rsid w:val="3CE72D17"/>
    <w:rsid w:val="3CF55A87"/>
    <w:rsid w:val="3DDF3C75"/>
    <w:rsid w:val="3F004D4B"/>
    <w:rsid w:val="401978B9"/>
    <w:rsid w:val="429A727D"/>
    <w:rsid w:val="4322216B"/>
    <w:rsid w:val="4C0B38BC"/>
    <w:rsid w:val="4C0B7195"/>
    <w:rsid w:val="4D135D42"/>
    <w:rsid w:val="4D3B293C"/>
    <w:rsid w:val="4D5C0D09"/>
    <w:rsid w:val="50102BCF"/>
    <w:rsid w:val="51B40312"/>
    <w:rsid w:val="52861DDC"/>
    <w:rsid w:val="550153AB"/>
    <w:rsid w:val="56082FB0"/>
    <w:rsid w:val="56552A05"/>
    <w:rsid w:val="57CC144D"/>
    <w:rsid w:val="62B20F12"/>
    <w:rsid w:val="633C2039"/>
    <w:rsid w:val="63973295"/>
    <w:rsid w:val="641E7445"/>
    <w:rsid w:val="65CB4DDD"/>
    <w:rsid w:val="696B50FE"/>
    <w:rsid w:val="6CE86541"/>
    <w:rsid w:val="71452C49"/>
    <w:rsid w:val="73224148"/>
    <w:rsid w:val="73584830"/>
    <w:rsid w:val="742C1313"/>
    <w:rsid w:val="772860B1"/>
    <w:rsid w:val="7AE801D6"/>
    <w:rsid w:val="7B1273BF"/>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1"/>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99"/>
  </w:style>
  <w:style w:type="character" w:customStyle="1" w:styleId="11">
    <w:name w:val="标题 2 Char"/>
    <w:basedOn w:val="9"/>
    <w:link w:val="2"/>
    <w:semiHidden/>
    <w:qFormat/>
    <w:uiPriority w:val="9"/>
    <w:rPr>
      <w:rFonts w:asciiTheme="majorHAnsi" w:hAnsiTheme="majorHAnsi" w:eastAsiaTheme="majorEastAsia" w:cstheme="majorBidi"/>
      <w:b/>
      <w:bCs/>
      <w:sz w:val="32"/>
      <w:szCs w:val="32"/>
    </w:rPr>
  </w:style>
  <w:style w:type="character" w:customStyle="1" w:styleId="12">
    <w:name w:val="页脚 Char"/>
    <w:basedOn w:val="9"/>
    <w:link w:val="5"/>
    <w:semiHidden/>
    <w:qFormat/>
    <w:uiPriority w:val="99"/>
    <w:rPr>
      <w:rFonts w:cs="Calibri"/>
      <w:sz w:val="18"/>
      <w:szCs w:val="18"/>
    </w:rPr>
  </w:style>
  <w:style w:type="character" w:customStyle="1" w:styleId="13">
    <w:name w:val="批注框文本 Char"/>
    <w:basedOn w:val="9"/>
    <w:link w:val="4"/>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2939</Words>
  <Characters>3052</Characters>
  <Lines>3</Lines>
  <Paragraphs>5</Paragraphs>
  <TotalTime>0</TotalTime>
  <ScaleCrop>false</ScaleCrop>
  <LinksUpToDate>false</LinksUpToDate>
  <CharactersWithSpaces>3122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皇家轰炸机</cp:lastModifiedBy>
  <cp:lastPrinted>2021-05-26T02:23:00Z</cp:lastPrinted>
  <dcterms:modified xsi:type="dcterms:W3CDTF">2023-05-15T08:36:16Z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F4CC2E5705DE4B47BDA039291FBAA1C3</vt:lpwstr>
  </property>
</Properties>
</file>