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珠山区采购办</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采购办</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采购办2022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采购办2022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ind w:firstLine="643" w:firstLineChars="200"/>
        <w:jc w:val="center"/>
        <w:rPr>
          <w:rFonts w:ascii="黑体" w:hAnsi="宋体" w:eastAsia="黑体" w:cs="Times New Roman"/>
          <w:b/>
          <w:bCs/>
          <w:sz w:val="32"/>
          <w:szCs w:val="32"/>
        </w:rPr>
      </w:pPr>
      <w:r>
        <w:rPr>
          <w:rFonts w:hint="eastAsia" w:ascii="黑体" w:hAnsi="宋体" w:eastAsia="黑体" w:cs="黑体"/>
          <w:b/>
          <w:bCs/>
          <w:sz w:val="32"/>
          <w:szCs w:val="32"/>
        </w:rPr>
        <w:t>第一部分</w:t>
      </w:r>
      <w:r>
        <w:rPr>
          <w:rFonts w:ascii="黑体" w:hAnsi="宋体" w:eastAsia="黑体" w:cs="黑体"/>
          <w:b/>
          <w:bCs/>
          <w:sz w:val="32"/>
          <w:szCs w:val="32"/>
        </w:rPr>
        <w:t xml:space="preserve">  </w:t>
      </w:r>
      <w:r>
        <w:rPr>
          <w:rFonts w:hint="eastAsia" w:ascii="黑体" w:hAnsi="宋体" w:eastAsia="黑体" w:cs="黑体"/>
          <w:b/>
          <w:bCs/>
          <w:sz w:val="32"/>
          <w:szCs w:val="32"/>
          <w:lang w:val="en-US" w:eastAsia="zh-CN"/>
        </w:rPr>
        <w:t>珠山区采购办</w:t>
      </w:r>
      <w:r>
        <w:rPr>
          <w:rFonts w:hint="eastAsia" w:ascii="黑体" w:hAnsi="宋体" w:eastAsia="黑体" w:cs="黑体"/>
          <w:b/>
          <w:bCs/>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napToGrid w:val="0"/>
        <w:spacing w:line="520" w:lineRule="exact"/>
        <w:ind w:firstLine="560" w:firstLineChars="200"/>
        <w:rPr>
          <w:rFonts w:hint="eastAsia" w:ascii="仿宋_GB2312" w:hAnsi="仿宋" w:eastAsia="仿宋_GB2312"/>
          <w:sz w:val="32"/>
          <w:szCs w:val="32"/>
          <w:lang w:eastAsia="zh-CN"/>
        </w:rPr>
      </w:pP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sz w:val="32"/>
          <w:szCs w:val="32"/>
        </w:rPr>
        <w:t>1．（一）认真宣传、贯彻和执行《政府采购法》及相关法律法规。</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（二）承担对政府采购实施活动的政策指导和监督管理。</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）审核批准政府采购组织形式及采购方式。</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w:t>
      </w:r>
      <w:r>
        <w:rPr>
          <w:rFonts w:hint="eastAsia" w:ascii="仿宋_GB2312" w:hAnsi="仿宋" w:eastAsia="仿宋_GB2312"/>
          <w:sz w:val="32"/>
          <w:szCs w:val="32"/>
          <w:lang w:eastAsia="zh-CN"/>
        </w:rPr>
        <w:t>四</w:t>
      </w:r>
      <w:r>
        <w:rPr>
          <w:rFonts w:hint="eastAsia" w:ascii="仿宋_GB2312" w:hAnsi="仿宋" w:eastAsia="仿宋_GB2312"/>
          <w:sz w:val="32"/>
          <w:szCs w:val="32"/>
        </w:rPr>
        <w:t>）管理政府采购信息的统计和上报工作。</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（五）处理市级政府采购的投诉事项。</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（六）监督政府采购合同执行与资金支付结算手续。</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（七）管理政府采购专家库并监督使用。</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（八）负责政府采购代理机构资格初审、上报工作。</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（九）指导政府采购工作。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（十）完成局领导交办的其他事项。</w:t>
      </w:r>
    </w:p>
    <w:p>
      <w:pPr>
        <w:pStyle w:val="7"/>
        <w:spacing w:before="225" w:beforeAutospacing="0" w:after="0" w:afterAutospacing="0"/>
        <w:ind w:firstLine="480"/>
        <w:rPr>
          <w:rFonts w:ascii="仿宋" w:hAnsi="仿宋" w:eastAsia="仿宋" w:cs="Tahoma"/>
          <w:color w:val="333333"/>
          <w:sz w:val="32"/>
          <w:szCs w:val="32"/>
        </w:rPr>
      </w:pPr>
    </w:p>
    <w:p>
      <w:pPr>
        <w:snapToGrid w:val="0"/>
        <w:spacing w:line="520" w:lineRule="exact"/>
        <w:ind w:firstLine="640" w:firstLineChars="200"/>
        <w:rPr>
          <w:rFonts w:hint="eastAsia" w:ascii="仿宋_GB2312" w:hAnsi="仿宋" w:eastAsia="仿宋_GB2312"/>
          <w:sz w:val="32"/>
          <w:szCs w:val="32"/>
        </w:rPr>
      </w:pP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珠山区采购办</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仿宋" w:eastAsia="仿宋_GB2312" w:cs="仿宋"/>
          <w:sz w:val="28"/>
          <w:szCs w:val="28"/>
        </w:rPr>
        <w:t>即</w:t>
      </w:r>
      <w:r>
        <w:rPr>
          <w:rFonts w:hint="eastAsia" w:ascii="仿宋_GB2312" w:hAnsi="仿宋" w:eastAsia="仿宋_GB2312" w:cs="仿宋"/>
          <w:sz w:val="28"/>
          <w:szCs w:val="28"/>
          <w:lang w:val="en-US" w:eastAsia="zh-CN"/>
        </w:rPr>
        <w:t>单位</w:t>
      </w:r>
      <w:r>
        <w:rPr>
          <w:rFonts w:hint="eastAsia" w:ascii="仿宋_GB2312" w:hAnsi="仿宋" w:eastAsia="仿宋_GB2312" w:cs="仿宋"/>
          <w:sz w:val="28"/>
          <w:szCs w:val="28"/>
        </w:rPr>
        <w:t>本级</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本单位为珠山区财政局的二级预算单位。</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人，其中全额补助事业编制</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jc w:val="center"/>
        <w:rPr>
          <w:rFonts w:ascii="黑体" w:hAnsi="宋体" w:eastAsia="黑体" w:cs="Times New Roman"/>
          <w:b/>
          <w:bCs/>
          <w:sz w:val="32"/>
          <w:szCs w:val="32"/>
        </w:rPr>
      </w:pPr>
      <w:r>
        <w:rPr>
          <w:rFonts w:hint="eastAsia" w:ascii="黑体" w:hAnsi="宋体" w:eastAsia="黑体" w:cs="黑体"/>
          <w:b/>
          <w:bCs/>
          <w:sz w:val="32"/>
          <w:szCs w:val="32"/>
        </w:rPr>
        <w:t>第二部分</w:t>
      </w:r>
      <w:r>
        <w:rPr>
          <w:rFonts w:ascii="黑体" w:hAnsi="宋体" w:eastAsia="黑体" w:cs="黑体"/>
          <w:b/>
          <w:bCs/>
          <w:sz w:val="32"/>
          <w:szCs w:val="32"/>
        </w:rPr>
        <w:t xml:space="preserve"> </w:t>
      </w:r>
      <w:r>
        <w:rPr>
          <w:rFonts w:hint="eastAsia" w:ascii="黑体" w:hAnsi="宋体" w:eastAsia="黑体" w:cs="黑体"/>
          <w:b/>
          <w:bCs/>
          <w:sz w:val="32"/>
          <w:szCs w:val="32"/>
          <w:lang w:eastAsia="zh-CN"/>
        </w:rPr>
        <w:t>珠山区采购办2022</w:t>
      </w:r>
      <w:r>
        <w:rPr>
          <w:rFonts w:hint="eastAsia" w:ascii="黑体" w:hAnsi="宋体" w:eastAsia="黑体" w:cs="黑体"/>
          <w:b/>
          <w:bCs/>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采购办</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无变动</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r>
        <w:rPr>
          <w:rFonts w:ascii="仿宋_GB2312" w:hAnsi="宋体" w:eastAsia="仿宋_GB2312" w:cs="仿宋_GB2312"/>
          <w:b/>
          <w:bCs/>
          <w:sz w:val="32"/>
          <w:szCs w:val="32"/>
        </w:rPr>
        <w:t xml:space="preserve"> </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采购办</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无变动</w:t>
      </w:r>
      <w:r>
        <w:rPr>
          <w:rFonts w:hint="eastAsia" w:ascii="仿宋_GB2312" w:hAnsi="宋体" w:eastAsia="仿宋_GB2312" w:cs="仿宋_GB2312"/>
          <w:sz w:val="32"/>
          <w:szCs w:val="32"/>
        </w:rPr>
        <w:t>。其中：按支出项目类别划分：</w:t>
      </w:r>
      <w:r>
        <w:rPr>
          <w:rFonts w:hint="eastAsia" w:ascii="仿宋_GB2312" w:hAnsi="宋体" w:eastAsia="仿宋_GB2312" w:cs="仿宋_GB2312"/>
          <w:sz w:val="32"/>
          <w:szCs w:val="32"/>
          <w:lang w:val="en-US" w:eastAsia="zh-CN"/>
        </w:rPr>
        <w:t>项目</w:t>
      </w:r>
      <w:bookmarkStart w:id="0" w:name="_GoBack"/>
      <w:bookmarkEnd w:id="0"/>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w:t>
      </w:r>
      <w:r>
        <w:rPr>
          <w:rFonts w:hint="eastAsia" w:ascii="仿宋_GB2312" w:hAnsi="宋体" w:eastAsia="仿宋_GB2312" w:cs="仿宋_GB2312"/>
          <w:color w:val="0000FF"/>
          <w:sz w:val="32"/>
          <w:szCs w:val="32"/>
        </w:rPr>
        <w:t>算总额的</w:t>
      </w:r>
      <w:r>
        <w:rPr>
          <w:rFonts w:hint="eastAsia" w:ascii="仿宋_GB2312" w:hAnsi="宋体" w:eastAsia="仿宋_GB2312" w:cs="仿宋_GB2312"/>
          <w:color w:val="0000FF"/>
          <w:sz w:val="32"/>
          <w:szCs w:val="32"/>
          <w:lang w:val="en-US" w:eastAsia="zh-CN"/>
        </w:rPr>
        <w:t>0</w:t>
      </w:r>
      <w:r>
        <w:rPr>
          <w:rFonts w:ascii="仿宋_GB2312" w:hAnsi="宋体" w:eastAsia="仿宋_GB2312" w:cs="仿宋_GB2312"/>
          <w:color w:val="0000FF"/>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主要原因为本单位为珠山区财政局的二级预算单位，人员支出均在财政局发放。</w:t>
      </w:r>
    </w:p>
    <w:p>
      <w:pPr>
        <w:ind w:firstLine="620" w:firstLineChars="200"/>
        <w:rPr>
          <w:rFonts w:hint="default" w:ascii="仿宋_GB2312" w:hAnsi="仿宋" w:eastAsia="仿宋_GB2312" w:cs="仿宋"/>
          <w:sz w:val="28"/>
          <w:szCs w:val="28"/>
          <w:lang w:val="en-US" w:eastAsia="zh-CN"/>
        </w:rPr>
      </w:pPr>
      <w:r>
        <w:rPr>
          <w:rFonts w:ascii="仿宋" w:hAnsi="仿宋" w:eastAsia="仿宋" w:cs="仿宋"/>
          <w:color w:val="000000"/>
          <w:kern w:val="0"/>
          <w:sz w:val="31"/>
          <w:szCs w:val="31"/>
          <w:lang w:val="en-US" w:eastAsia="zh-CN" w:bidi="ar"/>
        </w:rPr>
        <w:t>按支出功能科目划分:</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其他支出30万元，占支出预算总额的100%。</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sz w:val="28"/>
          <w:szCs w:val="28"/>
          <w:highlight w:val="none"/>
          <w:lang w:val="en-US" w:eastAsia="zh-CN"/>
        </w:rPr>
      </w:pPr>
      <w:r>
        <w:rPr>
          <w:rFonts w:hint="eastAsia" w:ascii="仿宋_GB2312" w:hAnsi="宋体" w:eastAsia="仿宋_GB2312" w:cs="仿宋_GB2312"/>
          <w:sz w:val="32"/>
          <w:szCs w:val="32"/>
        </w:rPr>
        <w:t>按支出经济分类划分：</w:t>
      </w:r>
      <w:r>
        <w:rPr>
          <w:rFonts w:hint="eastAsia" w:ascii="仿宋_GB2312" w:hAnsi="仿宋" w:eastAsia="仿宋_GB2312" w:cs="仿宋"/>
          <w:sz w:val="28"/>
          <w:szCs w:val="28"/>
          <w:lang w:val="en-US" w:eastAsia="zh-CN"/>
        </w:rPr>
        <w:t>按支出经济分类划分：工资福利支出0万元，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商品和服务支出30万元，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对个人和家庭的补助支出0万元，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0000FF"/>
          <w:sz w:val="28"/>
          <w:szCs w:val="28"/>
          <w:highlight w:val="none"/>
          <w:shd w:val="clear" w:color="auto" w:fill="auto"/>
        </w:rPr>
        <w:t>%</w:t>
      </w:r>
      <w:r>
        <w:rPr>
          <w:rFonts w:hint="eastAsia" w:ascii="仿宋_GB2312" w:hAnsi="仿宋_GB2312" w:eastAsia="仿宋_GB2312" w:cs="仿宋_GB2312"/>
          <w:color w:val="0000FF"/>
          <w:sz w:val="28"/>
          <w:szCs w:val="28"/>
          <w:highlight w:val="none"/>
          <w:shd w:val="clear" w:color="auto" w:fill="auto"/>
          <w:lang w:eastAsia="zh-CN"/>
        </w:rPr>
        <w:t>。</w:t>
      </w:r>
    </w:p>
    <w:p>
      <w:pPr>
        <w:ind w:firstLine="640" w:firstLineChars="200"/>
        <w:rPr>
          <w:rFonts w:ascii="仿宋_GB2312" w:eastAsia="仿宋_GB2312" w:cs="Times New Roman"/>
          <w:sz w:val="32"/>
          <w:szCs w:val="32"/>
        </w:rPr>
      </w:pPr>
    </w:p>
    <w:p>
      <w:pPr>
        <w:widowControl/>
        <w:spacing w:line="600" w:lineRule="exact"/>
        <w:ind w:firstLine="640"/>
        <w:jc w:val="left"/>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2022年采购办</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w:t>
      </w:r>
      <w:r>
        <w:rPr>
          <w:rFonts w:hint="eastAsia" w:ascii="仿宋_GB2312" w:hAnsi="宋体" w:eastAsia="仿宋_GB2312" w:cs="仿宋_GB2312"/>
          <w:sz w:val="32"/>
          <w:szCs w:val="32"/>
          <w:lang w:eastAsia="zh-CN"/>
        </w:rPr>
        <w:t>变动</w:t>
      </w:r>
      <w:r>
        <w:rPr>
          <w:rFonts w:hint="eastAsia" w:ascii="仿宋_GB2312" w:hAnsi="宋体" w:eastAsia="仿宋_GB2312" w:cs="仿宋_GB2312"/>
          <w:sz w:val="32"/>
          <w:szCs w:val="32"/>
        </w:rPr>
        <w:t>。具体支出情况是：</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其他支出30万元，占支出预算总额的100%。</w:t>
      </w:r>
    </w:p>
    <w:p>
      <w:pPr>
        <w:numPr>
          <w:ilvl w:val="0"/>
          <w:numId w:val="1"/>
        </w:num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机关运行经费安排情况说明</w:t>
      </w:r>
    </w:p>
    <w:p>
      <w:pPr>
        <w:numPr>
          <w:ilvl w:val="0"/>
          <w:numId w:val="0"/>
        </w:numPr>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本部门2022年度机关运行经费支出0万元，占支出预算总额的0%。本单位为财政补助事业单位，无机关运行经费。</w:t>
      </w:r>
    </w:p>
    <w:p>
      <w:pPr>
        <w:numPr>
          <w:ilvl w:val="0"/>
          <w:numId w:val="0"/>
        </w:numPr>
        <w:rPr>
          <w:rFonts w:ascii="仿宋_GB2312" w:eastAsia="仿宋_GB2312" w:cs="Times New Roman"/>
          <w:b/>
          <w:bCs/>
          <w:sz w:val="32"/>
          <w:szCs w:val="32"/>
        </w:rPr>
      </w:pPr>
      <w:r>
        <w:rPr>
          <w:rFonts w:hint="eastAsia" w:ascii="仿宋_GB2312" w:hAnsi="宋体" w:eastAsia="仿宋_GB2312" w:cs="仿宋_GB2312"/>
          <w:sz w:val="32"/>
          <w:szCs w:val="32"/>
          <w:lang w:val="en-US" w:eastAsia="zh-CN"/>
        </w:rPr>
        <w:t>（五）</w:t>
      </w:r>
      <w:r>
        <w:rPr>
          <w:rFonts w:hint="eastAsia" w:ascii="仿宋_GB2312" w:hAnsi="宋体" w:eastAsia="仿宋_GB2312" w:cs="仿宋_GB2312"/>
          <w:b/>
          <w:bCs/>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default" w:ascii="仿宋_GB2312" w:hAnsi="仿宋" w:eastAsia="仿宋_GB2312" w:cs="仿宋"/>
          <w:sz w:val="28"/>
          <w:szCs w:val="28"/>
          <w:lang w:val="en-US"/>
        </w:rPr>
      </w:pPr>
      <w:r>
        <w:rPr>
          <w:rFonts w:hint="eastAsia" w:ascii="仿宋_GB2312" w:hAnsi="仿宋" w:eastAsia="仿宋_GB2312" w:cs="仿宋"/>
          <w:sz w:val="28"/>
          <w:szCs w:val="28"/>
          <w:lang w:val="en-US" w:eastAsia="zh-CN"/>
        </w:rPr>
        <w:t>2022</w:t>
      </w:r>
      <w:r>
        <w:rPr>
          <w:rFonts w:hint="eastAsia" w:ascii="仿宋_GB2312" w:hAnsi="仿宋" w:eastAsia="仿宋_GB2312" w:cs="仿宋"/>
          <w:sz w:val="28"/>
          <w:szCs w:val="28"/>
        </w:rPr>
        <w:t>年</w:t>
      </w:r>
      <w:r>
        <w:rPr>
          <w:rFonts w:hint="eastAsia" w:ascii="仿宋_GB2312" w:hAnsi="仿宋" w:eastAsia="仿宋_GB2312" w:cs="仿宋"/>
          <w:sz w:val="28"/>
          <w:szCs w:val="28"/>
          <w:lang w:eastAsia="zh-CN"/>
        </w:rPr>
        <w:t>采购办</w:t>
      </w:r>
      <w:r>
        <w:rPr>
          <w:rFonts w:hint="eastAsia" w:ascii="仿宋_GB2312" w:hAnsi="仿宋" w:eastAsia="仿宋_GB2312" w:cs="仿宋"/>
          <w:sz w:val="28"/>
          <w:szCs w:val="28"/>
        </w:rPr>
        <w:t>政府采购预算为</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万元，其中：政府集中采购</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，部门集中采购</w:t>
      </w:r>
      <w:r>
        <w:rPr>
          <w:rFonts w:hint="eastAsia" w:ascii="仿宋_GB2312" w:hAnsi="仿宋" w:eastAsia="仿宋_GB2312" w:cs="仿宋"/>
          <w:sz w:val="28"/>
          <w:szCs w:val="28"/>
          <w:lang w:val="en-US" w:eastAsia="zh-CN"/>
        </w:rPr>
        <w:t>0万元，主要原因为本单位将于2022年进行撤销，未编制采购预算。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rPr>
        <w:t>政府基金收支情况</w:t>
      </w:r>
    </w:p>
    <w:p>
      <w:pPr>
        <w:tabs>
          <w:tab w:val="left" w:pos="1113"/>
        </w:tabs>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没有使用政府性基金预算拨款安排的支出</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七）2022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珠山区采购办</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仿宋_GB2312" w:hAnsi="仿宋" w:eastAsia="仿宋_GB2312" w:cs="仿宋"/>
          <w:sz w:val="28"/>
          <w:szCs w:val="28"/>
          <w:lang w:val="en-US"/>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仿宋" w:eastAsia="仿宋_GB2312" w:cs="仿宋"/>
          <w:sz w:val="28"/>
          <w:szCs w:val="28"/>
          <w:lang w:val="en-US" w:eastAsia="zh-CN"/>
        </w:rPr>
        <w:t>主要原因为本单位将于2022年进行撤销，未编制三公支出预算。</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w:t>
      </w:r>
      <w:r>
        <w:rPr>
          <w:rFonts w:hint="eastAsia" w:ascii="仿宋_GB2312" w:eastAsia="仿宋_GB2312"/>
          <w:color w:val="000000"/>
          <w:sz w:val="32"/>
          <w:szCs w:val="30"/>
          <w:lang w:eastAsia="zh-CN"/>
        </w:rPr>
        <w:t>预算资金为</w:t>
      </w:r>
      <w:r>
        <w:rPr>
          <w:rFonts w:hint="eastAsia" w:ascii="仿宋_GB2312" w:eastAsia="仿宋_GB2312"/>
          <w:color w:val="000000"/>
          <w:sz w:val="32"/>
          <w:szCs w:val="30"/>
          <w:lang w:val="en-US" w:eastAsia="zh-CN"/>
        </w:rPr>
        <w:t>30万元，具体情况国是：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sz w:val="28"/>
          <w:szCs w:val="28"/>
          <w:lang w:val="en-US" w:eastAsia="zh-CN"/>
        </w:rPr>
        <w:t>商品和服务支出30万元，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，绩效目标：本着节约的原则，合理使用资金，</w:t>
      </w:r>
      <w:r>
        <w:rPr>
          <w:rFonts w:hint="eastAsia" w:ascii="仿宋_GB2312" w:hAnsi="仿宋_GB2312" w:eastAsia="仿宋_GB2312" w:cs="仿宋_GB2312"/>
          <w:color w:val="auto"/>
          <w:sz w:val="28"/>
          <w:szCs w:val="28"/>
          <w:highlight w:val="none"/>
          <w:shd w:val="clear" w:color="auto" w:fill="auto"/>
          <w:lang w:val="en-US" w:eastAsia="zh-CN"/>
        </w:rPr>
        <w:t>维持本单位未撤销前的正常运行。</w:t>
      </w:r>
    </w:p>
    <w:p>
      <w:pPr>
        <w:widowControl/>
        <w:numPr>
          <w:ilvl w:val="0"/>
          <w:numId w:val="0"/>
        </w:numPr>
        <w:spacing w:line="600" w:lineRule="exact"/>
        <w:ind w:leftChars="266"/>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九</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eastAsia="zh-CN"/>
        </w:rPr>
        <w:t>十</w:t>
      </w:r>
      <w:r>
        <w:rPr>
          <w:rFonts w:hint="eastAsia" w:ascii="仿宋_GB2312" w:eastAsia="仿宋_GB2312"/>
          <w:b/>
          <w:color w:val="000000"/>
          <w:sz w:val="32"/>
          <w:szCs w:val="30"/>
        </w:rPr>
        <w:t>）一级项目中各二级项目情况说明（部门本级）</w:t>
      </w:r>
    </w:p>
    <w:p>
      <w:pPr>
        <w:ind w:firstLine="640" w:firstLineChars="200"/>
        <w:rPr>
          <w:rFonts w:hint="eastAsia" w:ascii="黑体" w:hAnsi="宋体" w:eastAsia="黑体" w:cs="黑体"/>
          <w:sz w:val="32"/>
          <w:szCs w:val="32"/>
        </w:rPr>
      </w:pPr>
      <w:r>
        <w:rPr>
          <w:rFonts w:hint="eastAsia" w:ascii="仿宋_GB2312" w:eastAsia="仿宋_GB2312"/>
          <w:color w:val="000000"/>
          <w:sz w:val="32"/>
          <w:szCs w:val="30"/>
          <w:lang w:eastAsia="zh-CN"/>
        </w:rPr>
        <w:t>无</w:t>
      </w:r>
    </w:p>
    <w:p>
      <w:pPr>
        <w:rPr>
          <w:rFonts w:hint="eastAsia" w:ascii="黑体" w:hAnsi="宋体" w:eastAsia="黑体" w:cs="黑体"/>
          <w:sz w:val="32"/>
          <w:szCs w:val="32"/>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珠山区采购办</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jc w:val="both"/>
        <w:rPr>
          <w:rFonts w:ascii="仿宋_GB2312" w:hAnsi="宋体" w:eastAsia="仿宋_GB2312" w:cs="仿宋_GB2312"/>
          <w:sz w:val="32"/>
          <w:szCs w:val="32"/>
        </w:rPr>
      </w:pPr>
    </w:p>
    <w:p>
      <w:pPr>
        <w:rPr>
          <w:rFonts w:ascii="仿宋_GB2312" w:hAnsi="宋体" w:eastAsia="仿宋_GB2312" w:cs="仿宋_GB2312"/>
          <w:sz w:val="32"/>
          <w:szCs w:val="32"/>
          <w:shd w:val="clear" w:color="FFFFFF" w:fill="D9D9D9"/>
        </w:rPr>
      </w:pPr>
    </w:p>
    <w:p>
      <w:pPr>
        <w:rPr>
          <w:rFonts w:hint="eastAsia" w:ascii="黑体" w:hAnsi="宋体" w:eastAsia="黑体" w:cs="黑体"/>
          <w:sz w:val="32"/>
          <w:szCs w:val="32"/>
        </w:rPr>
      </w:pPr>
    </w:p>
    <w:p>
      <w:pPr>
        <w:jc w:val="right"/>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val="en-US"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w:t>
      </w:r>
      <w:r>
        <w:rPr>
          <w:rFonts w:hint="default" w:ascii="仿宋_GB2312" w:hAnsi="仿宋" w:eastAsia="仿宋_GB2312" w:cs="仿宋"/>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（十一）机关事业单位基本养老保险缴费支出：反映机关事业单位实施养老保险制度由单位缴纳的基本养老保险费的支出。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p>
    <w:p>
      <w:pPr>
        <w:rPr>
          <w:rFonts w:ascii="仿宋_GB2312" w:eastAsia="仿宋_GB2312" w:cs="Times New Roman"/>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77539"/>
    <w:multiLevelType w:val="singleLevel"/>
    <w:tmpl w:val="AEB77539"/>
    <w:lvl w:ilvl="0" w:tentative="0">
      <w:start w:val="4"/>
      <w:numFmt w:val="chineseCounting"/>
      <w:suff w:val="nothing"/>
      <w:lvlText w:val="(%1）"/>
      <w:lvlJc w:val="left"/>
      <w:rPr>
        <w:rFonts w:hint="eastAsia"/>
      </w:rPr>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ZjQ1NDY0MTc3Mzk2MWY3YThkNDE4YjMxOTkzMTcifQ=="/>
  </w:docVars>
  <w:rsids>
    <w:rsidRoot w:val="19076E1D"/>
    <w:rsid w:val="000429DB"/>
    <w:rsid w:val="00066060"/>
    <w:rsid w:val="000E5510"/>
    <w:rsid w:val="00675E17"/>
    <w:rsid w:val="00683AC4"/>
    <w:rsid w:val="008110CC"/>
    <w:rsid w:val="00B358C5"/>
    <w:rsid w:val="00C04C9A"/>
    <w:rsid w:val="00CB427A"/>
    <w:rsid w:val="00F500B9"/>
    <w:rsid w:val="01992CBB"/>
    <w:rsid w:val="022502CD"/>
    <w:rsid w:val="05EB1609"/>
    <w:rsid w:val="074D26C2"/>
    <w:rsid w:val="07E32CEB"/>
    <w:rsid w:val="08EE0B31"/>
    <w:rsid w:val="09DA01AF"/>
    <w:rsid w:val="0A326819"/>
    <w:rsid w:val="0CBF216E"/>
    <w:rsid w:val="0D4F7752"/>
    <w:rsid w:val="0F621C35"/>
    <w:rsid w:val="0FAF3566"/>
    <w:rsid w:val="0FCB58D0"/>
    <w:rsid w:val="10F964D5"/>
    <w:rsid w:val="11427CB1"/>
    <w:rsid w:val="139E3D52"/>
    <w:rsid w:val="13D269BB"/>
    <w:rsid w:val="153624FB"/>
    <w:rsid w:val="162B4B72"/>
    <w:rsid w:val="16610551"/>
    <w:rsid w:val="18104098"/>
    <w:rsid w:val="18AC060B"/>
    <w:rsid w:val="19076E1D"/>
    <w:rsid w:val="1B315F0C"/>
    <w:rsid w:val="1DB93368"/>
    <w:rsid w:val="1DD11B7C"/>
    <w:rsid w:val="1EBD751D"/>
    <w:rsid w:val="1EF5217E"/>
    <w:rsid w:val="1F117155"/>
    <w:rsid w:val="202F7912"/>
    <w:rsid w:val="204B45CE"/>
    <w:rsid w:val="209563B7"/>
    <w:rsid w:val="20C35D88"/>
    <w:rsid w:val="21FD2465"/>
    <w:rsid w:val="22F22C45"/>
    <w:rsid w:val="248B21FF"/>
    <w:rsid w:val="25705B71"/>
    <w:rsid w:val="25E97E48"/>
    <w:rsid w:val="26915E24"/>
    <w:rsid w:val="2AD5250D"/>
    <w:rsid w:val="2C4176B1"/>
    <w:rsid w:val="2C4560DF"/>
    <w:rsid w:val="2C624BCB"/>
    <w:rsid w:val="2D777579"/>
    <w:rsid w:val="2DBB222D"/>
    <w:rsid w:val="31D40AAE"/>
    <w:rsid w:val="381119B2"/>
    <w:rsid w:val="39050679"/>
    <w:rsid w:val="394A0B10"/>
    <w:rsid w:val="3A22533C"/>
    <w:rsid w:val="3BD871B8"/>
    <w:rsid w:val="3CE72D17"/>
    <w:rsid w:val="3CF55A87"/>
    <w:rsid w:val="3DDF3C75"/>
    <w:rsid w:val="3F004D4B"/>
    <w:rsid w:val="401978B9"/>
    <w:rsid w:val="429A727D"/>
    <w:rsid w:val="4322216B"/>
    <w:rsid w:val="4C0B38BC"/>
    <w:rsid w:val="4C0B7195"/>
    <w:rsid w:val="4D135D42"/>
    <w:rsid w:val="4D3B293C"/>
    <w:rsid w:val="4D5C0D09"/>
    <w:rsid w:val="50102BCF"/>
    <w:rsid w:val="51B40312"/>
    <w:rsid w:val="52861DDC"/>
    <w:rsid w:val="550153AB"/>
    <w:rsid w:val="56082FB0"/>
    <w:rsid w:val="56552A05"/>
    <w:rsid w:val="57CC144D"/>
    <w:rsid w:val="62B20F12"/>
    <w:rsid w:val="633C2039"/>
    <w:rsid w:val="63973295"/>
    <w:rsid w:val="641E7445"/>
    <w:rsid w:val="65860E0D"/>
    <w:rsid w:val="65CB4DDD"/>
    <w:rsid w:val="696B50FE"/>
    <w:rsid w:val="6CE86541"/>
    <w:rsid w:val="71452C49"/>
    <w:rsid w:val="73224148"/>
    <w:rsid w:val="73584830"/>
    <w:rsid w:val="742C1313"/>
    <w:rsid w:val="772860B1"/>
    <w:rsid w:val="7AE801D6"/>
    <w:rsid w:val="7B1273BF"/>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99"/>
  </w:style>
  <w:style w:type="character" w:customStyle="1" w:styleId="11">
    <w:name w:val="标题 2 Char"/>
    <w:basedOn w:val="9"/>
    <w:link w:val="2"/>
    <w:semiHidden/>
    <w:qFormat/>
    <w:uiPriority w:val="9"/>
    <w:rPr>
      <w:rFonts w:asciiTheme="majorHAnsi" w:hAnsiTheme="majorHAnsi" w:eastAsiaTheme="majorEastAsia" w:cstheme="majorBidi"/>
      <w:b/>
      <w:bCs/>
      <w:sz w:val="32"/>
      <w:szCs w:val="32"/>
    </w:rPr>
  </w:style>
  <w:style w:type="character" w:customStyle="1" w:styleId="12">
    <w:name w:val="页脚 Char"/>
    <w:basedOn w:val="9"/>
    <w:link w:val="5"/>
    <w:semiHidden/>
    <w:qFormat/>
    <w:uiPriority w:val="99"/>
    <w:rPr>
      <w:rFonts w:cs="Calibri"/>
      <w:sz w:val="18"/>
      <w:szCs w:val="18"/>
    </w:rPr>
  </w:style>
  <w:style w:type="character" w:customStyle="1" w:styleId="13">
    <w:name w:val="批注框文本 Char"/>
    <w:basedOn w:val="9"/>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2759</Words>
  <Characters>2873</Characters>
  <Lines>3</Lines>
  <Paragraphs>5</Paragraphs>
  <TotalTime>0</TotalTime>
  <ScaleCrop>false</ScaleCrop>
  <LinksUpToDate>false</LinksUpToDate>
  <CharactersWithSpaces>2979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皇家轰炸机</cp:lastModifiedBy>
  <cp:lastPrinted>2021-05-26T02:23:00Z</cp:lastPrinted>
  <dcterms:modified xsi:type="dcterms:W3CDTF">2023-05-15T08:35:44Z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F4CC2E5705DE4B47BDA039291FBAA1C3</vt:lpwstr>
  </property>
</Properties>
</file>