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ascii="黑体" w:hAnsi="黑体" w:eastAsia="黑体" w:cs="黑体"/>
        </w:rPr>
      </w:pPr>
      <w:r>
        <w:rPr>
          <w:rFonts w:hint="eastAsia" w:ascii="黑体" w:hAnsi="黑体" w:eastAsia="黑体" w:cs="黑体"/>
        </w:rPr>
        <w:t>景德镇市珠山区人社局2022年部门预算公开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珠山区人社局概况</w:t>
      </w:r>
    </w:p>
    <w:p>
      <w:pPr>
        <w:ind w:firstLine="640" w:firstLineChars="200"/>
        <w:rPr>
          <w:rFonts w:ascii="仿宋_GB2312" w:hAnsi="宋体" w:eastAsia="仿宋_GB2312" w:cs="仿宋_GB2312"/>
          <w:sz w:val="32"/>
          <w:szCs w:val="32"/>
        </w:rPr>
      </w:pPr>
      <w:r>
        <w:rPr>
          <w:rFonts w:hint="eastAsia" w:ascii="仿宋" w:hAnsi="仿宋" w:eastAsia="仿宋" w:cs="仿宋"/>
          <w:color w:val="333333"/>
          <w:sz w:val="32"/>
          <w:szCs w:val="32"/>
          <w:shd w:val="clear" w:color="auto" w:fill="FFFFFF"/>
        </w:rPr>
        <w:t>  </w:t>
      </w:r>
      <w:r>
        <w:rPr>
          <w:rFonts w:hint="eastAsia" w:ascii="仿宋_GB2312" w:hAnsi="宋体" w:eastAsia="仿宋_GB2312" w:cs="仿宋_GB2312"/>
          <w:sz w:val="32"/>
          <w:szCs w:val="32"/>
        </w:rPr>
        <w:t>一、部门主要职责</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  二、部门机构设置情况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珠山区人社局2022年部门预算情况说明</w:t>
      </w:r>
    </w:p>
    <w:p>
      <w:pPr>
        <w:widowControl/>
        <w:shd w:val="clear" w:color="auto" w:fill="FFFFFF"/>
        <w:ind w:firstLine="640" w:firstLineChars="200"/>
        <w:jc w:val="left"/>
        <w:rPr>
          <w:rFonts w:ascii="仿宋_GB2312" w:hAnsi="微软雅黑" w:eastAsia="仿宋_GB2312" w:cs="仿宋_GB2312"/>
          <w:color w:val="000000"/>
          <w:kern w:val="0"/>
          <w:sz w:val="32"/>
          <w:szCs w:val="32"/>
          <w:shd w:val="clear" w:color="auto" w:fill="FFFFFF"/>
        </w:rPr>
      </w:pPr>
      <w:r>
        <w:rPr>
          <w:rFonts w:hint="eastAsia" w:ascii="仿宋" w:hAnsi="仿宋" w:eastAsia="仿宋" w:cs="仿宋"/>
          <w:color w:val="333333"/>
          <w:sz w:val="32"/>
          <w:szCs w:val="32"/>
          <w:shd w:val="clear" w:color="auto" w:fill="FFFFFF"/>
        </w:rPr>
        <w:t xml:space="preserve">   </w:t>
      </w:r>
      <w:r>
        <w:rPr>
          <w:rFonts w:ascii="仿宋_GB2312" w:hAnsi="微软雅黑" w:eastAsia="仿宋_GB2312" w:cs="仿宋_GB2312"/>
          <w:color w:val="000000"/>
          <w:kern w:val="0"/>
          <w:sz w:val="32"/>
          <w:szCs w:val="32"/>
          <w:shd w:val="clear" w:color="auto" w:fill="FFFFFF"/>
        </w:rPr>
        <w:t>一、</w:t>
      </w:r>
      <w:r>
        <w:rPr>
          <w:rFonts w:hint="eastAsia" w:ascii="仿宋_GB2312" w:hAnsi="微软雅黑" w:eastAsia="仿宋_GB2312" w:cs="仿宋_GB2312"/>
          <w:color w:val="000000"/>
          <w:kern w:val="0"/>
          <w:sz w:val="32"/>
          <w:szCs w:val="32"/>
          <w:shd w:val="clear" w:color="auto" w:fill="FFFFFF"/>
        </w:rPr>
        <w:t>2022</w:t>
      </w:r>
      <w:r>
        <w:rPr>
          <w:rFonts w:ascii="仿宋_GB2312" w:hAnsi="微软雅黑" w:eastAsia="仿宋_GB2312" w:cs="仿宋_GB2312"/>
          <w:color w:val="000000"/>
          <w:kern w:val="0"/>
          <w:sz w:val="32"/>
          <w:szCs w:val="32"/>
          <w:shd w:val="clear" w:color="auto" w:fill="FFFFFF"/>
        </w:rPr>
        <w:t>年部门预算收支情况说明</w:t>
      </w:r>
    </w:p>
    <w:p>
      <w:pPr>
        <w:widowControl/>
        <w:shd w:val="clear" w:color="auto" w:fill="FFFFFF"/>
        <w:ind w:firstLine="1280" w:firstLineChars="400"/>
        <w:jc w:val="left"/>
        <w:rPr>
          <w:rFonts w:ascii="仿宋_GB2312" w:eastAsia="仿宋_GB2312" w:cs="Times New Roman"/>
          <w:sz w:val="32"/>
          <w:szCs w:val="32"/>
        </w:rPr>
      </w:pPr>
      <w:r>
        <w:rPr>
          <w:rFonts w:ascii="仿宋_GB2312" w:hAnsi="微软雅黑" w:eastAsia="仿宋_GB2312" w:cs="仿宋_GB2312"/>
          <w:color w:val="000000"/>
          <w:kern w:val="0"/>
          <w:sz w:val="32"/>
          <w:szCs w:val="32"/>
          <w:shd w:val="clear" w:color="auto" w:fill="FFFFFF"/>
        </w:rPr>
        <w:t>二、</w:t>
      </w:r>
      <w:r>
        <w:rPr>
          <w:rFonts w:hint="eastAsia" w:ascii="仿宋_GB2312" w:hAnsi="微软雅黑" w:eastAsia="仿宋_GB2312" w:cs="仿宋_GB2312"/>
          <w:color w:val="000000"/>
          <w:kern w:val="0"/>
          <w:sz w:val="32"/>
          <w:szCs w:val="32"/>
          <w:shd w:val="clear" w:color="auto" w:fill="FFFFFF"/>
        </w:rPr>
        <w:t>2022</w:t>
      </w:r>
      <w:r>
        <w:rPr>
          <w:rFonts w:ascii="仿宋_GB2312" w:hAnsi="微软雅黑" w:eastAsia="仿宋_GB2312" w:cs="仿宋_GB2312"/>
          <w:color w:val="000000"/>
          <w:kern w:val="0"/>
          <w:sz w:val="32"/>
          <w:szCs w:val="32"/>
          <w:shd w:val="clear" w:color="auto" w:fill="FFFFFF"/>
        </w:rPr>
        <w:t>年</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三公</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经费</w:t>
      </w:r>
      <w:r>
        <w:rPr>
          <w:rFonts w:hint="eastAsia" w:ascii="仿宋_GB2312" w:hAnsi="微软雅黑" w:eastAsia="仿宋_GB2312" w:cs="仿宋_GB2312"/>
          <w:color w:val="000000"/>
          <w:kern w:val="0"/>
          <w:sz w:val="32"/>
          <w:szCs w:val="32"/>
          <w:shd w:val="clear" w:color="auto" w:fill="FFFFFF"/>
        </w:rPr>
        <w:t>预算情况</w:t>
      </w:r>
      <w:r>
        <w:rPr>
          <w:rFonts w:ascii="仿宋_GB2312" w:hAnsi="微软雅黑" w:eastAsia="仿宋_GB2312" w:cs="仿宋_GB2312"/>
          <w:color w:val="000000"/>
          <w:kern w:val="0"/>
          <w:sz w:val="32"/>
          <w:szCs w:val="32"/>
          <w:shd w:val="clear" w:color="auto" w:fill="FFFFFF"/>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人社局2022年部门预算表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九、《部门整体绩效目标表》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十、《一级项目绩效目标表》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珠山区人社局概况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pacing w:line="58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人社局是主管工作的区政府（区委）组成部门，主要职责是：</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（1）贯彻执行国家有关人力资源和社会保障法律、法规、方针、政策。</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（2）制定相应人力资源和社会保险政策和具体改革方案，编制全区人力资源和社会保险事业发展规划和年度工作计划并组织实施。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（3）负责人力资源和社会保险行政监察工作，加强劳动监察队伍建设，完善劳动监察制度。</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（4）组织实施全区事业单位人事制度改革。</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（5）推行国家公务员制度，按照干部管理权限，组织实施机关和事业单位干部、工人年度考核和奖惩工作。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（6）协调全区专业技术人员管理，组织专业技术职称资格评审，审批专业技术职务聘任工作。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（7）负责全区机关、事业单位工资审批、社会保险福利及工人技术等级考核工作。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（8）、管理全区职业培训、执行职业技能标准、组织职业技能竞赛。</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（9）管理全区企业社会保险工作和社会保险事业机构。</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（10）规范人力资源市场管理，合理开发、利用全区劳动力资源，开展劳动就业工作，促进人力资源的有序流动。加强人事代理和档案管理工作。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（11）负责全区科级以下干部、工人、退休人员的人事档案管理工作。</w:t>
      </w:r>
    </w:p>
    <w:p>
      <w:pPr>
        <w:snapToGrid w:val="0"/>
        <w:spacing w:line="520" w:lineRule="exact"/>
        <w:ind w:firstLine="640" w:firstLineChars="200"/>
        <w:rPr>
          <w:rFonts w:ascii="仿宋_GB2312" w:hAnsi="仿宋" w:eastAsia="仿宋_GB2312"/>
          <w:sz w:val="32"/>
          <w:szCs w:val="32"/>
        </w:rPr>
      </w:pPr>
      <w:r>
        <w:rPr>
          <w:rFonts w:hint="eastAsia" w:ascii="仿宋_GB2312" w:eastAsia="仿宋_GB2312"/>
          <w:sz w:val="32"/>
          <w:szCs w:val="32"/>
        </w:rPr>
        <w:t>（12）承办区委、区政府和上级部门交办的其它事项。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人社局共有预算单位1个，包括局本级。编制数为15人，其中行政编制5人、全额补助事业编制10人、部分补助事业编制0人、自收自支事业编制0人；实有人数17人，其中在职人数为16人，包括行政人员6人、全额补助事业人员10人、部分补助事业编人员0人、自收自支事业人员0人；离休人员1人；退休人员0人。在校学生0人，其中：高等学校0人、中等专业学校0人，其他0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人社局2022年部门预算情况说明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一、2022年部门预算收支情况说明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rPr>
        <w:t>2022年人社局收入预算总额为551.11万元，与上年预算相比减少13.39万元，原因为精简节约。其中：当年财政拨款收入551.11万元，占收入预算总额的100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；事业收入0万元，占收入预算总额的0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2022年人社局支出预算总额为551.11万元，与上年预算相比减少13.39万元，原因为精简节约。其中：按支出项目类别划分：基本支出533.11万元，占支出预算总额的96.7</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，包括工资福利支出165.35万元、商品和服务支出13.99万元、对个人和家庭的补助353.77万元、其他资本性支出0万元；项目支出18万元，占支出总额的3.3</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，包括工资福利支出0万元、商品和服务支出18万元、对个人和家庭的补助0万元、债务利息支出0万元、基本建设支出0万元、其他资本性支出0万元、其他相关支出0万元；事业经营支出0万元，占支出预算总额的0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；上缴上级支出0万元，占支出预算总额的0</w:t>
      </w:r>
      <w:r>
        <w:rPr>
          <w:rFonts w:hint="eastAsia" w:ascii="仿宋_GB2312" w:hAnsi="宋体" w:eastAsia="仿宋_GB2312" w:cs="仿宋_GB2312"/>
          <w:sz w:val="32"/>
          <w:szCs w:val="32"/>
          <w:lang w:val="en-US" w:eastAsia="zh-CN"/>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按支出功能项目科目划分：一般公共服务18万元，占支出预算总额的3.3</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；社会保障和就业支出510.39万元，占支出预算总额的92.6</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；卫生健康支出7.2万元，占支出预算总额的1.3</w:t>
      </w:r>
      <w:r>
        <w:rPr>
          <w:rFonts w:ascii="仿宋_GB2312" w:hAnsi="宋体" w:eastAsia="仿宋_GB2312" w:cs="仿宋_GB2312"/>
          <w:sz w:val="32"/>
          <w:szCs w:val="32"/>
        </w:rPr>
        <w:t>%</w:t>
      </w:r>
      <w:r>
        <w:rPr>
          <w:rFonts w:hint="eastAsia" w:ascii="仿宋_GB2312" w:hAnsi="宋体" w:eastAsia="仿宋_GB2312" w:cs="仿宋_GB2312"/>
          <w:sz w:val="32"/>
          <w:szCs w:val="32"/>
        </w:rPr>
        <w:t>；住房保障支出15.51万元，占支出预算总额的2.8</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按支出经济分类划分：工资福利支出165.35万元，占支出预算总额的30</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；商品和服务支出31.99万元，占支出预算总额的5.8</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；对个人和家庭的补助353.77万元，占支出预算总额的64.2</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2022年人社局财政拨款支出预算551.11万元，占支出预算总额的100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，与上年预算相比减少13.39万元，原因为精简节约。具体支出情况是：一般公共服务18万元，占支出预算总额的3.3</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；社会保障和就业支出510.39万元，占支出预算总额的92.6</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；卫生健康支出7.2万元，占支出预算总额的1.3</w:t>
      </w:r>
      <w:r>
        <w:rPr>
          <w:rFonts w:ascii="仿宋_GB2312" w:hAnsi="宋体" w:eastAsia="仿宋_GB2312" w:cs="仿宋_GB2312"/>
          <w:sz w:val="32"/>
          <w:szCs w:val="32"/>
        </w:rPr>
        <w:t>%</w:t>
      </w:r>
      <w:r>
        <w:rPr>
          <w:rFonts w:hint="eastAsia" w:ascii="仿宋_GB2312" w:hAnsi="宋体" w:eastAsia="仿宋_GB2312" w:cs="仿宋_GB2312"/>
          <w:sz w:val="32"/>
          <w:szCs w:val="32"/>
        </w:rPr>
        <w:t>；住房保障支出15.51万元，占支出预算总额的2.8</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2022年部门集中采购预算11万元，与上年预算对比减少50%，原因为减少办公设备购置和印刷支出。</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（六）2022年“三公”经费预算情况说明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2022年区人社局“三公”经费年初预算安排1.38万元。其中：因公出国（境）费0万元，比上年增（减）0万元，主要原因：</w:t>
      </w:r>
      <w:r>
        <w:rPr>
          <w:rFonts w:hint="eastAsia" w:ascii="仿宋_GB2312" w:eastAsia="仿宋_GB2312" w:cs="仿宋_GB2312"/>
          <w:sz w:val="32"/>
          <w:szCs w:val="32"/>
        </w:rPr>
        <w:t>精简节约</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公务接待费1.38万元，比上年减0.03万元，主要原因：</w:t>
      </w:r>
      <w:r>
        <w:rPr>
          <w:rFonts w:hint="eastAsia" w:ascii="仿宋_GB2312" w:eastAsia="仿宋_GB2312" w:cs="仿宋_GB2312"/>
          <w:sz w:val="32"/>
          <w:szCs w:val="32"/>
        </w:rPr>
        <w:t>精简节约</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公务用车运行维护费0万元，比上年增（减）0万元，主要原因：</w:t>
      </w:r>
      <w:r>
        <w:rPr>
          <w:rFonts w:hint="eastAsia" w:ascii="仿宋_GB2312" w:eastAsia="仿宋_GB2312" w:cs="仿宋_GB2312"/>
          <w:sz w:val="32"/>
          <w:szCs w:val="32"/>
          <w:lang w:eastAsia="zh-CN"/>
        </w:rPr>
        <w:t>本单位无该项支出</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公务用车购置费0万元，比上年增（减）0万元，主要原因：</w:t>
      </w:r>
      <w:r>
        <w:rPr>
          <w:rFonts w:hint="eastAsia" w:ascii="仿宋_GB2312" w:eastAsia="仿宋_GB2312" w:cs="仿宋_GB2312"/>
          <w:sz w:val="32"/>
          <w:szCs w:val="32"/>
          <w:lang w:eastAsia="zh-CN"/>
        </w:rPr>
        <w:t>本单位无该项支出</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ascii="仿宋_GB2312" w:hAnsi="宋体" w:eastAsia="仿宋_GB2312" w:cs="仿宋_GB2312"/>
          <w:b/>
          <w:bCs/>
          <w:sz w:val="32"/>
          <w:szCs w:val="32"/>
        </w:rPr>
      </w:pPr>
      <w:r>
        <w:rPr>
          <w:rFonts w:hint="eastAsia" w:ascii="仿宋_GB2312" w:eastAsia="仿宋_GB2312"/>
          <w:color w:val="000000"/>
          <w:sz w:val="32"/>
          <w:szCs w:val="30"/>
        </w:rPr>
        <w:t>2022年部门整体绩效目标551.11万元。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2022年实行绩效目标管理的一级项目1个，涉及资金     551.11万元。</w:t>
      </w:r>
    </w:p>
    <w:p>
      <w:pPr>
        <w:widowControl/>
        <w:spacing w:line="600" w:lineRule="exact"/>
        <w:ind w:firstLine="643" w:firstLineChars="200"/>
        <w:jc w:val="left"/>
        <w:rPr>
          <w:rFonts w:hint="eastAsia" w:ascii="仿宋_GB2312" w:eastAsia="仿宋_GB2312"/>
          <w:b/>
          <w:color w:val="000000"/>
          <w:sz w:val="32"/>
          <w:szCs w:val="30"/>
        </w:rPr>
      </w:pPr>
      <w:r>
        <w:rPr>
          <w:rFonts w:hint="eastAsia" w:ascii="仿宋_GB2312" w:eastAsia="仿宋_GB2312"/>
          <w:b/>
          <w:color w:val="000000"/>
          <w:sz w:val="32"/>
          <w:szCs w:val="30"/>
        </w:rPr>
        <w:t>（九）xx一级项目中各二级项目情况说明（部门本级）</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本部门无二级项目.</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珠山区</w:t>
      </w:r>
      <w:r>
        <w:rPr>
          <w:rFonts w:hint="eastAsia" w:ascii="黑体" w:hAnsi="宋体" w:eastAsia="黑体" w:cs="黑体"/>
          <w:sz w:val="32"/>
          <w:szCs w:val="32"/>
          <w:lang w:eastAsia="zh-CN"/>
        </w:rPr>
        <w:t>人社</w:t>
      </w:r>
      <w:r>
        <w:rPr>
          <w:rFonts w:hint="eastAsia" w:ascii="黑体" w:hAnsi="宋体" w:eastAsia="黑体" w:cs="黑体"/>
          <w:sz w:val="32"/>
          <w:szCs w:val="32"/>
        </w:rPr>
        <w:t>局2022年部门预算表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（七）用事业基金弥补收支差额：填列事业单位用事业基金弥补2022年收支差额的数额。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（八）上年结转和结余：填列2021年全部结转和结余的资金数，包括当年结转结余资金和历年滚存结转结余资金。</w:t>
      </w:r>
      <w:bookmarkStart w:id="0" w:name="_GoBack"/>
      <w:bookmarkEnd w:id="0"/>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对部门预算中涉及的支出功能分类科目（明细到项级），结合部门实际，参照《2022年政府收支分类科目》的规范说明进行解释。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7</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1E7DE7"/>
    <w:rsid w:val="00383285"/>
    <w:rsid w:val="003B4593"/>
    <w:rsid w:val="00432E45"/>
    <w:rsid w:val="00543DDF"/>
    <w:rsid w:val="0058629A"/>
    <w:rsid w:val="005A4315"/>
    <w:rsid w:val="00675E17"/>
    <w:rsid w:val="00683AC4"/>
    <w:rsid w:val="007E2533"/>
    <w:rsid w:val="008110CC"/>
    <w:rsid w:val="00B358C5"/>
    <w:rsid w:val="00C04C9A"/>
    <w:rsid w:val="00CB427A"/>
    <w:rsid w:val="00E928E1"/>
    <w:rsid w:val="00EE4F03"/>
    <w:rsid w:val="00F500B9"/>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5705B71"/>
    <w:rsid w:val="2DBB222D"/>
    <w:rsid w:val="31D40AAE"/>
    <w:rsid w:val="381119B2"/>
    <w:rsid w:val="3BD871B8"/>
    <w:rsid w:val="3CF55A87"/>
    <w:rsid w:val="429A727D"/>
    <w:rsid w:val="4322216B"/>
    <w:rsid w:val="4C0B38BC"/>
    <w:rsid w:val="4C0B7195"/>
    <w:rsid w:val="4D3B293C"/>
    <w:rsid w:val="51B40312"/>
    <w:rsid w:val="56552A05"/>
    <w:rsid w:val="565A6F8A"/>
    <w:rsid w:val="57CC144D"/>
    <w:rsid w:val="62B20F12"/>
    <w:rsid w:val="63973295"/>
    <w:rsid w:val="641E7445"/>
    <w:rsid w:val="6D4B622B"/>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style>
  <w:style w:type="character" w:customStyle="1" w:styleId="10">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7"/>
    <w:link w:val="5"/>
    <w:semiHidden/>
    <w:qFormat/>
    <w:uiPriority w:val="99"/>
    <w:rPr>
      <w:rFonts w:cs="Calibri"/>
      <w:sz w:val="18"/>
      <w:szCs w:val="18"/>
    </w:rPr>
  </w:style>
  <w:style w:type="character" w:customStyle="1" w:styleId="12">
    <w:name w:val="批注框文本 Char"/>
    <w:basedOn w:val="7"/>
    <w:link w:val="4"/>
    <w:semiHidden/>
    <w:qFormat/>
    <w:uiPriority w:val="99"/>
    <w:rPr>
      <w:rFonts w:ascii="Calibri" w:hAnsi="Calibri" w:cs="Calibri"/>
      <w:kern w:val="2"/>
      <w:sz w:val="18"/>
      <w:szCs w:val="18"/>
    </w:rPr>
  </w:style>
  <w:style w:type="character" w:customStyle="1" w:styleId="13">
    <w:name w:val="页眉 Char"/>
    <w:basedOn w:val="7"/>
    <w:link w:val="6"/>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427</Words>
  <Characters>2439</Characters>
  <Lines>20</Lines>
  <Paragraphs>5</Paragraphs>
  <ScaleCrop>false</ScaleCrop>
  <LinksUpToDate>false</LinksUpToDate>
  <CharactersWithSpaces>2861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2022-03-09T09:13:00Z</dcterms:created>
  <dc:creator>Administrator</dc:creator>
  <cp:lastModifiedBy>WHGX</cp:lastModifiedBy>
  <cp:lastPrinted>2021-05-26T02:23:00Z</cp:lastPrinted>
  <dcterms:modified xsi:type="dcterms:W3CDTF">2023-05-06T08:19:30Z</dcterms:modified>
  <dc:title>附件2：2018年市级部门预算说明和预算公开表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F4CC2E5705DE4B47BDA039291FBAA1C3</vt:lpwstr>
  </property>
</Properties>
</file>