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color w:val="auto"/>
          <w:sz w:val="32"/>
          <w:szCs w:val="32"/>
        </w:rPr>
      </w:pPr>
      <w:r>
        <w:rPr>
          <w:rFonts w:hint="eastAsia" w:ascii="楷体_GB2312" w:hAnsi="仿宋" w:eastAsia="楷体_GB2312" w:cs="楷体_GB2312"/>
          <w:color w:val="auto"/>
          <w:sz w:val="32"/>
          <w:szCs w:val="32"/>
        </w:rPr>
        <w:t>附件：</w:t>
      </w:r>
    </w:p>
    <w:p>
      <w:pPr>
        <w:pStyle w:val="3"/>
        <w:spacing w:before="0" w:after="0" w:line="240" w:lineRule="auto"/>
        <w:jc w:val="center"/>
        <w:rPr>
          <w:rFonts w:hint="eastAsia" w:ascii="黑体" w:hAnsi="黑体" w:eastAsia="黑体" w:cs="黑体"/>
          <w:color w:val="auto"/>
          <w:lang w:val="en-US" w:eastAsia="zh-CN"/>
        </w:rPr>
      </w:pPr>
      <w:r>
        <w:rPr>
          <w:rFonts w:hint="eastAsia" w:ascii="黑体" w:hAnsi="黑体" w:eastAsia="黑体" w:cs="黑体"/>
          <w:color w:val="auto"/>
        </w:rPr>
        <w:t>景德镇市</w:t>
      </w:r>
      <w:r>
        <w:rPr>
          <w:rFonts w:hint="eastAsia" w:ascii="黑体" w:hAnsi="黑体" w:eastAsia="黑体" w:cs="黑体"/>
          <w:color w:val="auto"/>
          <w:lang w:val="en-US" w:eastAsia="zh-CN"/>
        </w:rPr>
        <w:t>珠山区医疗保障局</w:t>
      </w:r>
      <w:r>
        <w:rPr>
          <w:rFonts w:hint="eastAsia" w:ascii="黑体" w:hAnsi="黑体" w:eastAsia="黑体" w:cs="黑体"/>
          <w:color w:val="auto"/>
          <w:lang w:eastAsia="zh-CN"/>
        </w:rPr>
        <w:t>2022</w:t>
      </w:r>
      <w:r>
        <w:rPr>
          <w:rFonts w:hint="eastAsia" w:ascii="黑体" w:hAnsi="黑体" w:eastAsia="黑体" w:cs="黑体"/>
          <w:color w:val="auto"/>
        </w:rPr>
        <w:t>年部门预算</w:t>
      </w:r>
      <w:r>
        <w:rPr>
          <w:rFonts w:hint="eastAsia" w:ascii="黑体" w:hAnsi="黑体" w:eastAsia="黑体" w:cs="黑体"/>
          <w:color w:val="auto"/>
          <w:lang w:val="en-US" w:eastAsia="zh-CN"/>
        </w:rPr>
        <w:t>公开</w:t>
      </w:r>
    </w:p>
    <w:p>
      <w:pPr>
        <w:pStyle w:val="3"/>
        <w:spacing w:before="0" w:after="0" w:line="240" w:lineRule="auto"/>
        <w:jc w:val="center"/>
        <w:rPr>
          <w:rFonts w:ascii="仿宋_GB2312" w:hAnsi="仿宋" w:eastAsia="仿宋_GB2312" w:cs="Times New Roman"/>
          <w:b/>
          <w:bCs/>
          <w:color w:val="auto"/>
          <w:sz w:val="32"/>
          <w:szCs w:val="32"/>
        </w:rPr>
      </w:pPr>
      <w:r>
        <w:rPr>
          <w:rFonts w:hint="eastAsia" w:ascii="仿宋_GB2312" w:hAnsi="仿宋" w:eastAsia="仿宋_GB2312" w:cs="仿宋_GB2312"/>
          <w:b/>
          <w:bCs/>
          <w:color w:val="auto"/>
          <w:sz w:val="32"/>
          <w:szCs w:val="32"/>
        </w:rPr>
        <w:t>目</w:t>
      </w:r>
      <w:r>
        <w:rPr>
          <w:rFonts w:ascii="仿宋_GB2312" w:hAnsi="仿宋" w:eastAsia="仿宋_GB2312" w:cs="仿宋_GB2312"/>
          <w:b/>
          <w:bCs/>
          <w:color w:val="auto"/>
          <w:sz w:val="32"/>
          <w:szCs w:val="32"/>
        </w:rPr>
        <w:t xml:space="preserve">   </w:t>
      </w:r>
      <w:r>
        <w:rPr>
          <w:rFonts w:hint="eastAsia" w:ascii="仿宋_GB2312" w:hAnsi="仿宋" w:eastAsia="仿宋_GB2312" w:cs="仿宋_GB2312"/>
          <w:b/>
          <w:bCs/>
          <w:color w:val="auto"/>
          <w:sz w:val="32"/>
          <w:szCs w:val="32"/>
        </w:rPr>
        <w:t>录</w:t>
      </w:r>
    </w:p>
    <w:p>
      <w:pPr>
        <w:ind w:firstLine="640" w:firstLineChars="200"/>
        <w:rPr>
          <w:rFonts w:ascii="黑体" w:eastAsia="黑体" w:cs="Times New Roman"/>
          <w:color w:val="auto"/>
          <w:sz w:val="32"/>
          <w:szCs w:val="32"/>
        </w:rPr>
      </w:pPr>
      <w:r>
        <w:rPr>
          <w:rFonts w:hint="eastAsia" w:ascii="黑体" w:hAnsi="宋体" w:eastAsia="黑体" w:cs="黑体"/>
          <w:color w:val="auto"/>
          <w:sz w:val="32"/>
          <w:szCs w:val="32"/>
        </w:rPr>
        <w:t>第一部分</w:t>
      </w:r>
      <w:r>
        <w:rPr>
          <w:rFonts w:ascii="黑体" w:hAnsi="宋体" w:eastAsia="黑体" w:cs="黑体"/>
          <w:color w:val="auto"/>
          <w:sz w:val="32"/>
          <w:szCs w:val="32"/>
        </w:rPr>
        <w:t xml:space="preserve"> </w:t>
      </w:r>
      <w:r>
        <w:rPr>
          <w:rFonts w:hint="eastAsia" w:ascii="黑体" w:hAnsi="宋体" w:eastAsia="黑体" w:cs="黑体"/>
          <w:color w:val="auto"/>
          <w:sz w:val="32"/>
          <w:szCs w:val="32"/>
          <w:lang w:val="en-US" w:eastAsia="zh-CN"/>
        </w:rPr>
        <w:t>珠山区</w:t>
      </w:r>
      <w:r>
        <w:rPr>
          <w:rFonts w:hint="eastAsia" w:ascii="黑体" w:hAnsi="宋体" w:eastAsia="黑体" w:cs="黑体"/>
          <w:color w:val="auto"/>
          <w:sz w:val="32"/>
          <w:szCs w:val="32"/>
          <w:lang w:eastAsia="zh-CN"/>
        </w:rPr>
        <w:t>医疗保障局</w:t>
      </w:r>
      <w:r>
        <w:rPr>
          <w:rFonts w:hint="eastAsia" w:ascii="黑体" w:hAnsi="宋体" w:eastAsia="黑体" w:cs="黑体"/>
          <w:color w:val="auto"/>
          <w:sz w:val="32"/>
          <w:szCs w:val="32"/>
        </w:rPr>
        <w:t>概况</w:t>
      </w:r>
    </w:p>
    <w:p>
      <w:pPr>
        <w:ind w:firstLine="640" w:firstLineChars="200"/>
        <w:rPr>
          <w:rFonts w:hint="eastAsia" w:ascii="仿宋_GB2312" w:hAnsi="宋体" w:eastAsia="仿宋_GB2312" w:cs="仿宋_GB2312"/>
          <w:color w:val="auto"/>
          <w:sz w:val="32"/>
          <w:szCs w:val="32"/>
        </w:rPr>
      </w:pPr>
      <w:r>
        <w:rPr>
          <w:rFonts w:hint="eastAsia" w:ascii="仿宋" w:hAnsi="仿宋" w:eastAsia="仿宋" w:cs="仿宋"/>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lang w:val="en-US" w:eastAsia="zh-CN"/>
        </w:rPr>
        <w:t xml:space="preserve">  </w:t>
      </w:r>
      <w:r>
        <w:rPr>
          <w:rFonts w:hint="eastAsia" w:ascii="仿宋_GB2312" w:hAnsi="宋体" w:eastAsia="仿宋_GB2312" w:cs="仿宋_GB2312"/>
          <w:color w:val="auto"/>
          <w:sz w:val="32"/>
          <w:szCs w:val="32"/>
        </w:rPr>
        <w:t>一、部门主要职责</w:t>
      </w:r>
    </w:p>
    <w:p>
      <w:pPr>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  二、</w:t>
      </w:r>
      <w:r>
        <w:rPr>
          <w:rFonts w:hint="eastAsia" w:ascii="仿宋_GB2312" w:hAnsi="宋体" w:eastAsia="仿宋_GB2312" w:cs="仿宋_GB2312"/>
          <w:color w:val="auto"/>
          <w:sz w:val="32"/>
          <w:szCs w:val="32"/>
          <w:lang w:eastAsia="zh-CN"/>
        </w:rPr>
        <w:t>部门</w:t>
      </w:r>
      <w:r>
        <w:rPr>
          <w:rFonts w:hint="eastAsia" w:ascii="仿宋_GB2312" w:hAnsi="宋体" w:eastAsia="仿宋_GB2312" w:cs="仿宋_GB2312"/>
          <w:color w:val="auto"/>
          <w:sz w:val="32"/>
          <w:szCs w:val="32"/>
          <w:lang w:val="en-US" w:eastAsia="zh-CN"/>
        </w:rPr>
        <w:t>机构设置情况</w:t>
      </w:r>
    </w:p>
    <w:p>
      <w:pPr>
        <w:ind w:firstLine="640" w:firstLineChars="200"/>
        <w:rPr>
          <w:rFonts w:ascii="黑体" w:hAnsi="宋体" w:eastAsia="黑体" w:cs="Times New Roman"/>
          <w:color w:val="auto"/>
          <w:sz w:val="32"/>
          <w:szCs w:val="32"/>
        </w:rPr>
      </w:pPr>
      <w:r>
        <w:rPr>
          <w:rFonts w:hint="eastAsia" w:ascii="黑体" w:hAnsi="宋体" w:eastAsia="黑体" w:cs="黑体"/>
          <w:color w:val="auto"/>
          <w:sz w:val="32"/>
          <w:szCs w:val="32"/>
        </w:rPr>
        <w:t>第二部分</w:t>
      </w:r>
      <w:r>
        <w:rPr>
          <w:rFonts w:ascii="黑体" w:hAnsi="宋体" w:eastAsia="黑体" w:cs="黑体"/>
          <w:color w:val="auto"/>
          <w:sz w:val="32"/>
          <w:szCs w:val="32"/>
        </w:rPr>
        <w:t xml:space="preserve"> </w:t>
      </w:r>
      <w:r>
        <w:rPr>
          <w:rFonts w:hint="eastAsia" w:ascii="黑体" w:hAnsi="宋体" w:eastAsia="黑体" w:cs="黑体"/>
          <w:color w:val="auto"/>
          <w:sz w:val="32"/>
          <w:szCs w:val="32"/>
          <w:lang w:val="en-US" w:eastAsia="zh-CN"/>
        </w:rPr>
        <w:t>珠山区</w:t>
      </w:r>
      <w:r>
        <w:rPr>
          <w:rFonts w:hint="eastAsia" w:ascii="黑体" w:hAnsi="宋体" w:eastAsia="黑体" w:cs="黑体"/>
          <w:color w:val="auto"/>
          <w:sz w:val="32"/>
          <w:szCs w:val="32"/>
          <w:lang w:eastAsia="zh-CN"/>
        </w:rPr>
        <w:t>医疗保障局2022</w:t>
      </w:r>
      <w:r>
        <w:rPr>
          <w:rFonts w:hint="eastAsia" w:ascii="黑体" w:hAnsi="宋体" w:eastAsia="黑体" w:cs="黑体"/>
          <w:color w:val="auto"/>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lang w:val="en-US" w:eastAsia="zh-CN"/>
        </w:rPr>
        <w:t xml:space="preserve">   </w:t>
      </w:r>
      <w:r>
        <w:rPr>
          <w:rFonts w:hint="default" w:ascii="仿宋_GB2312" w:hAnsi="微软雅黑" w:eastAsia="仿宋_GB2312" w:cs="仿宋_GB2312"/>
          <w:i w:val="0"/>
          <w:caps w:val="0"/>
          <w:color w:val="auto"/>
          <w:spacing w:val="0"/>
          <w:kern w:val="0"/>
          <w:sz w:val="32"/>
          <w:szCs w:val="32"/>
          <w:shd w:val="clear" w:fill="FFFFFF"/>
          <w:lang w:val="en-US" w:eastAsia="zh-CN" w:bidi="ar"/>
        </w:rPr>
        <w:t>一、</w:t>
      </w:r>
      <w:r>
        <w:rPr>
          <w:rFonts w:hint="eastAsia" w:ascii="仿宋_GB2312" w:hAnsi="微软雅黑" w:eastAsia="仿宋_GB2312" w:cs="仿宋_GB2312"/>
          <w:i w:val="0"/>
          <w:caps w:val="0"/>
          <w:color w:val="auto"/>
          <w:spacing w:val="0"/>
          <w:kern w:val="0"/>
          <w:sz w:val="32"/>
          <w:szCs w:val="32"/>
          <w:shd w:val="clear" w:fill="FFFFFF"/>
          <w:lang w:val="en-US" w:eastAsia="zh-CN" w:bidi="ar"/>
        </w:rPr>
        <w:t>2022</w:t>
      </w:r>
      <w:r>
        <w:rPr>
          <w:rFonts w:hint="default" w:ascii="仿宋_GB2312" w:hAnsi="微软雅黑" w:eastAsia="仿宋_GB2312" w:cs="仿宋_GB2312"/>
          <w:i w:val="0"/>
          <w:caps w:val="0"/>
          <w:color w:val="auto"/>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color w:val="auto"/>
          <w:sz w:val="32"/>
          <w:szCs w:val="32"/>
        </w:rPr>
      </w:pPr>
      <w:r>
        <w:rPr>
          <w:rFonts w:hint="default" w:ascii="仿宋_GB2312" w:hAnsi="微软雅黑" w:eastAsia="仿宋_GB2312" w:cs="仿宋_GB2312"/>
          <w:i w:val="0"/>
          <w:caps w:val="0"/>
          <w:color w:val="auto"/>
          <w:spacing w:val="0"/>
          <w:kern w:val="0"/>
          <w:sz w:val="32"/>
          <w:szCs w:val="32"/>
          <w:shd w:val="clear" w:fill="FFFFFF"/>
          <w:lang w:val="en-US" w:eastAsia="zh-CN" w:bidi="ar"/>
        </w:rPr>
        <w:t>二、</w:t>
      </w:r>
      <w:r>
        <w:rPr>
          <w:rFonts w:hint="eastAsia" w:ascii="仿宋_GB2312" w:hAnsi="微软雅黑" w:eastAsia="仿宋_GB2312" w:cs="仿宋_GB2312"/>
          <w:i w:val="0"/>
          <w:caps w:val="0"/>
          <w:color w:val="auto"/>
          <w:spacing w:val="0"/>
          <w:kern w:val="0"/>
          <w:sz w:val="32"/>
          <w:szCs w:val="32"/>
          <w:shd w:val="clear" w:fill="FFFFFF"/>
          <w:lang w:val="en-US" w:eastAsia="zh-CN" w:bidi="ar"/>
        </w:rPr>
        <w:t>2022</w:t>
      </w:r>
      <w:r>
        <w:rPr>
          <w:rFonts w:hint="default" w:ascii="仿宋_GB2312" w:hAnsi="微软雅黑" w:eastAsia="仿宋_GB2312" w:cs="仿宋_GB2312"/>
          <w:i w:val="0"/>
          <w:caps w:val="0"/>
          <w:color w:val="auto"/>
          <w:spacing w:val="0"/>
          <w:kern w:val="0"/>
          <w:sz w:val="32"/>
          <w:szCs w:val="32"/>
          <w:shd w:val="clear" w:fill="FFFFFF"/>
          <w:lang w:val="en-US" w:eastAsia="zh-CN" w:bidi="ar"/>
        </w:rPr>
        <w:t>年</w:t>
      </w:r>
      <w:r>
        <w:rPr>
          <w:rFonts w:hint="eastAsia" w:ascii="仿宋_GB2312" w:hAnsi="微软雅黑" w:eastAsia="仿宋_GB2312" w:cs="仿宋_GB2312"/>
          <w:i w:val="0"/>
          <w:caps w:val="0"/>
          <w:color w:val="auto"/>
          <w:spacing w:val="0"/>
          <w:kern w:val="0"/>
          <w:sz w:val="32"/>
          <w:szCs w:val="32"/>
          <w:shd w:val="clear" w:fill="FFFFFF"/>
          <w:lang w:val="en-US" w:eastAsia="zh-CN" w:bidi="ar"/>
        </w:rPr>
        <w:t>“</w:t>
      </w:r>
      <w:r>
        <w:rPr>
          <w:rFonts w:hint="default" w:ascii="仿宋_GB2312" w:hAnsi="微软雅黑" w:eastAsia="仿宋_GB2312" w:cs="仿宋_GB2312"/>
          <w:i w:val="0"/>
          <w:caps w:val="0"/>
          <w:color w:val="auto"/>
          <w:spacing w:val="0"/>
          <w:kern w:val="0"/>
          <w:sz w:val="32"/>
          <w:szCs w:val="32"/>
          <w:shd w:val="clear" w:fill="FFFFFF"/>
          <w:lang w:val="en-US" w:eastAsia="zh-CN" w:bidi="ar"/>
        </w:rPr>
        <w:t>三公</w:t>
      </w:r>
      <w:r>
        <w:rPr>
          <w:rFonts w:hint="eastAsia" w:ascii="仿宋_GB2312" w:hAnsi="微软雅黑" w:eastAsia="仿宋_GB2312" w:cs="仿宋_GB2312"/>
          <w:i w:val="0"/>
          <w:caps w:val="0"/>
          <w:color w:val="auto"/>
          <w:spacing w:val="0"/>
          <w:kern w:val="0"/>
          <w:sz w:val="32"/>
          <w:szCs w:val="32"/>
          <w:shd w:val="clear" w:fill="FFFFFF"/>
          <w:lang w:val="en-US" w:eastAsia="zh-CN" w:bidi="ar"/>
        </w:rPr>
        <w:t>”</w:t>
      </w:r>
      <w:r>
        <w:rPr>
          <w:rFonts w:hint="default" w:ascii="仿宋_GB2312" w:hAnsi="微软雅黑" w:eastAsia="仿宋_GB2312" w:cs="仿宋_GB2312"/>
          <w:i w:val="0"/>
          <w:caps w:val="0"/>
          <w:color w:val="auto"/>
          <w:spacing w:val="0"/>
          <w:kern w:val="0"/>
          <w:sz w:val="32"/>
          <w:szCs w:val="32"/>
          <w:shd w:val="clear" w:fill="FFFFFF"/>
          <w:lang w:val="en-US" w:eastAsia="zh-CN" w:bidi="ar"/>
        </w:rPr>
        <w:t>经费</w:t>
      </w:r>
      <w:r>
        <w:rPr>
          <w:rFonts w:hint="eastAsia" w:ascii="仿宋_GB2312" w:hAnsi="微软雅黑" w:eastAsia="仿宋_GB2312" w:cs="仿宋_GB2312"/>
          <w:i w:val="0"/>
          <w:caps w:val="0"/>
          <w:color w:val="auto"/>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auto"/>
          <w:spacing w:val="0"/>
          <w:kern w:val="0"/>
          <w:sz w:val="32"/>
          <w:szCs w:val="32"/>
          <w:shd w:val="clear" w:fill="FFFFFF"/>
          <w:lang w:val="en-US" w:eastAsia="zh-CN" w:bidi="ar"/>
        </w:rPr>
        <w:t>说明</w:t>
      </w:r>
    </w:p>
    <w:p>
      <w:pPr>
        <w:ind w:firstLine="640" w:firstLineChars="200"/>
        <w:rPr>
          <w:rFonts w:ascii="黑体" w:hAnsi="宋体" w:eastAsia="黑体" w:cs="Times New Roman"/>
          <w:color w:val="auto"/>
          <w:sz w:val="32"/>
          <w:szCs w:val="32"/>
        </w:rPr>
      </w:pPr>
      <w:r>
        <w:rPr>
          <w:rFonts w:hint="eastAsia" w:ascii="黑体" w:hAnsi="宋体" w:eastAsia="黑体" w:cs="黑体"/>
          <w:color w:val="auto"/>
          <w:sz w:val="32"/>
          <w:szCs w:val="32"/>
        </w:rPr>
        <w:t>第三部分</w:t>
      </w:r>
      <w:r>
        <w:rPr>
          <w:rFonts w:ascii="黑体" w:hAnsi="宋体" w:eastAsia="黑体" w:cs="黑体"/>
          <w:color w:val="auto"/>
          <w:sz w:val="32"/>
          <w:szCs w:val="32"/>
        </w:rPr>
        <w:t xml:space="preserve"> </w:t>
      </w:r>
      <w:r>
        <w:rPr>
          <w:rFonts w:hint="eastAsia" w:ascii="黑体" w:hAnsi="宋体" w:eastAsia="黑体" w:cs="黑体"/>
          <w:color w:val="auto"/>
          <w:sz w:val="32"/>
          <w:szCs w:val="32"/>
          <w:lang w:val="en-US" w:eastAsia="zh-CN"/>
        </w:rPr>
        <w:t>珠山区</w:t>
      </w:r>
      <w:r>
        <w:rPr>
          <w:rFonts w:hint="eastAsia" w:ascii="黑体" w:hAnsi="宋体" w:eastAsia="黑体" w:cs="黑体"/>
          <w:color w:val="auto"/>
          <w:sz w:val="32"/>
          <w:szCs w:val="32"/>
          <w:lang w:eastAsia="zh-CN"/>
        </w:rPr>
        <w:t>医疗保障局2022</w:t>
      </w:r>
      <w:r>
        <w:rPr>
          <w:rFonts w:hint="eastAsia" w:ascii="黑体" w:hAnsi="宋体" w:eastAsia="黑体" w:cs="黑体"/>
          <w:color w:val="auto"/>
          <w:sz w:val="32"/>
          <w:szCs w:val="32"/>
        </w:rPr>
        <w:t>年部门预算表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一、《收支预算总表》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二、《部门收入总表》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三、《部门支出总表》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四、《财政拨款收支总表》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五、《一般公共预算支出表》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六、《一般公共预算基本支出表》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七、《一般公共预算“三公”经费支出表》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八、《政府性基金预算支出表》</w:t>
      </w:r>
    </w:p>
    <w:p>
      <w:pPr>
        <w:ind w:firstLine="1280" w:firstLineChars="4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九、《</w:t>
      </w:r>
      <w:r>
        <w:rPr>
          <w:rFonts w:hint="eastAsia" w:ascii="仿宋_GB2312" w:hAnsi="宋体" w:eastAsia="仿宋_GB2312" w:cs="仿宋_GB2312"/>
          <w:color w:val="auto"/>
          <w:sz w:val="32"/>
          <w:szCs w:val="32"/>
          <w:lang w:eastAsia="zh-CN"/>
        </w:rPr>
        <w:t>部门整体</w:t>
      </w:r>
      <w:r>
        <w:rPr>
          <w:rFonts w:hint="eastAsia" w:ascii="仿宋_GB2312" w:hAnsi="宋体" w:eastAsia="仿宋_GB2312" w:cs="仿宋_GB2312"/>
          <w:color w:val="auto"/>
          <w:sz w:val="32"/>
          <w:szCs w:val="32"/>
        </w:rPr>
        <w:t>绩效目标表》</w:t>
      </w:r>
    </w:p>
    <w:p>
      <w:pPr>
        <w:ind w:firstLine="1280" w:firstLineChars="4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十、《</w:t>
      </w:r>
      <w:r>
        <w:rPr>
          <w:rFonts w:hint="eastAsia" w:ascii="仿宋_GB2312" w:hAnsi="宋体" w:eastAsia="仿宋_GB2312" w:cs="仿宋_GB2312"/>
          <w:color w:val="auto"/>
          <w:sz w:val="32"/>
          <w:szCs w:val="32"/>
        </w:rPr>
        <w:t>一级项目绩效目标表》</w:t>
      </w:r>
    </w:p>
    <w:p>
      <w:pPr>
        <w:ind w:firstLine="640"/>
        <w:rPr>
          <w:rFonts w:hint="eastAsia" w:ascii="黑体" w:hAnsi="宋体" w:eastAsia="黑体" w:cs="黑体"/>
          <w:color w:val="auto"/>
          <w:sz w:val="32"/>
          <w:szCs w:val="32"/>
        </w:rPr>
      </w:pPr>
      <w:r>
        <w:rPr>
          <w:rFonts w:hint="eastAsia" w:ascii="黑体" w:hAnsi="宋体" w:eastAsia="黑体" w:cs="黑体"/>
          <w:color w:val="auto"/>
          <w:sz w:val="32"/>
          <w:szCs w:val="32"/>
        </w:rPr>
        <w:t>第四部分</w:t>
      </w:r>
      <w:r>
        <w:rPr>
          <w:rFonts w:ascii="黑体" w:hAnsi="宋体" w:eastAsia="黑体" w:cs="黑体"/>
          <w:color w:val="auto"/>
          <w:sz w:val="32"/>
          <w:szCs w:val="32"/>
        </w:rPr>
        <w:t xml:space="preserve"> </w:t>
      </w:r>
      <w:r>
        <w:rPr>
          <w:rFonts w:hint="eastAsia" w:ascii="黑体" w:hAnsi="宋体" w:eastAsia="黑体" w:cs="黑体"/>
          <w:color w:val="auto"/>
          <w:sz w:val="32"/>
          <w:szCs w:val="32"/>
        </w:rPr>
        <w:t>名词解释</w:t>
      </w:r>
    </w:p>
    <w:p>
      <w:pPr>
        <w:ind w:firstLine="640"/>
        <w:rPr>
          <w:rFonts w:hint="eastAsia" w:ascii="黑体" w:hAnsi="宋体" w:eastAsia="黑体" w:cs="黑体"/>
          <w:color w:val="auto"/>
          <w:sz w:val="32"/>
          <w:szCs w:val="32"/>
        </w:rPr>
      </w:pPr>
    </w:p>
    <w:p>
      <w:pPr>
        <w:rPr>
          <w:rFonts w:hint="eastAsia" w:ascii="黑体" w:hAnsi="宋体" w:eastAsia="黑体" w:cs="黑体"/>
          <w:color w:val="auto"/>
          <w:sz w:val="32"/>
          <w:szCs w:val="32"/>
        </w:rPr>
      </w:pPr>
    </w:p>
    <w:p>
      <w:pPr>
        <w:ind w:firstLine="643" w:firstLineChars="200"/>
        <w:jc w:val="center"/>
        <w:rPr>
          <w:rFonts w:ascii="黑体" w:hAnsi="宋体" w:eastAsia="黑体" w:cs="Times New Roman"/>
          <w:b/>
          <w:bCs/>
          <w:color w:val="auto"/>
          <w:sz w:val="32"/>
          <w:szCs w:val="32"/>
        </w:rPr>
      </w:pPr>
      <w:r>
        <w:rPr>
          <w:rFonts w:hint="eastAsia" w:ascii="黑体" w:hAnsi="宋体" w:eastAsia="黑体" w:cs="黑体"/>
          <w:b/>
          <w:bCs/>
          <w:color w:val="auto"/>
          <w:sz w:val="32"/>
          <w:szCs w:val="32"/>
        </w:rPr>
        <w:t>第一部分</w:t>
      </w:r>
      <w:r>
        <w:rPr>
          <w:rFonts w:ascii="黑体" w:hAnsi="宋体" w:eastAsia="黑体" w:cs="黑体"/>
          <w:b/>
          <w:bCs/>
          <w:color w:val="auto"/>
          <w:sz w:val="32"/>
          <w:szCs w:val="32"/>
        </w:rPr>
        <w:t xml:space="preserve">  </w:t>
      </w:r>
      <w:r>
        <w:rPr>
          <w:rFonts w:hint="eastAsia" w:ascii="黑体" w:hAnsi="宋体" w:eastAsia="黑体" w:cs="黑体"/>
          <w:b/>
          <w:bCs/>
          <w:color w:val="auto"/>
          <w:sz w:val="32"/>
          <w:szCs w:val="32"/>
          <w:lang w:val="en-US" w:eastAsia="zh-CN"/>
        </w:rPr>
        <w:t>珠山区珠山区医疗保障局</w:t>
      </w:r>
      <w:r>
        <w:rPr>
          <w:rFonts w:hint="eastAsia" w:ascii="黑体" w:hAnsi="宋体" w:eastAsia="黑体" w:cs="黑体"/>
          <w:b/>
          <w:bCs/>
          <w:color w:val="auto"/>
          <w:sz w:val="32"/>
          <w:szCs w:val="32"/>
        </w:rPr>
        <w:t>概况</w:t>
      </w:r>
    </w:p>
    <w:p>
      <w:pPr>
        <w:ind w:firstLine="628" w:firstLineChars="196"/>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一、部门主要职责</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color w:val="auto"/>
          <w:kern w:val="2"/>
          <w:sz w:val="28"/>
          <w:szCs w:val="28"/>
        </w:rPr>
      </w:pPr>
      <w:r>
        <w:rPr>
          <w:rFonts w:hint="eastAsia" w:ascii="仿宋_GB2312" w:hAnsi="仿宋" w:eastAsia="仿宋_GB2312" w:cs="仿宋"/>
          <w:color w:val="auto"/>
          <w:kern w:val="2"/>
          <w:sz w:val="28"/>
          <w:szCs w:val="28"/>
          <w:lang w:val="en-US" w:eastAsia="zh-CN"/>
        </w:rPr>
        <w:t xml:space="preserve"> </w:t>
      </w:r>
      <w:r>
        <w:rPr>
          <w:rFonts w:hint="eastAsia" w:ascii="仿宋_GB2312" w:hAnsi="仿宋" w:eastAsia="仿宋_GB2312" w:cs="仿宋"/>
          <w:color w:val="auto"/>
          <w:kern w:val="2"/>
          <w:sz w:val="28"/>
          <w:szCs w:val="28"/>
        </w:rPr>
        <w:t>（一）贯彻执行国家医疗保障制度的法律法规、政策、规划和标准以及省、市、区有关医疗保险、生育保险、医疗救助等医疗保障制度的地方性法规、政府规章，研究拟订相关实施细则并组织实施。</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color w:val="auto"/>
          <w:kern w:val="2"/>
          <w:sz w:val="28"/>
          <w:szCs w:val="28"/>
        </w:rPr>
      </w:pPr>
      <w:r>
        <w:rPr>
          <w:rFonts w:hint="eastAsia" w:ascii="仿宋_GB2312" w:hAnsi="仿宋" w:eastAsia="仿宋_GB2312" w:cs="仿宋"/>
          <w:color w:val="auto"/>
          <w:kern w:val="2"/>
          <w:sz w:val="28"/>
          <w:szCs w:val="28"/>
        </w:rPr>
        <w:t>（二）监督管理全区医疗保障基金，组织制定并实施医疗保障基金监督管理办法，建立健全区医疗保障基金安全防控机制，推进医疗保障基金支付方式改革。</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color w:val="auto"/>
          <w:kern w:val="2"/>
          <w:sz w:val="28"/>
          <w:szCs w:val="28"/>
        </w:rPr>
      </w:pPr>
      <w:r>
        <w:rPr>
          <w:rFonts w:hint="eastAsia" w:ascii="仿宋_GB2312" w:hAnsi="仿宋" w:eastAsia="仿宋_GB2312" w:cs="仿宋"/>
          <w:color w:val="auto"/>
          <w:kern w:val="2"/>
          <w:sz w:val="28"/>
          <w:szCs w:val="28"/>
        </w:rPr>
        <w:t>（三）组织拟订全区医疗保障筹资和待遇政策，完善动态调整和区域调剂平衡机制，统筹我区城乡医疗保障待遇标准，建立健全与筹资水平相适应的待遇调整机制。进一步完善大病保险制度，推进长期护理保险制度改革方案。</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color w:val="auto"/>
          <w:kern w:val="2"/>
          <w:sz w:val="28"/>
          <w:szCs w:val="28"/>
        </w:rPr>
      </w:pPr>
      <w:r>
        <w:rPr>
          <w:rFonts w:hint="eastAsia" w:ascii="仿宋_GB2312" w:hAnsi="仿宋" w:eastAsia="仿宋_GB2312" w:cs="仿宋"/>
          <w:color w:val="auto"/>
          <w:kern w:val="2"/>
          <w:sz w:val="28"/>
          <w:szCs w:val="28"/>
        </w:rPr>
        <w:t>（四）贯彻执行省、市、区城乡统一的药品、医用耗材、医疗服务项目、医疗服务设施等医保目录和支付标准，建立动态调整机制，承担医保目录准入相关工作。</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color w:val="auto"/>
          <w:kern w:val="2"/>
          <w:sz w:val="28"/>
          <w:szCs w:val="28"/>
        </w:rPr>
      </w:pPr>
      <w:r>
        <w:rPr>
          <w:rFonts w:hint="eastAsia" w:ascii="仿宋_GB2312" w:hAnsi="仿宋" w:eastAsia="仿宋_GB2312" w:cs="仿宋"/>
          <w:color w:val="auto"/>
          <w:kern w:val="2"/>
          <w:sz w:val="28"/>
          <w:szCs w:val="28"/>
        </w:rPr>
        <w:t>（五）贯彻执行省、市、区制定的药品、医用耗材价格政策，组织制定医疗服务项目、医疗服务设施收费标准等政策，建立医保支付医药服务价格合理确定和动态调整机制，推动建立市场主导的社会医药服务价格形成机制，建立价格信息监测和信息发布制度。</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color w:val="auto"/>
          <w:kern w:val="2"/>
          <w:sz w:val="28"/>
          <w:szCs w:val="28"/>
        </w:rPr>
      </w:pPr>
      <w:r>
        <w:rPr>
          <w:rFonts w:hint="eastAsia" w:ascii="仿宋_GB2312" w:hAnsi="仿宋" w:eastAsia="仿宋_GB2312" w:cs="仿宋"/>
          <w:color w:val="auto"/>
          <w:kern w:val="2"/>
          <w:sz w:val="28"/>
          <w:szCs w:val="28"/>
        </w:rPr>
        <w:t>（六）制定药品、医用耗材的招标采购、配送及结算管理实施细则并监督实施，推进药品、医用耗材招标采购平台建设。</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color w:val="auto"/>
          <w:kern w:val="2"/>
          <w:sz w:val="28"/>
          <w:szCs w:val="28"/>
        </w:rPr>
      </w:pPr>
      <w:r>
        <w:rPr>
          <w:rFonts w:hint="eastAsia" w:ascii="仿宋_GB2312" w:hAnsi="仿宋" w:eastAsia="仿宋_GB2312" w:cs="仿宋"/>
          <w:color w:val="auto"/>
          <w:kern w:val="2"/>
          <w:sz w:val="28"/>
          <w:szCs w:val="28"/>
        </w:rPr>
        <w:t>（七）制定定点医药机构协议和支付管理办法并组织实施，建立健全区医疗保障信用评价体系和信息披露制度，监督管理纳入医保范围内的医疗服务行为和医疗费用，依法依规查处医疗保障领域违法违规行为。</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color w:val="auto"/>
          <w:kern w:val="2"/>
          <w:sz w:val="28"/>
          <w:szCs w:val="28"/>
        </w:rPr>
      </w:pPr>
      <w:r>
        <w:rPr>
          <w:rFonts w:hint="eastAsia" w:ascii="仿宋_GB2312" w:hAnsi="仿宋" w:eastAsia="仿宋_GB2312" w:cs="仿宋"/>
          <w:color w:val="auto"/>
          <w:kern w:val="2"/>
          <w:sz w:val="28"/>
          <w:szCs w:val="28"/>
        </w:rPr>
        <w:t>（八）负责全区医疗保障经办管理和公共服务体系、信息化建设。组织制定和完善异地就医管理和费用结算办法。建立健全医疗保障关系转移接续制度。</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color w:val="auto"/>
          <w:kern w:val="2"/>
          <w:sz w:val="28"/>
          <w:szCs w:val="28"/>
        </w:rPr>
      </w:pPr>
      <w:r>
        <w:rPr>
          <w:rFonts w:hint="eastAsia" w:ascii="仿宋_GB2312" w:hAnsi="仿宋" w:eastAsia="仿宋_GB2312" w:cs="仿宋"/>
          <w:color w:val="auto"/>
          <w:kern w:val="2"/>
          <w:sz w:val="28"/>
          <w:szCs w:val="28"/>
        </w:rPr>
        <w:t>（九）完成区委、区政府交办的其他任务。</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color w:val="auto"/>
          <w:kern w:val="2"/>
          <w:sz w:val="28"/>
          <w:szCs w:val="28"/>
        </w:rPr>
      </w:pPr>
      <w:r>
        <w:rPr>
          <w:rFonts w:hint="eastAsia" w:ascii="仿宋_GB2312" w:hAnsi="仿宋" w:eastAsia="仿宋_GB2312" w:cs="仿宋"/>
          <w:color w:val="auto"/>
          <w:kern w:val="2"/>
          <w:sz w:val="28"/>
          <w:szCs w:val="28"/>
        </w:rPr>
        <w:t>（十）职能转变。按照党中央、国务院关于转变政府职能、深化放管服改革、深入推进审批服务便民化的决策部署，认真落实省委、省政府“一门式”服务、“一窗式”办理、“一章式”改革的要求，组织推进区医疗保障局职能转变，完善城乡居民基本医疗保险制度、大病保险制度和医疗救助制度，建立健全覆盖全民、城乡统筹的多层次医疗保障体系，不断提高医疗保障水平，确保医保资金合理使用、安全可控，推进医疗、医保、医药“三医联动”改革，更好保障人民群众就医需求、减轻医药费用负担。</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color w:val="auto"/>
          <w:kern w:val="2"/>
          <w:sz w:val="28"/>
          <w:szCs w:val="28"/>
        </w:rPr>
      </w:pPr>
      <w:r>
        <w:rPr>
          <w:rFonts w:hint="eastAsia" w:ascii="仿宋_GB2312" w:hAnsi="仿宋" w:eastAsia="仿宋_GB2312" w:cs="仿宋"/>
          <w:color w:val="auto"/>
          <w:kern w:val="2"/>
          <w:sz w:val="28"/>
          <w:szCs w:val="28"/>
        </w:rPr>
        <w:t>（十一）有关职责分工。与区卫生健康委员会的有关职责分工。区卫生健康委员会、区医疗保障局等部门在医疗、医保、医药等方面加强制度、政策衔接，建立沟通协商机制，协同推进改革，提高医疗资源使用效率和医疗保障水平。</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color w:val="auto"/>
          <w:kern w:val="2"/>
          <w:sz w:val="28"/>
          <w:szCs w:val="28"/>
        </w:rPr>
      </w:pPr>
    </w:p>
    <w:p>
      <w:pPr>
        <w:ind w:firstLine="628" w:firstLineChars="196"/>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二、部门基本情况</w:t>
      </w:r>
    </w:p>
    <w:p>
      <w:pPr>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lang w:eastAsia="zh-CN"/>
        </w:rPr>
        <w:t>珠山区医疗保障局</w:t>
      </w:r>
      <w:r>
        <w:rPr>
          <w:rFonts w:hint="eastAsia" w:ascii="仿宋_GB2312" w:hAnsi="宋体" w:eastAsia="仿宋_GB2312" w:cs="仿宋_GB2312"/>
          <w:color w:val="auto"/>
          <w:sz w:val="32"/>
          <w:szCs w:val="32"/>
        </w:rPr>
        <w:t>共有预算单位</w:t>
      </w:r>
      <w:r>
        <w:rPr>
          <w:rFonts w:hint="eastAsia" w:ascii="仿宋_GB2312" w:hAnsi="宋体" w:eastAsia="仿宋_GB2312" w:cs="仿宋_GB2312"/>
          <w:color w:val="auto"/>
          <w:sz w:val="32"/>
          <w:szCs w:val="32"/>
          <w:lang w:val="en-US" w:eastAsia="zh-CN"/>
        </w:rPr>
        <w:t>1</w:t>
      </w:r>
      <w:r>
        <w:rPr>
          <w:rFonts w:hint="eastAsia" w:ascii="仿宋_GB2312" w:hAnsi="宋体" w:eastAsia="仿宋_GB2312" w:cs="仿宋_GB2312"/>
          <w:color w:val="auto"/>
          <w:sz w:val="32"/>
          <w:szCs w:val="32"/>
        </w:rPr>
        <w:t>个，</w:t>
      </w:r>
      <w:r>
        <w:rPr>
          <w:rFonts w:hint="eastAsia" w:ascii="仿宋_GB2312" w:hAnsi="仿宋" w:eastAsia="仿宋_GB2312" w:cs="仿宋"/>
          <w:color w:val="auto"/>
          <w:sz w:val="28"/>
          <w:szCs w:val="28"/>
        </w:rPr>
        <w:t>即部门本级</w:t>
      </w:r>
      <w:r>
        <w:rPr>
          <w:rFonts w:hint="eastAsia" w:ascii="仿宋_GB2312" w:hAnsi="宋体" w:eastAsia="仿宋_GB2312" w:cs="仿宋_GB2312"/>
          <w:color w:val="auto"/>
          <w:sz w:val="32"/>
          <w:szCs w:val="32"/>
        </w:rPr>
        <w:t>。编制数为</w:t>
      </w:r>
      <w:r>
        <w:rPr>
          <w:rFonts w:hint="eastAsia" w:ascii="仿宋_GB2312" w:hAnsi="宋体" w:eastAsia="仿宋_GB2312" w:cs="仿宋_GB2312"/>
          <w:color w:val="auto"/>
          <w:sz w:val="32"/>
          <w:szCs w:val="32"/>
          <w:lang w:val="en-US" w:eastAsia="zh-CN"/>
        </w:rPr>
        <w:t>3</w:t>
      </w:r>
      <w:r>
        <w:rPr>
          <w:rFonts w:hint="eastAsia" w:ascii="仿宋_GB2312" w:hAnsi="宋体" w:eastAsia="仿宋_GB2312" w:cs="仿宋_GB2312"/>
          <w:color w:val="auto"/>
          <w:sz w:val="32"/>
          <w:szCs w:val="32"/>
        </w:rPr>
        <w:t>人，其中行政编制</w:t>
      </w:r>
      <w:r>
        <w:rPr>
          <w:rFonts w:hint="eastAsia" w:ascii="仿宋_GB2312" w:hAnsi="宋体" w:eastAsia="仿宋_GB2312" w:cs="仿宋_GB2312"/>
          <w:color w:val="auto"/>
          <w:sz w:val="32"/>
          <w:szCs w:val="32"/>
          <w:lang w:val="en-US" w:eastAsia="zh-CN"/>
        </w:rPr>
        <w:t>3</w:t>
      </w:r>
      <w:r>
        <w:rPr>
          <w:rFonts w:hint="eastAsia" w:ascii="仿宋_GB2312" w:hAnsi="宋体" w:eastAsia="仿宋_GB2312" w:cs="仿宋_GB2312"/>
          <w:color w:val="auto"/>
          <w:sz w:val="32"/>
          <w:szCs w:val="32"/>
        </w:rPr>
        <w:t>人、全额补助事业编制</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人；实有人数</w:t>
      </w:r>
      <w:r>
        <w:rPr>
          <w:rFonts w:hint="eastAsia" w:ascii="仿宋_GB2312" w:hAnsi="宋体" w:eastAsia="仿宋_GB2312" w:cs="仿宋_GB2312"/>
          <w:color w:val="auto"/>
          <w:sz w:val="32"/>
          <w:szCs w:val="32"/>
          <w:lang w:val="en-US" w:eastAsia="zh-CN"/>
        </w:rPr>
        <w:t>14</w:t>
      </w:r>
      <w:r>
        <w:rPr>
          <w:rFonts w:hint="eastAsia" w:ascii="仿宋_GB2312" w:hAnsi="宋体" w:eastAsia="仿宋_GB2312" w:cs="仿宋_GB2312"/>
          <w:color w:val="auto"/>
          <w:sz w:val="32"/>
          <w:szCs w:val="32"/>
        </w:rPr>
        <w:t>人，其中在职人数为</w:t>
      </w:r>
      <w:r>
        <w:rPr>
          <w:rFonts w:hint="eastAsia" w:ascii="仿宋_GB2312" w:hAnsi="宋体" w:eastAsia="仿宋_GB2312" w:cs="仿宋_GB2312"/>
          <w:color w:val="auto"/>
          <w:sz w:val="32"/>
          <w:szCs w:val="32"/>
          <w:lang w:val="en-US" w:eastAsia="zh-CN"/>
        </w:rPr>
        <w:t>14</w:t>
      </w:r>
      <w:r>
        <w:rPr>
          <w:rFonts w:hint="eastAsia" w:ascii="仿宋_GB2312" w:hAnsi="宋体" w:eastAsia="仿宋_GB2312" w:cs="仿宋_GB2312"/>
          <w:color w:val="auto"/>
          <w:sz w:val="32"/>
          <w:szCs w:val="32"/>
        </w:rPr>
        <w:t>人，包括行政人员</w:t>
      </w:r>
      <w:r>
        <w:rPr>
          <w:rFonts w:hint="eastAsia" w:ascii="仿宋_GB2312" w:hAnsi="宋体" w:eastAsia="仿宋_GB2312" w:cs="仿宋_GB2312"/>
          <w:color w:val="auto"/>
          <w:sz w:val="32"/>
          <w:szCs w:val="32"/>
          <w:lang w:val="en-US" w:eastAsia="zh-CN"/>
        </w:rPr>
        <w:t>3</w:t>
      </w:r>
      <w:r>
        <w:rPr>
          <w:rFonts w:hint="eastAsia" w:ascii="仿宋_GB2312" w:hAnsi="宋体" w:eastAsia="仿宋_GB2312" w:cs="仿宋_GB2312"/>
          <w:color w:val="auto"/>
          <w:sz w:val="32"/>
          <w:szCs w:val="32"/>
        </w:rPr>
        <w:t>人、全额补助事业人员</w:t>
      </w:r>
      <w:r>
        <w:rPr>
          <w:rFonts w:hint="eastAsia" w:ascii="仿宋_GB2312" w:hAnsi="宋体" w:eastAsia="仿宋_GB2312" w:cs="仿宋_GB2312"/>
          <w:color w:val="auto"/>
          <w:sz w:val="32"/>
          <w:szCs w:val="32"/>
          <w:lang w:val="en-US" w:eastAsia="zh-CN"/>
        </w:rPr>
        <w:t>11</w:t>
      </w:r>
      <w:r>
        <w:rPr>
          <w:rFonts w:hint="eastAsia" w:ascii="仿宋_GB2312" w:hAnsi="宋体" w:eastAsia="仿宋_GB2312" w:cs="仿宋_GB2312"/>
          <w:color w:val="auto"/>
          <w:sz w:val="32"/>
          <w:szCs w:val="32"/>
        </w:rPr>
        <w:t>人、部分补助事业编人员</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人、自收自支事业人员</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人；离休人员</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人；退休人员</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。在校学生</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人，其中：高等学校</w:t>
      </w:r>
      <w:r>
        <w:rPr>
          <w:rFonts w:hint="eastAsia" w:ascii="仿宋_GB2312" w:hAnsi="宋体" w:eastAsia="仿宋_GB2312" w:cs="仿宋_GB2312"/>
          <w:color w:val="auto"/>
          <w:sz w:val="32"/>
          <w:szCs w:val="32"/>
          <w:lang w:val="en-US" w:eastAsia="zh-CN"/>
        </w:rPr>
        <w:t>0人</w:t>
      </w:r>
      <w:r>
        <w:rPr>
          <w:rFonts w:hint="eastAsia" w:ascii="仿宋_GB2312" w:hAnsi="宋体" w:eastAsia="仿宋_GB2312" w:cs="仿宋_GB2312"/>
          <w:color w:val="auto"/>
          <w:sz w:val="32"/>
          <w:szCs w:val="32"/>
        </w:rPr>
        <w:t>、中等专业学校</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人，其他</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w:t>
      </w:r>
    </w:p>
    <w:p>
      <w:pPr>
        <w:ind w:firstLine="640" w:firstLineChars="200"/>
        <w:rPr>
          <w:rFonts w:ascii="仿宋_GB2312" w:hAnsi="宋体" w:eastAsia="仿宋_GB2312" w:cs="仿宋_GB2312"/>
          <w:color w:val="auto"/>
          <w:sz w:val="32"/>
          <w:szCs w:val="32"/>
        </w:rPr>
      </w:pPr>
    </w:p>
    <w:p>
      <w:pPr>
        <w:jc w:val="center"/>
        <w:rPr>
          <w:rFonts w:ascii="黑体" w:hAnsi="宋体" w:eastAsia="黑体" w:cs="Times New Roman"/>
          <w:b/>
          <w:bCs/>
          <w:color w:val="auto"/>
          <w:sz w:val="32"/>
          <w:szCs w:val="32"/>
        </w:rPr>
      </w:pPr>
      <w:r>
        <w:rPr>
          <w:rFonts w:hint="eastAsia" w:ascii="黑体" w:hAnsi="宋体" w:eastAsia="黑体" w:cs="黑体"/>
          <w:b/>
          <w:bCs/>
          <w:color w:val="auto"/>
          <w:sz w:val="32"/>
          <w:szCs w:val="32"/>
        </w:rPr>
        <w:t>第二部分</w:t>
      </w:r>
      <w:r>
        <w:rPr>
          <w:rFonts w:ascii="黑体" w:hAnsi="宋体" w:eastAsia="黑体" w:cs="黑体"/>
          <w:b/>
          <w:bCs/>
          <w:color w:val="auto"/>
          <w:sz w:val="32"/>
          <w:szCs w:val="32"/>
        </w:rPr>
        <w:t xml:space="preserve"> </w:t>
      </w:r>
      <w:r>
        <w:rPr>
          <w:rFonts w:hint="eastAsia" w:ascii="黑体" w:hAnsi="宋体" w:eastAsia="黑体" w:cs="黑体"/>
          <w:b/>
          <w:bCs/>
          <w:color w:val="auto"/>
          <w:sz w:val="32"/>
          <w:szCs w:val="32"/>
          <w:lang w:eastAsia="zh-CN"/>
        </w:rPr>
        <w:t>珠山区医疗保障局2022</w:t>
      </w:r>
      <w:r>
        <w:rPr>
          <w:rFonts w:hint="eastAsia" w:ascii="黑体" w:hAnsi="宋体" w:eastAsia="黑体" w:cs="黑体"/>
          <w:b/>
          <w:bCs/>
          <w:color w:val="auto"/>
          <w:sz w:val="32"/>
          <w:szCs w:val="32"/>
        </w:rPr>
        <w:t>年部门预算情况说明</w:t>
      </w:r>
    </w:p>
    <w:p>
      <w:pPr>
        <w:ind w:firstLine="640" w:firstLineChars="20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一、</w:t>
      </w:r>
      <w:r>
        <w:rPr>
          <w:rFonts w:hint="eastAsia" w:ascii="仿宋_GB2312" w:hAnsi="宋体" w:eastAsia="仿宋_GB2312" w:cs="仿宋_GB2312"/>
          <w:b/>
          <w:bCs/>
          <w:color w:val="auto"/>
          <w:sz w:val="32"/>
          <w:szCs w:val="32"/>
          <w:lang w:eastAsia="zh-CN"/>
        </w:rPr>
        <w:t>2022</w:t>
      </w:r>
      <w:r>
        <w:rPr>
          <w:rFonts w:hint="eastAsia" w:ascii="仿宋_GB2312" w:hAnsi="宋体" w:eastAsia="仿宋_GB2312" w:cs="仿宋_GB2312"/>
          <w:b/>
          <w:bCs/>
          <w:color w:val="auto"/>
          <w:sz w:val="32"/>
          <w:szCs w:val="32"/>
        </w:rPr>
        <w:t>年部门预算收支情况说明</w:t>
      </w:r>
    </w:p>
    <w:p>
      <w:pPr>
        <w:ind w:firstLine="480" w:firstLineChars="15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（一）预算收入情况</w:t>
      </w:r>
    </w:p>
    <w:p>
      <w:pPr>
        <w:ind w:firstLine="600"/>
        <w:rPr>
          <w:rFonts w:ascii="仿宋_GB2312" w:eastAsia="仿宋_GB2312" w:cs="Times New Roman"/>
          <w:color w:val="auto"/>
          <w:sz w:val="32"/>
          <w:szCs w:val="32"/>
        </w:rPr>
      </w:pPr>
      <w:r>
        <w:rPr>
          <w:rFonts w:hint="eastAsia" w:ascii="仿宋_GB2312" w:hAnsi="宋体" w:eastAsia="仿宋_GB2312" w:cs="仿宋_GB2312"/>
          <w:color w:val="auto"/>
          <w:sz w:val="32"/>
          <w:szCs w:val="32"/>
          <w:lang w:eastAsia="zh-CN"/>
        </w:rPr>
        <w:t>2022</w:t>
      </w:r>
      <w:r>
        <w:rPr>
          <w:rFonts w:hint="eastAsia" w:ascii="仿宋_GB2312" w:hAnsi="宋体" w:eastAsia="仿宋_GB2312" w:cs="仿宋_GB2312"/>
          <w:color w:val="auto"/>
          <w:sz w:val="32"/>
          <w:szCs w:val="32"/>
        </w:rPr>
        <w:t>年</w:t>
      </w:r>
      <w:r>
        <w:rPr>
          <w:rFonts w:hint="eastAsia" w:ascii="仿宋_GB2312" w:hAnsi="宋体" w:eastAsia="仿宋_GB2312" w:cs="仿宋_GB2312"/>
          <w:color w:val="auto"/>
          <w:sz w:val="32"/>
          <w:szCs w:val="32"/>
          <w:lang w:eastAsia="zh-CN"/>
        </w:rPr>
        <w:t>医疗保障局</w:t>
      </w:r>
      <w:r>
        <w:rPr>
          <w:rFonts w:hint="eastAsia" w:ascii="仿宋_GB2312" w:hAnsi="宋体" w:eastAsia="仿宋_GB2312" w:cs="仿宋_GB2312"/>
          <w:color w:val="auto"/>
          <w:sz w:val="32"/>
          <w:szCs w:val="32"/>
        </w:rPr>
        <w:t>收入预算总额为</w:t>
      </w:r>
      <w:r>
        <w:rPr>
          <w:rFonts w:hint="eastAsia" w:ascii="仿宋_GB2312" w:hAnsi="宋体" w:eastAsia="仿宋_GB2312" w:cs="仿宋_GB2312"/>
          <w:color w:val="auto"/>
          <w:sz w:val="32"/>
          <w:szCs w:val="32"/>
          <w:lang w:val="en-US" w:eastAsia="zh-CN"/>
        </w:rPr>
        <w:t>162.31</w:t>
      </w:r>
      <w:r>
        <w:rPr>
          <w:rFonts w:hint="eastAsia" w:ascii="仿宋_GB2312" w:hAnsi="宋体" w:eastAsia="仿宋_GB2312" w:cs="仿宋_GB2312"/>
          <w:color w:val="auto"/>
          <w:sz w:val="32"/>
          <w:szCs w:val="32"/>
        </w:rPr>
        <w:t>万元，与上年预算相比减</w:t>
      </w:r>
      <w:r>
        <w:rPr>
          <w:rFonts w:hint="eastAsia" w:ascii="仿宋_GB2312" w:hAnsi="宋体" w:eastAsia="仿宋_GB2312" w:cs="仿宋_GB2312"/>
          <w:color w:val="auto"/>
          <w:sz w:val="32"/>
          <w:szCs w:val="32"/>
          <w:lang w:eastAsia="zh-CN"/>
        </w:rPr>
        <w:t>少</w:t>
      </w:r>
      <w:r>
        <w:rPr>
          <w:rFonts w:hint="eastAsia" w:ascii="仿宋_GB2312" w:hAnsi="宋体" w:eastAsia="仿宋_GB2312" w:cs="仿宋_GB2312"/>
          <w:color w:val="auto"/>
          <w:sz w:val="32"/>
          <w:szCs w:val="32"/>
          <w:lang w:val="en-US" w:eastAsia="zh-CN"/>
        </w:rPr>
        <w:t>20.59万元</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因为人员变动</w:t>
      </w:r>
      <w:r>
        <w:rPr>
          <w:rFonts w:hint="eastAsia" w:ascii="仿宋_GB2312" w:hAnsi="宋体" w:eastAsia="仿宋_GB2312" w:cs="仿宋_GB2312"/>
          <w:color w:val="auto"/>
          <w:sz w:val="32"/>
          <w:szCs w:val="32"/>
        </w:rPr>
        <w:t>。其中：当年财政拨款收入</w:t>
      </w:r>
      <w:r>
        <w:rPr>
          <w:rFonts w:hint="eastAsia" w:ascii="仿宋_GB2312" w:hAnsi="宋体" w:eastAsia="仿宋_GB2312" w:cs="仿宋_GB2312"/>
          <w:color w:val="auto"/>
          <w:sz w:val="32"/>
          <w:szCs w:val="32"/>
          <w:lang w:val="en-US" w:eastAsia="zh-CN"/>
        </w:rPr>
        <w:t>162.31</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100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；政府性基金拨款收入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；事业收入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；事业单位经营收入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；当年其他各项收入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；上年结余结转收入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ind w:firstLine="480" w:firstLineChars="15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（二）预算支出情况</w:t>
      </w:r>
      <w:r>
        <w:rPr>
          <w:rFonts w:ascii="仿宋_GB2312" w:hAnsi="宋体" w:eastAsia="仿宋_GB2312" w:cs="仿宋_GB2312"/>
          <w:b/>
          <w:bCs/>
          <w:color w:val="auto"/>
          <w:sz w:val="32"/>
          <w:szCs w:val="32"/>
        </w:rPr>
        <w:t xml:space="preserve"> </w:t>
      </w:r>
    </w:p>
    <w:p>
      <w:pPr>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2022</w:t>
      </w:r>
      <w:r>
        <w:rPr>
          <w:rFonts w:hint="eastAsia" w:ascii="仿宋_GB2312" w:hAnsi="宋体" w:eastAsia="仿宋_GB2312" w:cs="仿宋_GB2312"/>
          <w:color w:val="auto"/>
          <w:sz w:val="32"/>
          <w:szCs w:val="32"/>
        </w:rPr>
        <w:t>年</w:t>
      </w:r>
      <w:r>
        <w:rPr>
          <w:rFonts w:hint="eastAsia" w:ascii="仿宋_GB2312" w:hAnsi="宋体" w:eastAsia="仿宋_GB2312" w:cs="仿宋_GB2312"/>
          <w:color w:val="auto"/>
          <w:sz w:val="32"/>
          <w:szCs w:val="32"/>
          <w:lang w:eastAsia="zh-CN"/>
        </w:rPr>
        <w:t>医疗保障局</w:t>
      </w:r>
      <w:r>
        <w:rPr>
          <w:rFonts w:hint="eastAsia" w:ascii="仿宋_GB2312" w:hAnsi="宋体" w:eastAsia="仿宋_GB2312" w:cs="仿宋_GB2312"/>
          <w:color w:val="auto"/>
          <w:sz w:val="32"/>
          <w:szCs w:val="32"/>
        </w:rPr>
        <w:t>支出预算总额为</w:t>
      </w:r>
      <w:r>
        <w:rPr>
          <w:rFonts w:hint="eastAsia" w:ascii="仿宋_GB2312" w:hAnsi="宋体" w:eastAsia="仿宋_GB2312" w:cs="仿宋_GB2312"/>
          <w:color w:val="auto"/>
          <w:sz w:val="32"/>
          <w:szCs w:val="32"/>
          <w:lang w:val="en-US" w:eastAsia="zh-CN"/>
        </w:rPr>
        <w:t>162.31</w:t>
      </w:r>
      <w:r>
        <w:rPr>
          <w:rFonts w:hint="eastAsia" w:ascii="仿宋_GB2312" w:hAnsi="宋体" w:eastAsia="仿宋_GB2312" w:cs="仿宋_GB2312"/>
          <w:color w:val="auto"/>
          <w:sz w:val="32"/>
          <w:szCs w:val="32"/>
        </w:rPr>
        <w:t>万元，与上年预算相比减</w:t>
      </w:r>
      <w:r>
        <w:rPr>
          <w:rFonts w:hint="eastAsia" w:ascii="仿宋_GB2312" w:hAnsi="宋体" w:eastAsia="仿宋_GB2312" w:cs="仿宋_GB2312"/>
          <w:color w:val="auto"/>
          <w:sz w:val="32"/>
          <w:szCs w:val="32"/>
          <w:lang w:eastAsia="zh-CN"/>
        </w:rPr>
        <w:t>少</w:t>
      </w:r>
      <w:r>
        <w:rPr>
          <w:rFonts w:hint="eastAsia" w:ascii="仿宋_GB2312" w:hAnsi="宋体" w:eastAsia="仿宋_GB2312" w:cs="仿宋_GB2312"/>
          <w:color w:val="auto"/>
          <w:sz w:val="32"/>
          <w:szCs w:val="32"/>
          <w:lang w:val="en-US" w:eastAsia="zh-CN"/>
        </w:rPr>
        <w:t>20.59万元</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原因是人员变动</w:t>
      </w:r>
      <w:r>
        <w:rPr>
          <w:rFonts w:hint="eastAsia" w:ascii="仿宋_GB2312" w:hAnsi="宋体" w:eastAsia="仿宋_GB2312" w:cs="仿宋_GB2312"/>
          <w:color w:val="auto"/>
          <w:sz w:val="32"/>
          <w:szCs w:val="32"/>
        </w:rPr>
        <w:t>。其中：按支出项目类别划分：基本支出</w:t>
      </w:r>
      <w:r>
        <w:rPr>
          <w:rFonts w:hint="eastAsia" w:ascii="仿宋_GB2312" w:hAnsi="宋体" w:eastAsia="仿宋_GB2312" w:cs="仿宋_GB2312"/>
          <w:color w:val="auto"/>
          <w:sz w:val="32"/>
          <w:szCs w:val="32"/>
          <w:lang w:val="en-US" w:eastAsia="zh-CN"/>
        </w:rPr>
        <w:t>132.31</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81.52</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，包括工资福利支出</w:t>
      </w:r>
      <w:r>
        <w:rPr>
          <w:rFonts w:hint="eastAsia" w:ascii="仿宋_GB2312" w:hAnsi="宋体" w:eastAsia="仿宋_GB2312" w:cs="仿宋_GB2312"/>
          <w:color w:val="auto"/>
          <w:sz w:val="32"/>
          <w:szCs w:val="32"/>
          <w:lang w:val="en-US" w:eastAsia="zh-CN"/>
        </w:rPr>
        <w:t>122.25</w:t>
      </w:r>
      <w:r>
        <w:rPr>
          <w:rFonts w:hint="eastAsia" w:ascii="仿宋_GB2312" w:hAnsi="宋体" w:eastAsia="仿宋_GB2312" w:cs="仿宋_GB2312"/>
          <w:color w:val="auto"/>
          <w:sz w:val="32"/>
          <w:szCs w:val="32"/>
        </w:rPr>
        <w:t>万元、商品和服务支出</w:t>
      </w:r>
      <w:r>
        <w:rPr>
          <w:rFonts w:hint="eastAsia" w:ascii="仿宋_GB2312" w:hAnsi="宋体" w:eastAsia="仿宋_GB2312" w:cs="仿宋_GB2312"/>
          <w:color w:val="auto"/>
          <w:sz w:val="32"/>
          <w:szCs w:val="32"/>
          <w:lang w:val="en-US" w:eastAsia="zh-CN"/>
        </w:rPr>
        <w:t>9.86</w:t>
      </w:r>
      <w:r>
        <w:rPr>
          <w:rFonts w:hint="eastAsia" w:ascii="仿宋_GB2312" w:hAnsi="宋体" w:eastAsia="仿宋_GB2312" w:cs="仿宋_GB2312"/>
          <w:color w:val="auto"/>
          <w:sz w:val="32"/>
          <w:szCs w:val="32"/>
        </w:rPr>
        <w:t>万元、对个人和家庭的补助</w:t>
      </w:r>
      <w:r>
        <w:rPr>
          <w:rFonts w:hint="eastAsia" w:ascii="仿宋_GB2312" w:hAnsi="宋体" w:eastAsia="仿宋_GB2312" w:cs="仿宋_GB2312"/>
          <w:color w:val="auto"/>
          <w:sz w:val="32"/>
          <w:szCs w:val="32"/>
          <w:lang w:val="en-US" w:eastAsia="zh-CN"/>
        </w:rPr>
        <w:t>0.2</w:t>
      </w:r>
      <w:r>
        <w:rPr>
          <w:rFonts w:hint="eastAsia" w:ascii="仿宋_GB2312" w:hAnsi="宋体" w:eastAsia="仿宋_GB2312" w:cs="仿宋_GB2312"/>
          <w:color w:val="auto"/>
          <w:sz w:val="32"/>
          <w:szCs w:val="32"/>
        </w:rPr>
        <w:t>万元、其他资本性支出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万元；项目支出</w:t>
      </w:r>
      <w:r>
        <w:rPr>
          <w:rFonts w:hint="eastAsia" w:ascii="仿宋_GB2312" w:hAnsi="宋体" w:eastAsia="仿宋_GB2312" w:cs="仿宋_GB2312"/>
          <w:color w:val="auto"/>
          <w:sz w:val="32"/>
          <w:szCs w:val="32"/>
          <w:lang w:val="en-US" w:eastAsia="zh-CN"/>
        </w:rPr>
        <w:t>30</w:t>
      </w:r>
      <w:r>
        <w:rPr>
          <w:rFonts w:hint="eastAsia" w:ascii="仿宋_GB2312" w:hAnsi="宋体" w:eastAsia="仿宋_GB2312" w:cs="仿宋_GB2312"/>
          <w:color w:val="auto"/>
          <w:sz w:val="32"/>
          <w:szCs w:val="32"/>
        </w:rPr>
        <w:t>万元，占支出总额的</w:t>
      </w:r>
      <w:r>
        <w:rPr>
          <w:rFonts w:hint="eastAsia" w:ascii="仿宋_GB2312" w:hAnsi="宋体" w:eastAsia="仿宋_GB2312" w:cs="仿宋_GB2312"/>
          <w:color w:val="auto"/>
          <w:sz w:val="32"/>
          <w:szCs w:val="32"/>
          <w:lang w:val="en-US" w:eastAsia="zh-CN"/>
        </w:rPr>
        <w:t>18.48</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，包括工资福利支出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万元、商品和服务支出</w:t>
      </w:r>
      <w:r>
        <w:rPr>
          <w:rFonts w:hint="eastAsia" w:ascii="仿宋_GB2312" w:hAnsi="宋体" w:eastAsia="仿宋_GB2312" w:cs="仿宋_GB2312"/>
          <w:color w:val="auto"/>
          <w:sz w:val="32"/>
          <w:szCs w:val="32"/>
          <w:lang w:val="en-US" w:eastAsia="zh-CN"/>
        </w:rPr>
        <w:t>30</w:t>
      </w:r>
      <w:r>
        <w:rPr>
          <w:rFonts w:hint="eastAsia" w:ascii="仿宋_GB2312" w:hAnsi="宋体" w:eastAsia="仿宋_GB2312" w:cs="仿宋_GB2312"/>
          <w:color w:val="auto"/>
          <w:sz w:val="32"/>
          <w:szCs w:val="32"/>
        </w:rPr>
        <w:t>万元、对个人和家庭的补助</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万元、债务利息支出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万元、基本建设支出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万元、其他资本性支出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万元、其他相关支出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万元；事业经营支出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；对附属单位补助支出的</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；上缴上级支出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w:t>
      </w:r>
    </w:p>
    <w:p>
      <w:pPr>
        <w:ind w:firstLine="620" w:firstLineChars="200"/>
        <w:rPr>
          <w:rFonts w:hint="default" w:ascii="仿宋_GB2312" w:hAnsi="仿宋" w:eastAsia="仿宋_GB2312" w:cs="仿宋"/>
          <w:color w:val="auto"/>
          <w:sz w:val="28"/>
          <w:szCs w:val="28"/>
          <w:lang w:val="en-US" w:eastAsia="zh-CN"/>
        </w:rPr>
      </w:pPr>
      <w:r>
        <w:rPr>
          <w:rFonts w:ascii="仿宋" w:hAnsi="仿宋" w:eastAsia="仿宋" w:cs="仿宋"/>
          <w:color w:val="auto"/>
          <w:kern w:val="0"/>
          <w:sz w:val="31"/>
          <w:szCs w:val="31"/>
          <w:lang w:val="en-US" w:eastAsia="zh-CN" w:bidi="ar"/>
        </w:rPr>
        <w:t>按支出功能科目划分:</w:t>
      </w:r>
      <w:r>
        <w:rPr>
          <w:rFonts w:hint="eastAsia" w:ascii="仿宋_GB2312" w:hAnsi="仿宋" w:eastAsia="仿宋_GB2312" w:cs="仿宋"/>
          <w:color w:val="auto"/>
          <w:sz w:val="28"/>
          <w:szCs w:val="28"/>
          <w:lang w:eastAsia="zh-CN"/>
        </w:rPr>
        <w:t>一般公共服务支出</w:t>
      </w:r>
      <w:r>
        <w:rPr>
          <w:rFonts w:hint="eastAsia" w:ascii="仿宋_GB2312" w:hAnsi="仿宋" w:eastAsia="仿宋_GB2312" w:cs="仿宋"/>
          <w:color w:val="auto"/>
          <w:sz w:val="28"/>
          <w:szCs w:val="28"/>
          <w:lang w:val="en-US" w:eastAsia="zh-CN"/>
        </w:rPr>
        <w:t>0万元，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0</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医疗卫生与计划生育支出0万元、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0</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社会保障和就业支出13.05万元、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8.04</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城乡社区支出0元、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0</w:t>
      </w:r>
      <w:r>
        <w:rPr>
          <w:rFonts w:hint="eastAsia" w:ascii="仿宋_GB2312" w:hAnsi="仿宋" w:eastAsia="仿宋_GB2312" w:cs="仿宋"/>
          <w:color w:val="auto"/>
          <w:sz w:val="28"/>
          <w:szCs w:val="28"/>
          <w:lang w:eastAsia="zh-CN"/>
        </w:rPr>
        <w:t>%，住房保障支出</w:t>
      </w:r>
      <w:r>
        <w:rPr>
          <w:rFonts w:hint="eastAsia" w:ascii="仿宋_GB2312" w:hAnsi="仿宋" w:eastAsia="仿宋_GB2312" w:cs="仿宋"/>
          <w:color w:val="auto"/>
          <w:sz w:val="28"/>
          <w:szCs w:val="28"/>
          <w:lang w:val="en-US" w:eastAsia="zh-CN"/>
        </w:rPr>
        <w:t>11.42万元，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7.04</w:t>
      </w:r>
      <w:r>
        <w:rPr>
          <w:rFonts w:hint="eastAsia" w:ascii="仿宋_GB2312" w:hAnsi="仿宋" w:eastAsia="仿宋_GB2312" w:cs="仿宋"/>
          <w:color w:val="auto"/>
          <w:sz w:val="28"/>
          <w:szCs w:val="28"/>
          <w:lang w:eastAsia="zh-CN"/>
        </w:rPr>
        <w:t>%，卫生健康支出</w:t>
      </w:r>
      <w:r>
        <w:rPr>
          <w:rFonts w:hint="eastAsia" w:ascii="仿宋_GB2312" w:hAnsi="仿宋" w:eastAsia="仿宋_GB2312" w:cs="仿宋"/>
          <w:color w:val="auto"/>
          <w:sz w:val="28"/>
          <w:szCs w:val="28"/>
          <w:lang w:val="en-US" w:eastAsia="zh-CN"/>
        </w:rPr>
        <w:t>137.83万元，占支出预算总额的84.72%。</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 w:eastAsia="仿宋_GB2312" w:cs="仿宋"/>
          <w:color w:val="auto"/>
          <w:sz w:val="28"/>
          <w:szCs w:val="28"/>
          <w:highlight w:val="none"/>
          <w:lang w:val="en-US" w:eastAsia="zh-CN"/>
        </w:rPr>
      </w:pPr>
      <w:r>
        <w:rPr>
          <w:rFonts w:hint="eastAsia" w:ascii="仿宋_GB2312" w:hAnsi="宋体" w:eastAsia="仿宋_GB2312" w:cs="仿宋_GB2312"/>
          <w:color w:val="auto"/>
          <w:sz w:val="32"/>
          <w:szCs w:val="32"/>
        </w:rPr>
        <w:t>按支出经济分类划分：</w:t>
      </w:r>
      <w:r>
        <w:rPr>
          <w:rFonts w:hint="eastAsia" w:ascii="仿宋_GB2312" w:hAnsi="仿宋" w:eastAsia="仿宋_GB2312" w:cs="仿宋"/>
          <w:color w:val="auto"/>
          <w:sz w:val="28"/>
          <w:szCs w:val="28"/>
          <w:lang w:val="en-US" w:eastAsia="zh-CN"/>
        </w:rPr>
        <w:t>按支出经济分类划分：工资福利支出122.25万元，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75.32</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 w:eastAsia="仿宋_GB2312" w:cs="仿宋"/>
          <w:color w:val="auto"/>
          <w:sz w:val="28"/>
          <w:szCs w:val="28"/>
          <w:lang w:val="en-US" w:eastAsia="zh-CN"/>
        </w:rPr>
        <w:t>商品和服务支出39.86万元，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24.56</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 w:eastAsia="仿宋_GB2312" w:cs="仿宋"/>
          <w:color w:val="auto"/>
          <w:sz w:val="28"/>
          <w:szCs w:val="28"/>
          <w:lang w:val="en-US" w:eastAsia="zh-CN"/>
        </w:rPr>
        <w:t>对个人和家庭的补助支出0.2万元，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0.12</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p>
    <w:p>
      <w:pPr>
        <w:ind w:firstLine="640" w:firstLineChars="200"/>
        <w:rPr>
          <w:rFonts w:ascii="仿宋_GB2312" w:eastAsia="仿宋_GB2312" w:cs="Times New Roman"/>
          <w:color w:val="auto"/>
          <w:sz w:val="32"/>
          <w:szCs w:val="32"/>
        </w:rPr>
      </w:pPr>
    </w:p>
    <w:p>
      <w:pPr>
        <w:widowControl/>
        <w:spacing w:line="600" w:lineRule="exact"/>
        <w:ind w:firstLine="640"/>
        <w:jc w:val="left"/>
        <w:rPr>
          <w:rFonts w:ascii="仿宋_GB2312" w:eastAsia="仿宋_GB2312" w:cs="Times New Roman"/>
          <w:color w:val="auto"/>
          <w:sz w:val="32"/>
          <w:szCs w:val="32"/>
        </w:rPr>
      </w:pPr>
      <w:r>
        <w:rPr>
          <w:rFonts w:hint="eastAsia" w:ascii="仿宋_GB2312" w:hAnsi="宋体" w:eastAsia="仿宋_GB2312" w:cs="仿宋_GB2312"/>
          <w:b/>
          <w:bCs/>
          <w:color w:val="auto"/>
          <w:sz w:val="32"/>
          <w:szCs w:val="32"/>
        </w:rPr>
        <w:t>（三）</w:t>
      </w:r>
      <w:r>
        <w:rPr>
          <w:rFonts w:hint="eastAsia" w:ascii="仿宋_GB2312" w:eastAsia="仿宋_GB2312"/>
          <w:b/>
          <w:color w:val="auto"/>
          <w:sz w:val="32"/>
          <w:szCs w:val="30"/>
        </w:rPr>
        <w:t>财政拨款支出情况</w:t>
      </w:r>
    </w:p>
    <w:p>
      <w:pPr>
        <w:ind w:firstLine="640" w:firstLineChars="200"/>
        <w:rPr>
          <w:rFonts w:hint="default" w:ascii="仿宋_GB2312" w:hAnsi="仿宋" w:eastAsia="仿宋_GB2312" w:cs="仿宋"/>
          <w:color w:val="auto"/>
          <w:sz w:val="28"/>
          <w:szCs w:val="28"/>
          <w:lang w:val="en-US" w:eastAsia="zh-CN"/>
        </w:rPr>
      </w:pPr>
      <w:r>
        <w:rPr>
          <w:rFonts w:hint="eastAsia" w:ascii="仿宋_GB2312" w:hAnsi="宋体" w:eastAsia="仿宋_GB2312" w:cs="仿宋_GB2312"/>
          <w:color w:val="auto"/>
          <w:sz w:val="32"/>
          <w:szCs w:val="32"/>
          <w:lang w:eastAsia="zh-CN"/>
        </w:rPr>
        <w:t>2022年医疗保障局</w:t>
      </w:r>
      <w:r>
        <w:rPr>
          <w:rFonts w:hint="eastAsia" w:ascii="仿宋_GB2312" w:hAnsi="宋体" w:eastAsia="仿宋_GB2312" w:cs="仿宋_GB2312"/>
          <w:color w:val="auto"/>
          <w:sz w:val="32"/>
          <w:szCs w:val="32"/>
        </w:rPr>
        <w:t>财政拨款支出预算</w:t>
      </w:r>
      <w:r>
        <w:rPr>
          <w:rFonts w:hint="eastAsia" w:ascii="仿宋_GB2312" w:hAnsi="宋体" w:eastAsia="仿宋_GB2312" w:cs="仿宋_GB2312"/>
          <w:color w:val="auto"/>
          <w:sz w:val="32"/>
          <w:szCs w:val="32"/>
          <w:lang w:val="en-US" w:eastAsia="zh-CN"/>
        </w:rPr>
        <w:t>162.31</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100%</w:t>
      </w:r>
      <w:r>
        <w:rPr>
          <w:rFonts w:hint="eastAsia" w:ascii="仿宋_GB2312" w:hAnsi="宋体" w:eastAsia="仿宋_GB2312" w:cs="仿宋_GB2312"/>
          <w:color w:val="auto"/>
          <w:sz w:val="32"/>
          <w:szCs w:val="32"/>
        </w:rPr>
        <w:t>，与上年预算相减</w:t>
      </w:r>
      <w:r>
        <w:rPr>
          <w:rFonts w:hint="eastAsia" w:ascii="仿宋_GB2312" w:hAnsi="宋体" w:eastAsia="仿宋_GB2312" w:cs="仿宋_GB2312"/>
          <w:color w:val="auto"/>
          <w:sz w:val="32"/>
          <w:szCs w:val="32"/>
          <w:lang w:eastAsia="zh-CN"/>
        </w:rPr>
        <w:t>少</w:t>
      </w:r>
      <w:r>
        <w:rPr>
          <w:rFonts w:hint="eastAsia" w:ascii="仿宋_GB2312" w:hAnsi="宋体" w:eastAsia="仿宋_GB2312" w:cs="仿宋_GB2312"/>
          <w:color w:val="auto"/>
          <w:sz w:val="32"/>
          <w:szCs w:val="32"/>
          <w:lang w:val="en-US" w:eastAsia="zh-CN"/>
        </w:rPr>
        <w:t>20.59万元</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人员变动</w:t>
      </w:r>
      <w:r>
        <w:rPr>
          <w:rFonts w:hint="eastAsia" w:ascii="仿宋_GB2312" w:hAnsi="宋体" w:eastAsia="仿宋_GB2312" w:cs="仿宋_GB2312"/>
          <w:color w:val="auto"/>
          <w:sz w:val="32"/>
          <w:szCs w:val="32"/>
        </w:rPr>
        <w:t>。具体支出情况是：</w:t>
      </w:r>
      <w:r>
        <w:rPr>
          <w:rFonts w:hint="eastAsia" w:ascii="仿宋_GB2312" w:hAnsi="仿宋" w:eastAsia="仿宋_GB2312" w:cs="仿宋"/>
          <w:color w:val="auto"/>
          <w:sz w:val="28"/>
          <w:szCs w:val="28"/>
          <w:lang w:eastAsia="zh-CN"/>
        </w:rPr>
        <w:t>般公共服务支出</w:t>
      </w:r>
      <w:r>
        <w:rPr>
          <w:rFonts w:hint="eastAsia" w:ascii="仿宋_GB2312" w:hAnsi="仿宋" w:eastAsia="仿宋_GB2312" w:cs="仿宋"/>
          <w:color w:val="auto"/>
          <w:sz w:val="28"/>
          <w:szCs w:val="28"/>
          <w:lang w:val="en-US" w:eastAsia="zh-CN"/>
        </w:rPr>
        <w:t>0万元，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0</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医疗卫生与计划生育支出0万元、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0</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社会保障和就业支出13.05万元、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8.04</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城乡社区支出0元、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0</w:t>
      </w:r>
      <w:r>
        <w:rPr>
          <w:rFonts w:hint="eastAsia" w:ascii="仿宋_GB2312" w:hAnsi="仿宋" w:eastAsia="仿宋_GB2312" w:cs="仿宋"/>
          <w:color w:val="auto"/>
          <w:sz w:val="28"/>
          <w:szCs w:val="28"/>
          <w:lang w:eastAsia="zh-CN"/>
        </w:rPr>
        <w:t>%，住房保障支出</w:t>
      </w:r>
      <w:r>
        <w:rPr>
          <w:rFonts w:hint="eastAsia" w:ascii="仿宋_GB2312" w:hAnsi="仿宋" w:eastAsia="仿宋_GB2312" w:cs="仿宋"/>
          <w:color w:val="auto"/>
          <w:sz w:val="28"/>
          <w:szCs w:val="28"/>
          <w:lang w:val="en-US" w:eastAsia="zh-CN"/>
        </w:rPr>
        <w:t>11.42万元，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7.04</w:t>
      </w:r>
      <w:r>
        <w:rPr>
          <w:rFonts w:hint="eastAsia" w:ascii="仿宋_GB2312" w:hAnsi="仿宋" w:eastAsia="仿宋_GB2312" w:cs="仿宋"/>
          <w:color w:val="auto"/>
          <w:sz w:val="28"/>
          <w:szCs w:val="28"/>
          <w:lang w:eastAsia="zh-CN"/>
        </w:rPr>
        <w:t>%，卫生健康支出</w:t>
      </w:r>
      <w:r>
        <w:rPr>
          <w:rFonts w:hint="eastAsia" w:ascii="仿宋_GB2312" w:hAnsi="仿宋" w:eastAsia="仿宋_GB2312" w:cs="仿宋"/>
          <w:color w:val="auto"/>
          <w:sz w:val="28"/>
          <w:szCs w:val="28"/>
          <w:lang w:val="en-US" w:eastAsia="zh-CN"/>
        </w:rPr>
        <w:t>137.83万元，占支出预算总额的84.72%。</w:t>
      </w:r>
    </w:p>
    <w:p>
      <w:pPr>
        <w:ind w:firstLine="640" w:firstLineChars="200"/>
        <w:rPr>
          <w:rFonts w:hint="eastAsia" w:ascii="仿宋_GB2312" w:eastAsia="仿宋_GB2312" w:cs="Times New Roman"/>
          <w:color w:val="auto"/>
          <w:sz w:val="32"/>
          <w:szCs w:val="32"/>
          <w:lang w:eastAsia="zh-CN"/>
        </w:rPr>
      </w:pPr>
    </w:p>
    <w:p>
      <w:pPr>
        <w:numPr>
          <w:ilvl w:val="0"/>
          <w:numId w:val="1"/>
        </w:numPr>
        <w:ind w:left="54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政府采购预算情况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outlineLvl w:val="9"/>
        <w:rPr>
          <w:rFonts w:ascii="仿宋_GB2312" w:hAnsi="仿宋" w:eastAsia="仿宋_GB2312" w:cs="仿宋"/>
          <w:color w:val="auto"/>
          <w:sz w:val="28"/>
          <w:szCs w:val="28"/>
        </w:rPr>
      </w:pPr>
      <w:r>
        <w:rPr>
          <w:rFonts w:hint="eastAsia" w:ascii="仿宋_GB2312" w:hAnsi="仿宋" w:eastAsia="仿宋_GB2312" w:cs="仿宋"/>
          <w:color w:val="auto"/>
          <w:sz w:val="28"/>
          <w:szCs w:val="28"/>
          <w:lang w:val="en-US" w:eastAsia="zh-CN"/>
        </w:rPr>
        <w:t>2022</w:t>
      </w:r>
      <w:r>
        <w:rPr>
          <w:rFonts w:hint="eastAsia" w:ascii="仿宋_GB2312" w:hAnsi="仿宋" w:eastAsia="仿宋_GB2312" w:cs="仿宋"/>
          <w:color w:val="auto"/>
          <w:sz w:val="28"/>
          <w:szCs w:val="28"/>
        </w:rPr>
        <w:t>年</w:t>
      </w:r>
      <w:r>
        <w:rPr>
          <w:rFonts w:hint="eastAsia" w:ascii="仿宋_GB2312" w:hAnsi="仿宋" w:eastAsia="仿宋_GB2312" w:cs="仿宋"/>
          <w:color w:val="auto"/>
          <w:sz w:val="28"/>
          <w:szCs w:val="28"/>
          <w:lang w:eastAsia="zh-CN"/>
        </w:rPr>
        <w:t>医疗保障局</w:t>
      </w:r>
      <w:r>
        <w:rPr>
          <w:rFonts w:hint="eastAsia" w:ascii="仿宋_GB2312" w:hAnsi="仿宋" w:eastAsia="仿宋_GB2312" w:cs="仿宋"/>
          <w:color w:val="auto"/>
          <w:sz w:val="28"/>
          <w:szCs w:val="28"/>
        </w:rPr>
        <w:t>政府采购预算为</w:t>
      </w:r>
      <w:r>
        <w:rPr>
          <w:rFonts w:hint="eastAsia" w:ascii="仿宋_GB2312" w:hAnsi="仿宋" w:eastAsia="仿宋_GB2312" w:cs="仿宋"/>
          <w:color w:val="auto"/>
          <w:sz w:val="28"/>
          <w:szCs w:val="28"/>
          <w:lang w:val="en-US" w:eastAsia="zh-CN"/>
        </w:rPr>
        <w:t>10</w:t>
      </w:r>
      <w:r>
        <w:rPr>
          <w:rFonts w:hint="eastAsia" w:ascii="仿宋_GB2312" w:hAnsi="仿宋" w:eastAsia="仿宋_GB2312" w:cs="仿宋"/>
          <w:color w:val="auto"/>
          <w:sz w:val="28"/>
          <w:szCs w:val="28"/>
        </w:rPr>
        <w:t>万元，其中：政府集中采购</w:t>
      </w:r>
      <w:r>
        <w:rPr>
          <w:rFonts w:hint="eastAsia" w:ascii="仿宋_GB2312" w:hAnsi="仿宋" w:eastAsia="仿宋_GB2312" w:cs="仿宋"/>
          <w:color w:val="auto"/>
          <w:sz w:val="28"/>
          <w:szCs w:val="28"/>
          <w:lang w:val="en-US" w:eastAsia="zh-CN"/>
        </w:rPr>
        <w:t>10</w:t>
      </w:r>
      <w:r>
        <w:rPr>
          <w:rFonts w:hint="eastAsia" w:ascii="仿宋_GB2312" w:hAnsi="仿宋" w:eastAsia="仿宋_GB2312" w:cs="仿宋"/>
          <w:color w:val="auto"/>
          <w:sz w:val="28"/>
          <w:szCs w:val="28"/>
        </w:rPr>
        <w:t>万元</w:t>
      </w:r>
      <w:r>
        <w:rPr>
          <w:rFonts w:hint="eastAsia" w:ascii="仿宋_GB2312" w:hAnsi="仿宋" w:eastAsia="仿宋_GB2312" w:cs="仿宋"/>
          <w:color w:val="auto"/>
          <w:sz w:val="28"/>
          <w:szCs w:val="28"/>
          <w:lang w:eastAsia="zh-CN"/>
        </w:rPr>
        <w:t>，部门集中采购</w:t>
      </w:r>
      <w:r>
        <w:rPr>
          <w:rFonts w:hint="eastAsia" w:ascii="仿宋_GB2312" w:hAnsi="仿宋" w:eastAsia="仿宋_GB2312" w:cs="仿宋"/>
          <w:color w:val="auto"/>
          <w:sz w:val="28"/>
          <w:szCs w:val="28"/>
          <w:lang w:val="en-US" w:eastAsia="zh-CN"/>
        </w:rPr>
        <w:t>0万元，增加了医疗保障宣传制作费。</w:t>
      </w:r>
    </w:p>
    <w:p>
      <w:pPr>
        <w:tabs>
          <w:tab w:val="left" w:pos="1162"/>
        </w:tabs>
        <w:ind w:left="420" w:leftChars="200" w:firstLine="320" w:firstLineChars="10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（五）政府基金收支情况</w:t>
      </w:r>
    </w:p>
    <w:p>
      <w:pPr>
        <w:tabs>
          <w:tab w:val="left" w:pos="1113"/>
        </w:tabs>
        <w:ind w:firstLine="560" w:firstLineChars="200"/>
        <w:rPr>
          <w:rFonts w:hint="eastAsia" w:ascii="仿宋_GB2312" w:hAnsi="仿宋" w:eastAsia="仿宋_GB2312" w:cs="仿宋"/>
          <w:color w:val="auto"/>
          <w:sz w:val="28"/>
          <w:szCs w:val="28"/>
          <w:lang w:val="en-US" w:eastAsia="zh-CN"/>
        </w:rPr>
      </w:pPr>
      <w:r>
        <w:rPr>
          <w:rFonts w:hint="eastAsia" w:ascii="仿宋_GB2312" w:hAnsi="仿宋" w:eastAsia="仿宋_GB2312" w:cs="仿宋"/>
          <w:color w:val="auto"/>
          <w:sz w:val="28"/>
          <w:szCs w:val="28"/>
          <w:lang w:val="en-US" w:eastAsia="zh-CN"/>
        </w:rPr>
        <w:t>没有使用政府性基金预算拨款安排的支出</w:t>
      </w:r>
    </w:p>
    <w:p>
      <w:pPr>
        <w:tabs>
          <w:tab w:val="left" w:pos="1113"/>
        </w:tabs>
        <w:ind w:firstLine="640" w:firstLineChars="20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（六）</w:t>
      </w:r>
      <w:r>
        <w:rPr>
          <w:rFonts w:hint="eastAsia" w:ascii="仿宋_GB2312" w:hAnsi="宋体" w:eastAsia="仿宋_GB2312" w:cs="仿宋_GB2312"/>
          <w:b/>
          <w:bCs/>
          <w:color w:val="auto"/>
          <w:sz w:val="32"/>
          <w:szCs w:val="32"/>
          <w:lang w:eastAsia="zh-CN"/>
        </w:rPr>
        <w:t>2022</w:t>
      </w:r>
      <w:r>
        <w:rPr>
          <w:rFonts w:hint="eastAsia" w:ascii="仿宋_GB2312" w:hAnsi="宋体" w:eastAsia="仿宋_GB2312" w:cs="仿宋_GB2312"/>
          <w:b/>
          <w:bCs/>
          <w:color w:val="auto"/>
          <w:sz w:val="32"/>
          <w:szCs w:val="32"/>
        </w:rPr>
        <w:t>年“三公”经费预算情况说明</w:t>
      </w:r>
    </w:p>
    <w:p>
      <w:pPr>
        <w:ind w:firstLine="640" w:firstLineChars="200"/>
        <w:rPr>
          <w:rFonts w:ascii="仿宋_GB2312" w:eastAsia="仿宋_GB2312" w:cs="Times New Roman"/>
          <w:color w:val="auto"/>
          <w:sz w:val="32"/>
          <w:szCs w:val="32"/>
        </w:rPr>
      </w:pPr>
      <w:r>
        <w:rPr>
          <w:rFonts w:hint="eastAsia" w:ascii="仿宋_GB2312" w:hAnsi="宋体" w:eastAsia="仿宋_GB2312" w:cs="仿宋_GB2312"/>
          <w:color w:val="auto"/>
          <w:sz w:val="32"/>
          <w:szCs w:val="32"/>
          <w:lang w:eastAsia="zh-CN"/>
        </w:rPr>
        <w:t>2022</w:t>
      </w:r>
      <w:r>
        <w:rPr>
          <w:rFonts w:hint="eastAsia" w:ascii="仿宋_GB2312" w:hAnsi="宋体" w:eastAsia="仿宋_GB2312" w:cs="仿宋_GB2312"/>
          <w:color w:val="auto"/>
          <w:sz w:val="32"/>
          <w:szCs w:val="32"/>
        </w:rPr>
        <w:t>年</w:t>
      </w:r>
      <w:r>
        <w:rPr>
          <w:rFonts w:hint="eastAsia" w:ascii="仿宋_GB2312" w:hAnsi="宋体" w:eastAsia="仿宋_GB2312" w:cs="仿宋_GB2312"/>
          <w:color w:val="auto"/>
          <w:sz w:val="32"/>
          <w:szCs w:val="32"/>
          <w:lang w:eastAsia="zh-CN"/>
        </w:rPr>
        <w:t>珠山区医疗保障局</w:t>
      </w:r>
      <w:r>
        <w:rPr>
          <w:rFonts w:hint="eastAsia" w:ascii="仿宋_GB2312" w:hAnsi="宋体" w:eastAsia="仿宋_GB2312" w:cs="仿宋_GB2312"/>
          <w:color w:val="auto"/>
          <w:sz w:val="32"/>
          <w:szCs w:val="32"/>
        </w:rPr>
        <w:t>“三公”经费年初预算安排</w:t>
      </w:r>
      <w:r>
        <w:rPr>
          <w:rFonts w:hint="eastAsia" w:ascii="仿宋_GB2312" w:hAnsi="宋体" w:eastAsia="仿宋_GB2312" w:cs="仿宋_GB2312"/>
          <w:color w:val="auto"/>
          <w:sz w:val="32"/>
          <w:szCs w:val="32"/>
          <w:lang w:val="en-US" w:eastAsia="zh-CN"/>
        </w:rPr>
        <w:t>1.92</w:t>
      </w:r>
      <w:r>
        <w:rPr>
          <w:rFonts w:hint="eastAsia" w:ascii="仿宋_GB2312" w:hAnsi="宋体" w:eastAsia="仿宋_GB2312" w:cs="仿宋_GB2312"/>
          <w:color w:val="auto"/>
          <w:sz w:val="32"/>
          <w:szCs w:val="32"/>
        </w:rPr>
        <w:t>万元。其中：因公出国（境）费</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万元，比上年增（减）</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万元，主要原因：</w:t>
      </w:r>
      <w:r>
        <w:rPr>
          <w:rFonts w:hint="eastAsia" w:ascii="仿宋_GB2312" w:eastAsia="仿宋_GB2312" w:cs="仿宋_GB2312"/>
          <w:color w:val="auto"/>
          <w:sz w:val="32"/>
          <w:szCs w:val="32"/>
          <w:lang w:eastAsia="zh-CN"/>
        </w:rPr>
        <w:t>无</w:t>
      </w:r>
      <w:r>
        <w:rPr>
          <w:rFonts w:hint="eastAsia" w:ascii="仿宋_GB2312" w:hAnsi="宋体" w:eastAsia="仿宋_GB2312" w:cs="仿宋_GB2312"/>
          <w:color w:val="auto"/>
          <w:sz w:val="32"/>
          <w:szCs w:val="32"/>
        </w:rPr>
        <w:t>。</w:t>
      </w:r>
    </w:p>
    <w:p>
      <w:pPr>
        <w:ind w:firstLine="640" w:firstLineChars="200"/>
        <w:rPr>
          <w:rFonts w:ascii="仿宋_GB2312" w:eastAsia="仿宋_GB2312" w:cs="Times New Roman"/>
          <w:color w:val="auto"/>
          <w:sz w:val="32"/>
          <w:szCs w:val="32"/>
        </w:rPr>
      </w:pPr>
      <w:r>
        <w:rPr>
          <w:rFonts w:hint="eastAsia" w:ascii="仿宋_GB2312" w:hAnsi="宋体" w:eastAsia="仿宋_GB2312" w:cs="仿宋_GB2312"/>
          <w:color w:val="auto"/>
          <w:sz w:val="32"/>
          <w:szCs w:val="32"/>
        </w:rPr>
        <w:t>公务接待费</w:t>
      </w:r>
      <w:r>
        <w:rPr>
          <w:rFonts w:hint="eastAsia" w:ascii="仿宋_GB2312" w:hAnsi="宋体" w:eastAsia="仿宋_GB2312" w:cs="仿宋_GB2312"/>
          <w:color w:val="auto"/>
          <w:sz w:val="32"/>
          <w:szCs w:val="32"/>
          <w:lang w:val="en-US" w:eastAsia="zh-CN"/>
        </w:rPr>
        <w:t>1.92</w:t>
      </w:r>
      <w:r>
        <w:rPr>
          <w:rFonts w:hint="eastAsia" w:ascii="仿宋_GB2312" w:hAnsi="宋体" w:eastAsia="仿宋_GB2312" w:cs="仿宋_GB2312"/>
          <w:color w:val="auto"/>
          <w:sz w:val="32"/>
          <w:szCs w:val="32"/>
        </w:rPr>
        <w:t>万元，比上年减</w:t>
      </w:r>
      <w:r>
        <w:rPr>
          <w:rFonts w:hint="eastAsia" w:ascii="仿宋_GB2312" w:hAnsi="宋体" w:eastAsia="仿宋_GB2312" w:cs="仿宋_GB2312"/>
          <w:color w:val="auto"/>
          <w:sz w:val="32"/>
          <w:szCs w:val="32"/>
          <w:lang w:eastAsia="zh-CN"/>
        </w:rPr>
        <w:t>少</w:t>
      </w:r>
      <w:r>
        <w:rPr>
          <w:rFonts w:hint="eastAsia" w:ascii="仿宋_GB2312" w:hAnsi="宋体" w:eastAsia="仿宋_GB2312" w:cs="仿宋_GB2312"/>
          <w:color w:val="auto"/>
          <w:sz w:val="32"/>
          <w:szCs w:val="32"/>
          <w:lang w:val="en-US" w:eastAsia="zh-CN"/>
        </w:rPr>
        <w:t>0.04</w:t>
      </w:r>
      <w:r>
        <w:rPr>
          <w:rFonts w:hint="eastAsia" w:ascii="仿宋_GB2312" w:hAnsi="宋体" w:eastAsia="仿宋_GB2312" w:cs="仿宋_GB2312"/>
          <w:color w:val="auto"/>
          <w:sz w:val="32"/>
          <w:szCs w:val="32"/>
        </w:rPr>
        <w:t>万元，主要原因：</w:t>
      </w:r>
      <w:r>
        <w:rPr>
          <w:rFonts w:hint="eastAsia" w:ascii="仿宋_GB2312" w:eastAsia="仿宋_GB2312" w:cs="仿宋_GB2312"/>
          <w:color w:val="auto"/>
          <w:sz w:val="32"/>
          <w:szCs w:val="32"/>
          <w:lang w:eastAsia="zh-CN"/>
        </w:rPr>
        <w:t>节约开支，减少接待</w:t>
      </w:r>
      <w:r>
        <w:rPr>
          <w:rFonts w:hint="eastAsia" w:ascii="仿宋_GB2312" w:hAnsi="宋体" w:eastAsia="仿宋_GB2312" w:cs="仿宋_GB2312"/>
          <w:color w:val="auto"/>
          <w:sz w:val="32"/>
          <w:szCs w:val="32"/>
        </w:rPr>
        <w:t>。</w:t>
      </w:r>
    </w:p>
    <w:p>
      <w:pPr>
        <w:ind w:firstLine="640" w:firstLineChars="200"/>
        <w:rPr>
          <w:rFonts w:ascii="仿宋_GB2312" w:eastAsia="仿宋_GB2312" w:cs="Times New Roman"/>
          <w:color w:val="auto"/>
          <w:sz w:val="32"/>
          <w:szCs w:val="32"/>
        </w:rPr>
      </w:pPr>
      <w:r>
        <w:rPr>
          <w:rFonts w:hint="eastAsia" w:ascii="仿宋_GB2312" w:hAnsi="宋体" w:eastAsia="仿宋_GB2312" w:cs="仿宋_GB2312"/>
          <w:color w:val="auto"/>
          <w:sz w:val="32"/>
          <w:szCs w:val="32"/>
        </w:rPr>
        <w:t>公务用车运行维护费</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万元，比上年增（减）</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万元，主要原因：</w:t>
      </w:r>
      <w:r>
        <w:rPr>
          <w:rFonts w:hint="eastAsia" w:ascii="仿宋_GB2312" w:eastAsia="仿宋_GB2312" w:cs="仿宋_GB2312"/>
          <w:color w:val="auto"/>
          <w:sz w:val="32"/>
          <w:szCs w:val="32"/>
          <w:lang w:eastAsia="zh-CN"/>
        </w:rPr>
        <w:t>无</w:t>
      </w:r>
      <w:r>
        <w:rPr>
          <w:rFonts w:hint="eastAsia" w:ascii="仿宋_GB2312" w:hAnsi="宋体" w:eastAsia="仿宋_GB2312" w:cs="仿宋_GB2312"/>
          <w:color w:val="auto"/>
          <w:sz w:val="32"/>
          <w:szCs w:val="32"/>
        </w:rPr>
        <w:t>。</w:t>
      </w:r>
    </w:p>
    <w:p>
      <w:pPr>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公务用车购置费</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万元，比上年增（减）</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万元，主要原因：</w:t>
      </w:r>
      <w:r>
        <w:rPr>
          <w:rFonts w:hint="eastAsia" w:ascii="仿宋_GB2312" w:eastAsia="仿宋_GB2312" w:cs="仿宋_GB2312"/>
          <w:color w:val="auto"/>
          <w:sz w:val="32"/>
          <w:szCs w:val="32"/>
          <w:lang w:eastAsia="zh-CN"/>
        </w:rPr>
        <w:t>无</w:t>
      </w:r>
      <w:r>
        <w:rPr>
          <w:rFonts w:hint="eastAsia" w:ascii="仿宋_GB2312" w:hAnsi="宋体" w:eastAsia="仿宋_GB2312" w:cs="仿宋_GB2312"/>
          <w:color w:val="auto"/>
          <w:sz w:val="32"/>
          <w:szCs w:val="32"/>
        </w:rPr>
        <w:t>。</w:t>
      </w:r>
    </w:p>
    <w:p>
      <w:pPr>
        <w:widowControl/>
        <w:spacing w:line="600" w:lineRule="exact"/>
        <w:ind w:firstLine="640" w:firstLineChars="200"/>
        <w:jc w:val="left"/>
        <w:rPr>
          <w:rFonts w:ascii="仿宋_GB2312" w:eastAsia="仿宋_GB2312"/>
          <w:b/>
          <w:color w:val="auto"/>
          <w:sz w:val="32"/>
          <w:szCs w:val="30"/>
        </w:rPr>
      </w:pPr>
      <w:r>
        <w:rPr>
          <w:rFonts w:hint="eastAsia" w:ascii="仿宋_GB2312" w:hAnsi="宋体" w:eastAsia="仿宋_GB2312" w:cs="仿宋_GB2312"/>
          <w:b/>
          <w:bCs/>
          <w:color w:val="auto"/>
          <w:sz w:val="32"/>
          <w:szCs w:val="32"/>
        </w:rPr>
        <w:t>（七）</w:t>
      </w:r>
      <w:r>
        <w:rPr>
          <w:rFonts w:hint="eastAsia" w:ascii="仿宋_GB2312" w:eastAsia="仿宋_GB2312"/>
          <w:b/>
          <w:bCs/>
          <w:color w:val="auto"/>
          <w:sz w:val="32"/>
          <w:szCs w:val="30"/>
        </w:rPr>
        <w:t>整体</w:t>
      </w:r>
      <w:r>
        <w:rPr>
          <w:rFonts w:hint="eastAsia" w:ascii="仿宋_GB2312" w:eastAsia="仿宋_GB2312"/>
          <w:b/>
          <w:color w:val="auto"/>
          <w:sz w:val="32"/>
          <w:szCs w:val="30"/>
        </w:rPr>
        <w:t>绩效目标设置情况</w:t>
      </w:r>
    </w:p>
    <w:p>
      <w:pPr>
        <w:widowControl/>
        <w:spacing w:line="600" w:lineRule="exact"/>
        <w:ind w:firstLine="640"/>
        <w:jc w:val="left"/>
        <w:rPr>
          <w:rFonts w:hint="eastAsia" w:ascii="仿宋_GB2312" w:eastAsia="仿宋_GB2312"/>
          <w:color w:val="auto"/>
          <w:sz w:val="32"/>
          <w:szCs w:val="30"/>
          <w:lang w:val="en-US" w:eastAsia="zh-CN"/>
        </w:rPr>
      </w:pPr>
      <w:r>
        <w:rPr>
          <w:rFonts w:hint="eastAsia" w:ascii="仿宋_GB2312" w:eastAsia="仿宋_GB2312"/>
          <w:color w:val="auto"/>
          <w:sz w:val="32"/>
          <w:szCs w:val="30"/>
          <w:lang w:eastAsia="zh-CN"/>
        </w:rPr>
        <w:t>2022</w:t>
      </w:r>
      <w:r>
        <w:rPr>
          <w:rFonts w:hint="eastAsia" w:ascii="仿宋_GB2312" w:eastAsia="仿宋_GB2312"/>
          <w:color w:val="auto"/>
          <w:sz w:val="32"/>
          <w:szCs w:val="30"/>
        </w:rPr>
        <w:t>年部门整体</w:t>
      </w:r>
      <w:r>
        <w:rPr>
          <w:rFonts w:hint="eastAsia" w:ascii="仿宋_GB2312" w:eastAsia="仿宋_GB2312"/>
          <w:color w:val="auto"/>
          <w:sz w:val="32"/>
          <w:szCs w:val="30"/>
          <w:lang w:eastAsia="zh-CN"/>
        </w:rPr>
        <w:t>预算资金为</w:t>
      </w:r>
      <w:r>
        <w:rPr>
          <w:rFonts w:hint="eastAsia" w:ascii="仿宋_GB2312" w:eastAsia="仿宋_GB2312"/>
          <w:color w:val="auto"/>
          <w:sz w:val="32"/>
          <w:szCs w:val="30"/>
          <w:lang w:val="en-US" w:eastAsia="zh-CN"/>
        </w:rPr>
        <w:t>162.31万元，具体情况国是：</w:t>
      </w:r>
    </w:p>
    <w:p>
      <w:pPr>
        <w:widowControl/>
        <w:numPr>
          <w:ilvl w:val="0"/>
          <w:numId w:val="2"/>
        </w:numPr>
        <w:spacing w:line="600" w:lineRule="exact"/>
        <w:ind w:left="559" w:leftChars="266" w:firstLine="0" w:firstLineChars="0"/>
        <w:jc w:val="left"/>
        <w:rPr>
          <w:rFonts w:hint="eastAsia" w:ascii="仿宋_GB2312" w:hAnsi="仿宋_GB2312" w:eastAsia="仿宋_GB2312" w:cs="仿宋_GB2312"/>
          <w:color w:val="auto"/>
          <w:sz w:val="28"/>
          <w:szCs w:val="28"/>
          <w:highlight w:val="none"/>
          <w:shd w:val="clear" w:color="auto" w:fill="auto"/>
        </w:rPr>
      </w:pPr>
      <w:r>
        <w:rPr>
          <w:rFonts w:hint="eastAsia" w:ascii="仿宋_GB2312" w:hAnsi="仿宋" w:eastAsia="仿宋_GB2312" w:cs="仿宋"/>
          <w:color w:val="auto"/>
          <w:sz w:val="28"/>
          <w:szCs w:val="28"/>
          <w:lang w:val="en-US" w:eastAsia="zh-CN"/>
        </w:rPr>
        <w:t>工资资福利支出122.25万元，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75.32</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，绩效目标：按时发放工资</w:t>
      </w:r>
    </w:p>
    <w:p>
      <w:pPr>
        <w:widowControl/>
        <w:numPr>
          <w:ilvl w:val="0"/>
          <w:numId w:val="2"/>
        </w:numPr>
        <w:spacing w:line="600" w:lineRule="exact"/>
        <w:ind w:left="559" w:leftChars="266" w:firstLine="0" w:firstLineChars="0"/>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 w:eastAsia="仿宋_GB2312" w:cs="仿宋"/>
          <w:color w:val="auto"/>
          <w:sz w:val="28"/>
          <w:szCs w:val="28"/>
          <w:lang w:val="en-US" w:eastAsia="zh-CN"/>
        </w:rPr>
        <w:t>商品和服务支出39.86万元，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24.56</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，绩效目标1：提高医保经办服务能力</w:t>
      </w:r>
    </w:p>
    <w:p>
      <w:pPr>
        <w:widowControl/>
        <w:numPr>
          <w:ilvl w:val="0"/>
          <w:numId w:val="0"/>
        </w:numPr>
        <w:spacing w:line="600" w:lineRule="exact"/>
        <w:ind w:leftChars="266"/>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绩效目标2：提高医保综合监管能力</w:t>
      </w:r>
    </w:p>
    <w:p>
      <w:pPr>
        <w:widowControl/>
        <w:numPr>
          <w:ilvl w:val="0"/>
          <w:numId w:val="0"/>
        </w:numPr>
        <w:spacing w:line="600" w:lineRule="exact"/>
        <w:ind w:leftChars="266"/>
        <w:jc w:val="left"/>
        <w:rPr>
          <w:rFonts w:hint="eastAsia" w:ascii="仿宋_GB2312" w:hAnsi="仿宋_GB2312" w:eastAsia="仿宋_GB2312" w:cs="仿宋_GB2312"/>
          <w:color w:val="auto"/>
          <w:sz w:val="28"/>
          <w:szCs w:val="28"/>
          <w:highlight w:val="none"/>
          <w:shd w:val="clear" w:color="auto" w:fill="auto"/>
          <w:lang w:eastAsia="zh-CN"/>
        </w:rPr>
      </w:pPr>
    </w:p>
    <w:p>
      <w:pPr>
        <w:widowControl/>
        <w:numPr>
          <w:ilvl w:val="0"/>
          <w:numId w:val="0"/>
        </w:numPr>
        <w:spacing w:line="600" w:lineRule="exact"/>
        <w:ind w:leftChars="266"/>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绩效目标</w:t>
      </w:r>
      <w:r>
        <w:rPr>
          <w:rFonts w:hint="eastAsia" w:ascii="仿宋_GB2312" w:hAnsi="仿宋_GB2312" w:eastAsia="仿宋_GB2312" w:cs="仿宋_GB2312"/>
          <w:color w:val="auto"/>
          <w:sz w:val="28"/>
          <w:szCs w:val="28"/>
          <w:highlight w:val="none"/>
          <w:shd w:val="clear" w:color="auto" w:fill="auto"/>
          <w:lang w:val="en-US" w:eastAsia="zh-CN"/>
        </w:rPr>
        <w:t>3：提高</w:t>
      </w:r>
      <w:r>
        <w:rPr>
          <w:rFonts w:hint="eastAsia" w:ascii="仿宋_GB2312" w:hAnsi="仿宋_GB2312" w:eastAsia="仿宋_GB2312" w:cs="仿宋_GB2312"/>
          <w:color w:val="auto"/>
          <w:sz w:val="28"/>
          <w:szCs w:val="28"/>
          <w:highlight w:val="none"/>
          <w:shd w:val="clear" w:color="auto" w:fill="auto"/>
          <w:lang w:eastAsia="zh-CN"/>
        </w:rPr>
        <w:t>政策宣传普及执行率</w:t>
      </w:r>
    </w:p>
    <w:p>
      <w:pPr>
        <w:widowControl/>
        <w:numPr>
          <w:ilvl w:val="0"/>
          <w:numId w:val="0"/>
        </w:numPr>
        <w:spacing w:line="600" w:lineRule="exact"/>
        <w:ind w:leftChars="266"/>
        <w:jc w:val="left"/>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eastAsia="zh-CN"/>
        </w:rPr>
        <w:t>绩效目标</w:t>
      </w:r>
      <w:r>
        <w:rPr>
          <w:rFonts w:hint="eastAsia" w:ascii="仿宋_GB2312" w:hAnsi="仿宋_GB2312" w:eastAsia="仿宋_GB2312" w:cs="仿宋_GB2312"/>
          <w:color w:val="auto"/>
          <w:sz w:val="28"/>
          <w:szCs w:val="28"/>
          <w:highlight w:val="none"/>
          <w:shd w:val="clear" w:color="auto" w:fill="auto"/>
          <w:lang w:val="en-US" w:eastAsia="zh-CN"/>
        </w:rPr>
        <w:t>4：提高医保信息系统正常运行能力</w:t>
      </w:r>
    </w:p>
    <w:p>
      <w:pPr>
        <w:widowControl/>
        <w:numPr>
          <w:ilvl w:val="0"/>
          <w:numId w:val="0"/>
        </w:numPr>
        <w:spacing w:line="600" w:lineRule="exact"/>
        <w:ind w:leftChars="266"/>
        <w:jc w:val="left"/>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eastAsia="zh-CN"/>
        </w:rPr>
        <w:t>绩效目标</w:t>
      </w:r>
      <w:r>
        <w:rPr>
          <w:rFonts w:hint="eastAsia" w:ascii="仿宋_GB2312" w:hAnsi="仿宋_GB2312" w:eastAsia="仿宋_GB2312" w:cs="仿宋_GB2312"/>
          <w:color w:val="auto"/>
          <w:sz w:val="28"/>
          <w:szCs w:val="28"/>
          <w:highlight w:val="none"/>
          <w:shd w:val="clear" w:color="auto" w:fill="auto"/>
          <w:lang w:val="en-US" w:eastAsia="zh-CN"/>
        </w:rPr>
        <w:t>5：提高医保标准化水平</w:t>
      </w:r>
    </w:p>
    <w:p>
      <w:pPr>
        <w:widowControl/>
        <w:numPr>
          <w:ilvl w:val="0"/>
          <w:numId w:val="0"/>
        </w:numPr>
        <w:spacing w:line="600" w:lineRule="exact"/>
        <w:ind w:leftChars="266"/>
        <w:jc w:val="left"/>
        <w:rPr>
          <w:rFonts w:hint="default"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eastAsia="zh-CN"/>
        </w:rPr>
        <w:t>绩效目标</w:t>
      </w:r>
      <w:r>
        <w:rPr>
          <w:rFonts w:hint="eastAsia" w:ascii="仿宋_GB2312" w:hAnsi="仿宋_GB2312" w:eastAsia="仿宋_GB2312" w:cs="仿宋_GB2312"/>
          <w:color w:val="auto"/>
          <w:sz w:val="28"/>
          <w:szCs w:val="28"/>
          <w:highlight w:val="none"/>
          <w:shd w:val="clear" w:color="auto" w:fill="auto"/>
          <w:lang w:val="en-US" w:eastAsia="zh-CN"/>
        </w:rPr>
        <w:t>6：提高医保法制建设能力</w:t>
      </w:r>
    </w:p>
    <w:p>
      <w:pPr>
        <w:widowControl/>
        <w:numPr>
          <w:ilvl w:val="0"/>
          <w:numId w:val="0"/>
        </w:numPr>
        <w:spacing w:line="600" w:lineRule="exact"/>
        <w:ind w:leftChars="266"/>
        <w:jc w:val="left"/>
        <w:rPr>
          <w:rFonts w:ascii="仿宋_GB2312" w:eastAsia="仿宋_GB2312"/>
          <w:b/>
          <w:color w:val="auto"/>
          <w:sz w:val="32"/>
          <w:szCs w:val="30"/>
        </w:rPr>
      </w:pPr>
      <w:r>
        <w:rPr>
          <w:rFonts w:hint="eastAsia" w:ascii="仿宋_GB2312" w:hAnsi="宋体" w:eastAsia="仿宋_GB2312" w:cs="仿宋_GB2312"/>
          <w:b/>
          <w:bCs/>
          <w:color w:val="auto"/>
          <w:sz w:val="32"/>
          <w:szCs w:val="32"/>
        </w:rPr>
        <w:t>（八）</w:t>
      </w:r>
      <w:r>
        <w:rPr>
          <w:rFonts w:hint="eastAsia" w:ascii="仿宋_GB2312" w:eastAsia="仿宋_GB2312"/>
          <w:b/>
          <w:bCs/>
          <w:color w:val="auto"/>
          <w:sz w:val="32"/>
          <w:szCs w:val="30"/>
        </w:rPr>
        <w:t>一级</w:t>
      </w:r>
      <w:r>
        <w:rPr>
          <w:rFonts w:hint="eastAsia" w:ascii="仿宋_GB2312" w:eastAsia="仿宋_GB2312"/>
          <w:b/>
          <w:color w:val="auto"/>
          <w:sz w:val="32"/>
          <w:szCs w:val="30"/>
        </w:rPr>
        <w:t>项目绩效目标设置情况</w:t>
      </w:r>
    </w:p>
    <w:p>
      <w:pPr>
        <w:widowControl/>
        <w:spacing w:line="600" w:lineRule="exact"/>
        <w:ind w:firstLine="640"/>
        <w:jc w:val="left"/>
        <w:rPr>
          <w:rFonts w:ascii="仿宋_GB2312" w:eastAsia="仿宋_GB2312"/>
          <w:color w:val="auto"/>
          <w:sz w:val="32"/>
          <w:szCs w:val="30"/>
        </w:rPr>
      </w:pPr>
      <w:r>
        <w:rPr>
          <w:rFonts w:hint="eastAsia" w:ascii="仿宋_GB2312" w:eastAsia="仿宋_GB2312"/>
          <w:color w:val="auto"/>
          <w:sz w:val="32"/>
          <w:szCs w:val="30"/>
          <w:lang w:eastAsia="zh-CN"/>
        </w:rPr>
        <w:t>2022</w:t>
      </w:r>
      <w:r>
        <w:rPr>
          <w:rFonts w:hint="eastAsia" w:ascii="仿宋_GB2312" w:eastAsia="仿宋_GB2312"/>
          <w:color w:val="auto"/>
          <w:sz w:val="32"/>
          <w:szCs w:val="30"/>
        </w:rPr>
        <w:t xml:space="preserve">年实行绩效目标管理的一级项目  </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 xml:space="preserve"> 个，涉及资金     </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 xml:space="preserve">万元，其中：二级项目 </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 xml:space="preserve">   个（部门预算中  万元以上的，且进行了绩效评审的项目   </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 xml:space="preserve">  个，涉及资金     万元），涉及资金   </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 xml:space="preserve">  万元。</w:t>
      </w:r>
    </w:p>
    <w:p>
      <w:pPr>
        <w:widowControl/>
        <w:spacing w:line="600" w:lineRule="exact"/>
        <w:ind w:firstLine="640" w:firstLineChars="200"/>
        <w:jc w:val="left"/>
        <w:rPr>
          <w:rFonts w:ascii="仿宋_GB2312" w:eastAsia="仿宋_GB2312"/>
          <w:b/>
          <w:color w:val="auto"/>
          <w:sz w:val="32"/>
          <w:szCs w:val="30"/>
        </w:rPr>
      </w:pPr>
      <w:r>
        <w:rPr>
          <w:rFonts w:hint="eastAsia" w:ascii="仿宋_GB2312" w:eastAsia="仿宋_GB2312"/>
          <w:b/>
          <w:color w:val="auto"/>
          <w:sz w:val="32"/>
          <w:szCs w:val="30"/>
        </w:rPr>
        <w:t>（九）一级项目中各二级项目情况说明（部门本级）</w:t>
      </w:r>
    </w:p>
    <w:p>
      <w:pPr>
        <w:ind w:firstLine="640" w:firstLineChars="200"/>
        <w:rPr>
          <w:rFonts w:hint="eastAsia" w:ascii="黑体" w:hAnsi="宋体" w:eastAsia="黑体" w:cs="黑体"/>
          <w:color w:val="auto"/>
          <w:sz w:val="32"/>
          <w:szCs w:val="32"/>
        </w:rPr>
      </w:pPr>
      <w:r>
        <w:rPr>
          <w:rFonts w:hint="eastAsia" w:ascii="仿宋_GB2312" w:eastAsia="仿宋_GB2312"/>
          <w:color w:val="auto"/>
          <w:sz w:val="32"/>
          <w:szCs w:val="30"/>
          <w:lang w:eastAsia="zh-CN"/>
        </w:rPr>
        <w:t>无</w:t>
      </w:r>
    </w:p>
    <w:p>
      <w:pPr>
        <w:rPr>
          <w:rFonts w:hint="eastAsia" w:ascii="黑体" w:hAnsi="宋体" w:eastAsia="黑体" w:cs="黑体"/>
          <w:color w:val="auto"/>
          <w:sz w:val="32"/>
          <w:szCs w:val="32"/>
        </w:rPr>
      </w:pPr>
    </w:p>
    <w:p>
      <w:pPr>
        <w:jc w:val="center"/>
        <w:rPr>
          <w:rFonts w:ascii="黑体" w:eastAsia="黑体" w:cs="Times New Roman"/>
          <w:color w:val="auto"/>
          <w:sz w:val="32"/>
          <w:szCs w:val="32"/>
        </w:rPr>
      </w:pPr>
      <w:r>
        <w:rPr>
          <w:rFonts w:hint="eastAsia" w:ascii="黑体" w:hAnsi="宋体" w:eastAsia="黑体" w:cs="黑体"/>
          <w:color w:val="auto"/>
          <w:sz w:val="32"/>
          <w:szCs w:val="32"/>
        </w:rPr>
        <w:t>第三部分</w:t>
      </w:r>
      <w:r>
        <w:rPr>
          <w:rFonts w:ascii="黑体" w:hAnsi="宋体" w:eastAsia="黑体" w:cs="黑体"/>
          <w:color w:val="auto"/>
          <w:sz w:val="32"/>
          <w:szCs w:val="32"/>
        </w:rPr>
        <w:t xml:space="preserve">  </w:t>
      </w:r>
      <w:r>
        <w:rPr>
          <w:rFonts w:hint="eastAsia" w:ascii="黑体" w:hAnsi="宋体" w:eastAsia="黑体" w:cs="黑体"/>
          <w:color w:val="auto"/>
          <w:sz w:val="32"/>
          <w:szCs w:val="32"/>
          <w:lang w:val="en-US" w:eastAsia="zh-CN"/>
        </w:rPr>
        <w:t>珠山区医疗保障局</w:t>
      </w:r>
      <w:r>
        <w:rPr>
          <w:rFonts w:hint="eastAsia" w:ascii="黑体" w:hAnsi="宋体" w:eastAsia="黑体" w:cs="黑体"/>
          <w:color w:val="auto"/>
          <w:sz w:val="32"/>
          <w:szCs w:val="32"/>
          <w:lang w:eastAsia="zh-CN"/>
        </w:rPr>
        <w:t>2022</w:t>
      </w:r>
      <w:r>
        <w:rPr>
          <w:rFonts w:hint="eastAsia" w:ascii="黑体" w:hAnsi="宋体" w:eastAsia="黑体" w:cs="黑体"/>
          <w:color w:val="auto"/>
          <w:sz w:val="32"/>
          <w:szCs w:val="32"/>
        </w:rPr>
        <w:t>年部门预算表</w:t>
      </w:r>
    </w:p>
    <w:p>
      <w:pPr>
        <w:jc w:val="both"/>
        <w:rPr>
          <w:rFonts w:ascii="仿宋_GB2312" w:hAnsi="宋体" w:eastAsia="仿宋_GB2312" w:cs="仿宋_GB2312"/>
          <w:color w:val="auto"/>
          <w:sz w:val="32"/>
          <w:szCs w:val="32"/>
        </w:rPr>
      </w:pPr>
    </w:p>
    <w:p>
      <w:pPr>
        <w:rPr>
          <w:rFonts w:ascii="仿宋_GB2312" w:hAnsi="宋体" w:eastAsia="仿宋_GB2312" w:cs="仿宋_GB2312"/>
          <w:color w:val="auto"/>
          <w:sz w:val="32"/>
          <w:szCs w:val="32"/>
          <w:shd w:val="clear" w:color="FFFFFF" w:fill="D9D9D9"/>
        </w:rPr>
      </w:pPr>
    </w:p>
    <w:p>
      <w:pPr>
        <w:rPr>
          <w:rFonts w:hint="eastAsia" w:ascii="黑体" w:hAnsi="宋体" w:eastAsia="黑体" w:cs="黑体"/>
          <w:color w:val="auto"/>
          <w:sz w:val="32"/>
          <w:szCs w:val="32"/>
        </w:rPr>
      </w:pPr>
    </w:p>
    <w:p>
      <w:pPr>
        <w:rPr>
          <w:rFonts w:hint="eastAsia" w:ascii="黑体" w:hAnsi="宋体" w:eastAsia="黑体" w:cs="黑体"/>
          <w:color w:val="auto"/>
          <w:sz w:val="32"/>
          <w:szCs w:val="32"/>
        </w:rPr>
      </w:pPr>
    </w:p>
    <w:p>
      <w:pPr>
        <w:rPr>
          <w:rFonts w:hint="eastAsia" w:ascii="黑体" w:hAnsi="宋体" w:eastAsia="黑体" w:cs="黑体"/>
          <w:color w:val="auto"/>
          <w:sz w:val="32"/>
          <w:szCs w:val="32"/>
        </w:rPr>
      </w:pPr>
    </w:p>
    <w:p>
      <w:pPr>
        <w:rPr>
          <w:rFonts w:hint="eastAsia" w:ascii="黑体" w:hAnsi="宋体" w:eastAsia="黑体" w:cs="黑体"/>
          <w:color w:val="auto"/>
          <w:sz w:val="32"/>
          <w:szCs w:val="32"/>
        </w:rPr>
      </w:pPr>
    </w:p>
    <w:p>
      <w:pPr>
        <w:rPr>
          <w:rFonts w:hint="eastAsia" w:ascii="黑体" w:hAnsi="宋体" w:eastAsia="黑体" w:cs="黑体"/>
          <w:color w:val="auto"/>
          <w:sz w:val="32"/>
          <w:szCs w:val="32"/>
        </w:rPr>
      </w:pPr>
    </w:p>
    <w:p>
      <w:pPr>
        <w:rPr>
          <w:rFonts w:hint="eastAsia" w:ascii="黑体" w:hAnsi="宋体" w:eastAsia="黑体" w:cs="黑体"/>
          <w:color w:val="auto"/>
          <w:sz w:val="32"/>
          <w:szCs w:val="32"/>
        </w:rPr>
      </w:pPr>
      <w:bookmarkStart w:id="0" w:name="_GoBack"/>
      <w:bookmarkEnd w:id="0"/>
    </w:p>
    <w:p>
      <w:pPr>
        <w:rPr>
          <w:rFonts w:hint="eastAsia" w:ascii="黑体" w:hAnsi="宋体" w:eastAsia="黑体" w:cs="黑体"/>
          <w:color w:val="auto"/>
          <w:sz w:val="32"/>
          <w:szCs w:val="32"/>
        </w:rPr>
      </w:pPr>
    </w:p>
    <w:p>
      <w:pPr>
        <w:jc w:val="center"/>
        <w:rPr>
          <w:rFonts w:ascii="仿宋_GB2312" w:eastAsia="仿宋_GB2312" w:cs="Times New Roman"/>
          <w:b/>
          <w:bCs/>
          <w:color w:val="auto"/>
          <w:sz w:val="32"/>
          <w:szCs w:val="32"/>
        </w:rPr>
      </w:pPr>
      <w:r>
        <w:rPr>
          <w:rFonts w:hint="eastAsia" w:ascii="黑体" w:hAnsi="宋体" w:eastAsia="黑体" w:cs="黑体"/>
          <w:color w:val="auto"/>
          <w:sz w:val="32"/>
          <w:szCs w:val="32"/>
        </w:rPr>
        <w:t>第四部分</w:t>
      </w:r>
      <w:r>
        <w:rPr>
          <w:rFonts w:ascii="黑体" w:hAnsi="宋体" w:eastAsia="黑体" w:cs="黑体"/>
          <w:color w:val="auto"/>
          <w:sz w:val="32"/>
          <w:szCs w:val="32"/>
        </w:rPr>
        <w:t xml:space="preserve">  </w:t>
      </w:r>
      <w:r>
        <w:rPr>
          <w:rFonts w:hint="eastAsia" w:ascii="黑体" w:hAnsi="宋体" w:eastAsia="黑体" w:cs="黑体"/>
          <w:color w:val="auto"/>
          <w:sz w:val="32"/>
          <w:szCs w:val="32"/>
        </w:rPr>
        <w:t>名词解释</w:t>
      </w:r>
    </w:p>
    <w:p>
      <w:pPr>
        <w:widowControl/>
        <w:spacing w:line="600" w:lineRule="exact"/>
        <w:ind w:firstLine="640"/>
        <w:jc w:val="left"/>
        <w:rPr>
          <w:rFonts w:ascii="仿宋_GB2312" w:eastAsia="仿宋_GB2312"/>
          <w:color w:val="auto"/>
          <w:sz w:val="32"/>
          <w:szCs w:val="30"/>
        </w:rPr>
      </w:pPr>
      <w:r>
        <w:rPr>
          <w:rFonts w:hint="eastAsia" w:ascii="仿宋_GB2312" w:eastAsia="仿宋_GB2312"/>
          <w:color w:val="auto"/>
          <w:sz w:val="32"/>
          <w:szCs w:val="30"/>
        </w:rPr>
        <w:t>一、收入科目</w:t>
      </w:r>
    </w:p>
    <w:p>
      <w:pPr>
        <w:widowControl/>
        <w:spacing w:line="600" w:lineRule="exact"/>
        <w:ind w:firstLine="640"/>
        <w:jc w:val="left"/>
        <w:rPr>
          <w:rFonts w:ascii="仿宋_GB2312" w:eastAsia="仿宋_GB2312"/>
          <w:color w:val="auto"/>
          <w:sz w:val="32"/>
          <w:szCs w:val="30"/>
        </w:rPr>
      </w:pPr>
      <w:r>
        <w:rPr>
          <w:rFonts w:hint="eastAsia" w:ascii="仿宋_GB2312" w:eastAsia="仿宋_GB2312"/>
          <w:color w:val="auto"/>
          <w:sz w:val="32"/>
          <w:szCs w:val="30"/>
        </w:rPr>
        <w:t>（一）财政拨款：指市级财政当年拨付的资金。</w:t>
      </w:r>
    </w:p>
    <w:p>
      <w:pPr>
        <w:widowControl/>
        <w:spacing w:line="600" w:lineRule="exact"/>
        <w:ind w:firstLine="636"/>
        <w:jc w:val="left"/>
        <w:rPr>
          <w:rFonts w:ascii="仿宋_GB2312" w:eastAsia="仿宋_GB2312"/>
          <w:color w:val="auto"/>
          <w:sz w:val="32"/>
          <w:szCs w:val="30"/>
        </w:rPr>
      </w:pPr>
      <w:r>
        <w:rPr>
          <w:rFonts w:hint="eastAsia" w:ascii="仿宋_GB2312" w:eastAsia="仿宋_GB2312"/>
          <w:color w:val="auto"/>
          <w:sz w:val="32"/>
          <w:szCs w:val="30"/>
        </w:rPr>
        <w:t>（二）事业收入：指事业单位开展专业业务活动及辅助活动取得的收入。</w:t>
      </w:r>
    </w:p>
    <w:p>
      <w:pPr>
        <w:widowControl/>
        <w:spacing w:line="600" w:lineRule="exact"/>
        <w:ind w:firstLine="636"/>
        <w:jc w:val="left"/>
        <w:rPr>
          <w:rFonts w:ascii="仿宋_GB2312" w:eastAsia="仿宋_GB2312"/>
          <w:color w:val="auto"/>
          <w:sz w:val="32"/>
          <w:szCs w:val="30"/>
        </w:rPr>
      </w:pPr>
      <w:r>
        <w:rPr>
          <w:rFonts w:hint="eastAsia" w:ascii="仿宋_GB2312" w:eastAsia="仿宋_GB2312"/>
          <w:color w:val="auto"/>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auto"/>
          <w:sz w:val="32"/>
          <w:szCs w:val="30"/>
        </w:rPr>
      </w:pPr>
      <w:r>
        <w:rPr>
          <w:rFonts w:hint="eastAsia" w:ascii="仿宋_GB2312" w:eastAsia="仿宋_GB2312"/>
          <w:color w:val="auto"/>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auto"/>
          <w:sz w:val="32"/>
          <w:szCs w:val="30"/>
        </w:rPr>
      </w:pPr>
      <w:r>
        <w:rPr>
          <w:rFonts w:hint="eastAsia" w:ascii="仿宋_GB2312" w:eastAsia="仿宋_GB2312"/>
          <w:color w:val="auto"/>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auto"/>
          <w:sz w:val="32"/>
          <w:szCs w:val="30"/>
        </w:rPr>
      </w:pPr>
      <w:r>
        <w:rPr>
          <w:rFonts w:hint="eastAsia" w:ascii="仿宋_GB2312" w:eastAsia="仿宋_GB2312"/>
          <w:color w:val="auto"/>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auto"/>
          <w:sz w:val="32"/>
          <w:szCs w:val="30"/>
        </w:rPr>
      </w:pPr>
      <w:r>
        <w:rPr>
          <w:rFonts w:hint="eastAsia" w:ascii="仿宋_GB2312" w:eastAsia="仿宋_GB2312"/>
          <w:color w:val="auto"/>
          <w:sz w:val="32"/>
          <w:szCs w:val="30"/>
        </w:rPr>
        <w:t>（七）用事业基金弥补收支差额：填列事业单位用事业基金弥补</w:t>
      </w:r>
      <w:r>
        <w:rPr>
          <w:rFonts w:hint="eastAsia" w:ascii="仿宋_GB2312" w:eastAsia="仿宋_GB2312"/>
          <w:color w:val="auto"/>
          <w:sz w:val="32"/>
          <w:szCs w:val="30"/>
          <w:lang w:eastAsia="zh-CN"/>
        </w:rPr>
        <w:t>2022</w:t>
      </w:r>
      <w:r>
        <w:rPr>
          <w:rFonts w:hint="eastAsia" w:ascii="仿宋_GB2312" w:eastAsia="仿宋_GB2312"/>
          <w:color w:val="auto"/>
          <w:sz w:val="32"/>
          <w:szCs w:val="30"/>
        </w:rPr>
        <w:t>年收支差额的数额。</w:t>
      </w:r>
    </w:p>
    <w:p>
      <w:pPr>
        <w:spacing w:line="600" w:lineRule="exact"/>
        <w:ind w:firstLine="640" w:firstLineChars="200"/>
        <w:rPr>
          <w:rFonts w:ascii="仿宋_GB2312" w:eastAsia="仿宋_GB2312"/>
          <w:color w:val="auto"/>
          <w:sz w:val="32"/>
          <w:szCs w:val="30"/>
        </w:rPr>
      </w:pPr>
      <w:r>
        <w:rPr>
          <w:rFonts w:hint="eastAsia" w:ascii="仿宋_GB2312" w:eastAsia="仿宋_GB2312"/>
          <w:color w:val="auto"/>
          <w:sz w:val="32"/>
          <w:szCs w:val="30"/>
        </w:rPr>
        <w:t>（八）上年结转和结余：填列202</w:t>
      </w:r>
      <w:r>
        <w:rPr>
          <w:rFonts w:hint="eastAsia" w:ascii="仿宋_GB2312" w:eastAsia="仿宋_GB2312"/>
          <w:color w:val="auto"/>
          <w:sz w:val="32"/>
          <w:szCs w:val="30"/>
          <w:lang w:val="en-US" w:eastAsia="zh-CN"/>
        </w:rPr>
        <w:t>1</w:t>
      </w:r>
      <w:r>
        <w:rPr>
          <w:rFonts w:hint="eastAsia" w:ascii="仿宋_GB2312" w:eastAsia="仿宋_GB2312"/>
          <w:color w:val="auto"/>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auto"/>
          <w:sz w:val="32"/>
          <w:szCs w:val="30"/>
        </w:rPr>
      </w:pPr>
      <w:r>
        <w:rPr>
          <w:rFonts w:hint="eastAsia" w:ascii="仿宋_GB2312" w:eastAsia="仿宋_GB2312"/>
          <w:color w:val="auto"/>
          <w:sz w:val="32"/>
          <w:szCs w:val="30"/>
        </w:rPr>
        <w:t>二、支出科目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一）行政运行：反映行政单位（包括参公单位）的基本支出。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（二）一般行政管理事务：反映行政单位（包括参公单位）未单独设置项级科目的其他项目支出。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（三）机关服务：反映为行政单位（包括参公单位）提供后勤服务的各类后勤服务中心的支出。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（四）预算改革业务：反映财政部门用于预算改革方面的支出。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（五）财政国库业务：反映财政部门用于财政国库集中支出收付业务方面的支出。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（六）财政监察：反映财政监察派出机构的专项业务支出。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eastAsia" w:ascii="仿宋_GB2312" w:hAnsi="仿宋" w:eastAsia="仿宋_GB2312" w:cs="仿宋"/>
          <w:color w:val="auto"/>
          <w:sz w:val="28"/>
          <w:szCs w:val="28"/>
          <w:lang w:val="en-US" w:eastAsia="zh-CN"/>
        </w:rPr>
        <w:t>10</w:t>
      </w:r>
      <w:r>
        <w:rPr>
          <w:rFonts w:hint="default" w:ascii="仿宋_GB2312" w:hAnsi="仿宋" w:eastAsia="仿宋_GB2312" w:cs="仿宋"/>
          <w:color w:val="auto"/>
          <w:sz w:val="28"/>
          <w:szCs w:val="28"/>
          <w:lang w:val="en-US" w:eastAsia="zh-CN"/>
        </w:rPr>
        <w:t xml:space="preserve">（七）信息化建设：反映财政部门用于“金财工程”等信息化建设方面的支出。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（八）事业运行：反映事业单位的基本支出。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（九）其他财政事务支出：反映除上述项目以外的其他财政事务方面的支出。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（十）高等职业教育：反映经国家批准设立的高等职业大学、专科职业教育等方面的支出。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（十一）培训支出：反映各部门安排的用于培训的支出。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（十二）机关事业单位基本养老保险缴费支出：反映机关事业单位实施养老保险制度由单位缴纳的基本养老保险费的支出。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p>
    <w:p>
      <w:pPr>
        <w:rPr>
          <w:rFonts w:ascii="仿宋_GB2312" w:eastAsia="仿宋_GB2312" w:cs="Times New Roman"/>
          <w:color w:val="auto"/>
          <w:sz w:val="32"/>
          <w:szCs w:val="32"/>
        </w:rPr>
      </w:pPr>
    </w:p>
    <w:sectPr>
      <w:footerReference r:id="rId3" w:type="default"/>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Cambria">
    <w:altName w:val="NumberOnly"/>
    <w:panose1 w:val="02040503050406030204"/>
    <w:charset w:val="00"/>
    <w:family w:val="roman"/>
    <w:pitch w:val="default"/>
    <w:sig w:usb0="00000000" w:usb1="00000000" w:usb2="02000000" w:usb3="00000000" w:csb0="2000019F" w:csb1="00000000"/>
  </w:font>
  <w:font w:name="NumberOnly">
    <w:panose1 w:val="020B0500000000000000"/>
    <w:charset w:val="00"/>
    <w:family w:val="auto"/>
    <w:pitch w:val="default"/>
    <w:sig w:usb0="8000002F" w:usb1="10000048" w:usb2="00000000" w:usb3="00000000" w:csb0="00000111" w:csb1="40000000"/>
  </w:font>
  <w:font w:name="仿宋_GB2312">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altName w:val="微软雅黑"/>
    <w:panose1 w:val="02010609060101010101"/>
    <w:charset w:val="86"/>
    <w:family w:val="auto"/>
    <w:pitch w:val="default"/>
    <w:sig w:usb0="00000000" w:usb1="00000000" w:usb2="00000016" w:usb3="00000000" w:csb0="00040001" w:csb1="00000000"/>
  </w:font>
  <w:font w:name="楷体_GB2312">
    <w:altName w:val="微软雅黑"/>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abstractNum w:abstractNumId="1">
    <w:nsid w:val="6F9A6B2A"/>
    <w:multiLevelType w:val="singleLevel"/>
    <w:tmpl w:val="6F9A6B2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3E84C6D"/>
    <w:rsid w:val="05EB1609"/>
    <w:rsid w:val="07E32CEB"/>
    <w:rsid w:val="08EE0B31"/>
    <w:rsid w:val="09CF6704"/>
    <w:rsid w:val="09DA01AF"/>
    <w:rsid w:val="0A326819"/>
    <w:rsid w:val="0B574A70"/>
    <w:rsid w:val="0CBF216E"/>
    <w:rsid w:val="0FCB58D0"/>
    <w:rsid w:val="10030D22"/>
    <w:rsid w:val="11427CB1"/>
    <w:rsid w:val="139E3D52"/>
    <w:rsid w:val="153624FB"/>
    <w:rsid w:val="162B4B72"/>
    <w:rsid w:val="16610551"/>
    <w:rsid w:val="1767588B"/>
    <w:rsid w:val="18AC060B"/>
    <w:rsid w:val="19076E1D"/>
    <w:rsid w:val="1D8342FA"/>
    <w:rsid w:val="1DB93368"/>
    <w:rsid w:val="1EBD751D"/>
    <w:rsid w:val="1EF5217E"/>
    <w:rsid w:val="1F070F11"/>
    <w:rsid w:val="1F117155"/>
    <w:rsid w:val="202F7912"/>
    <w:rsid w:val="204B45CE"/>
    <w:rsid w:val="22F22C45"/>
    <w:rsid w:val="25705B71"/>
    <w:rsid w:val="25E97E48"/>
    <w:rsid w:val="26C62652"/>
    <w:rsid w:val="27AC522B"/>
    <w:rsid w:val="2A637B4E"/>
    <w:rsid w:val="2B4A1AA4"/>
    <w:rsid w:val="2C624BCB"/>
    <w:rsid w:val="2D777579"/>
    <w:rsid w:val="2DBB222D"/>
    <w:rsid w:val="31D40AAE"/>
    <w:rsid w:val="37E1109A"/>
    <w:rsid w:val="381119B2"/>
    <w:rsid w:val="389561BE"/>
    <w:rsid w:val="394A0B10"/>
    <w:rsid w:val="3A22533C"/>
    <w:rsid w:val="3BD871B8"/>
    <w:rsid w:val="3C636521"/>
    <w:rsid w:val="3CE72D17"/>
    <w:rsid w:val="3CF55A87"/>
    <w:rsid w:val="3DDF3C75"/>
    <w:rsid w:val="3F6820A1"/>
    <w:rsid w:val="429A727D"/>
    <w:rsid w:val="4322216B"/>
    <w:rsid w:val="4C0B38BC"/>
    <w:rsid w:val="4C0B7195"/>
    <w:rsid w:val="4D135D42"/>
    <w:rsid w:val="4D3B293C"/>
    <w:rsid w:val="51B40312"/>
    <w:rsid w:val="550153AB"/>
    <w:rsid w:val="56552A05"/>
    <w:rsid w:val="57CC144D"/>
    <w:rsid w:val="59C21018"/>
    <w:rsid w:val="61054D7E"/>
    <w:rsid w:val="62B20F12"/>
    <w:rsid w:val="633C2039"/>
    <w:rsid w:val="63973295"/>
    <w:rsid w:val="641E7445"/>
    <w:rsid w:val="71452C49"/>
    <w:rsid w:val="73224148"/>
    <w:rsid w:val="73584830"/>
    <w:rsid w:val="742C1313"/>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page number"/>
    <w:basedOn w:val="8"/>
    <w:qFormat/>
    <w:uiPriority w:val="99"/>
  </w:style>
  <w:style w:type="character" w:customStyle="1" w:styleId="10">
    <w:name w:val="标题 2 Char"/>
    <w:basedOn w:val="8"/>
    <w:link w:val="2"/>
    <w:semiHidden/>
    <w:qFormat/>
    <w:uiPriority w:val="9"/>
    <w:rPr>
      <w:rFonts w:asciiTheme="majorHAnsi" w:hAnsiTheme="majorHAnsi" w:eastAsiaTheme="majorEastAsia" w:cstheme="majorBidi"/>
      <w:b/>
      <w:bCs/>
      <w:sz w:val="32"/>
      <w:szCs w:val="32"/>
    </w:rPr>
  </w:style>
  <w:style w:type="character" w:customStyle="1" w:styleId="11">
    <w:name w:val="页脚 Char"/>
    <w:basedOn w:val="8"/>
    <w:link w:val="5"/>
    <w:semiHidden/>
    <w:qFormat/>
    <w:uiPriority w:val="99"/>
    <w:rPr>
      <w:rFonts w:cs="Calibri"/>
      <w:sz w:val="18"/>
      <w:szCs w:val="18"/>
    </w:rPr>
  </w:style>
  <w:style w:type="character" w:customStyle="1" w:styleId="12">
    <w:name w:val="批注框文本 Char"/>
    <w:basedOn w:val="8"/>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0</TotalTime>
  <ScaleCrop>false</ScaleCrop>
  <LinksUpToDate>false</LinksUpToDate>
  <CharactersWithSpaces>2873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紫霞</cp:lastModifiedBy>
  <cp:lastPrinted>2021-05-26T02:23:00Z</cp:lastPrinted>
  <dcterms:modified xsi:type="dcterms:W3CDTF">2022-03-10T08:10:45Z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F4CC2E5705DE4B47BDA039291FBAA1C3</vt:lpwstr>
  </property>
</Properties>
</file>