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5"/>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宋体" w:eastAsia="黑体" w:cs="黑体"/>
          <w:sz w:val="32"/>
          <w:szCs w:val="32"/>
          <w:lang w:val="en-US" w:eastAsia="zh-CN"/>
        </w:rPr>
        <w:t>珠山</w:t>
      </w:r>
      <w:r>
        <w:rPr>
          <w:rFonts w:hint="eastAsia" w:ascii="黑体" w:hAnsi="宋体" w:eastAsia="黑体" w:cs="黑体"/>
          <w:sz w:val="32"/>
          <w:szCs w:val="32"/>
          <w:lang w:eastAsia="zh-CN"/>
        </w:rPr>
        <w:t>区委组织部</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w:t>
      </w:r>
      <w:r>
        <w:rPr>
          <w:rFonts w:hint="eastAsia" w:ascii="黑体" w:hAnsi="宋体" w:eastAsia="黑体" w:cs="黑体"/>
          <w:sz w:val="32"/>
          <w:szCs w:val="32"/>
          <w:lang w:eastAsia="zh-CN"/>
        </w:rPr>
        <w:t>区委组织部</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w:t>
      </w:r>
      <w:r>
        <w:rPr>
          <w:rFonts w:hint="eastAsia" w:ascii="黑体" w:hAnsi="宋体" w:eastAsia="黑体" w:cs="黑体"/>
          <w:sz w:val="32"/>
          <w:szCs w:val="32"/>
          <w:lang w:eastAsia="zh-CN"/>
        </w:rPr>
        <w:t>区委组织部2022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区委组织部2022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区委组织部</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highlight w:val="none"/>
          <w:lang w:eastAsia="zh-CN"/>
        </w:rPr>
        <w:t>区委组织部</w:t>
      </w:r>
      <w:r>
        <w:rPr>
          <w:rFonts w:hint="eastAsia" w:ascii="仿宋_GB2312" w:hAnsi="宋体" w:eastAsia="仿宋_GB2312" w:cs="仿宋_GB2312"/>
          <w:sz w:val="32"/>
          <w:szCs w:val="32"/>
          <w:highlight w:val="none"/>
        </w:rPr>
        <w:t>是主管组织工作和干部工作</w:t>
      </w:r>
      <w:r>
        <w:rPr>
          <w:rFonts w:hint="eastAsia" w:ascii="仿宋_GB2312" w:hAnsi="宋体" w:eastAsia="仿宋_GB2312" w:cs="仿宋_GB2312"/>
          <w:sz w:val="32"/>
          <w:szCs w:val="32"/>
          <w:highlight w:val="none"/>
          <w:lang w:val="en-US" w:eastAsia="zh-CN"/>
        </w:rPr>
        <w:t>区</w:t>
      </w:r>
      <w:r>
        <w:rPr>
          <w:rFonts w:hint="eastAsia" w:ascii="仿宋_GB2312" w:hAnsi="宋体" w:eastAsia="仿宋_GB2312" w:cs="仿宋_GB2312"/>
          <w:sz w:val="32"/>
          <w:szCs w:val="32"/>
          <w:highlight w:val="none"/>
        </w:rPr>
        <w:t>委</w:t>
      </w:r>
      <w:r>
        <w:rPr>
          <w:rFonts w:hint="eastAsia" w:ascii="仿宋_GB2312" w:hAnsi="宋体" w:eastAsia="仿宋_GB2312" w:cs="仿宋_GB2312"/>
          <w:sz w:val="32"/>
          <w:szCs w:val="32"/>
          <w:highlight w:val="none"/>
          <w:lang w:eastAsia="zh-CN"/>
        </w:rPr>
        <w:t>组</w:t>
      </w:r>
      <w:r>
        <w:rPr>
          <w:rFonts w:hint="eastAsia" w:ascii="仿宋_GB2312" w:hAnsi="宋体" w:eastAsia="仿宋_GB2312" w:cs="仿宋_GB2312"/>
          <w:sz w:val="32"/>
          <w:szCs w:val="32"/>
          <w:highlight w:val="none"/>
        </w:rPr>
        <w:t>成部门</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rPr>
        <w:t>主要职责是：</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1、研究和指导全区党组织特别是党的基层组织的建设，探索各类新的经济组织中党组织的设置和活动方式；协调、规划和指导党员教育工作，主管党员的管理和发展工作；组织新时期党的建设理论研究。</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提出关于街道和区直正、副科级单位以及其他列入区委管理的领导班子调整配备的意见和建议；负责区委管理干部的考察和办理任免、工资、待遇、退休审批手续以及有关问题的调查审理工作；负责管理股级干部的考察、任用及备案工作；指导街道和区直正、副科级单位领导班子的思想作风建设；承办部分干部的调配、交流及安置事宜；协助做好省、市有关部门驻区科级单位领导班子建设和干部管理的有关工作。</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3、研究提出贯彻中央、省委、市委关于干部队伍建设方针、政策的意见和措施，组织实施培养选拔中、青年干部工作。</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4、负责全区党的组织建设和干部人事制度改革的调查研究，制订或参与制订组织、干部、人事工作的重要政策和制度，抓好《党政领导干部选拔任用工作条例》及干部选拔任用四项监督制度的贯彻落实。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5、负责全区组织工作和干部工作的督促检查，及时向区委反映重要情况，提出建议；协助做好县级领导干部年度实绩考核工作。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主管全区干部教育工作；负责贯彻执行中央、省委、市委干部教育的方针政策，研究制定全区干部教育工作规划和干部教育措施，组织区委管理干部和一定层次的中、青年干部以及组织工作干部的培训；指导、协调、检查街道和区直正、副科级单位干部教育工作；培养、管理省委组织部下派的选调生和市委组织部下派的选拔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7、研究提出企业经营管理者队伍和科技专门人才队伍建设的规划并组织实施；负责对人才工作的指导、检查、综合、协调；直接管理、掌握一批优秀专家和拔尖人才，并做好科技副职的请派和管理工作。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8、负责党群、政法、人大、政协、街道机关实施《公务员法》及参照《公务员法》管理工作。</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9、负责干部统计、党组织和党员统计，以及科级干部档案管理工作。</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10、加强对领导干部的管理、监督，配合纪检等有关部门抓好党风廉政建设；负责干部调查审查工作，落实干部政策，做好党员、干部的来信来访工作。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11、负责制订社区基层组织建设整体规划和年度计划；抓好“三级”联创工作；组织、安排区直部门单位包居工作；向省、市争取单位到我区包街扶居。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12、负责指导、管理、检查区直部门单位挂点包居工作；了解、掌握、上报省、市包居工作组有关工作情况；负责向区委反馈汇报包村工作情况。</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13、负责指导社区干部队伍建设和培训教育工作；做好社区党支部书记的备案管理工作。</w:t>
      </w:r>
    </w:p>
    <w:p>
      <w:pPr>
        <w:ind w:firstLine="480" w:firstLineChars="150"/>
        <w:rPr>
          <w:rFonts w:hint="eastAsia" w:ascii="黑体" w:hAnsi="黑体" w:eastAsia="黑体"/>
          <w:sz w:val="32"/>
          <w:szCs w:val="32"/>
        </w:rPr>
      </w:pPr>
      <w:r>
        <w:rPr>
          <w:rFonts w:hint="eastAsia" w:ascii="仿宋_GB2312" w:hAnsi="仿宋_GB2312" w:eastAsia="仿宋_GB2312" w:cs="仿宋_GB2312"/>
          <w:sz w:val="32"/>
          <w:szCs w:val="32"/>
        </w:rPr>
        <w:t>14、承办区委和上级业务主管部门交办的其它工作。</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区委组织部</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个，预算单位1个，包括组织部本级和股级事业单位。编制数为</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16</w:t>
      </w:r>
      <w:r>
        <w:rPr>
          <w:rFonts w:hint="eastAsia" w:ascii="仿宋_GB2312" w:hAnsi="宋体" w:eastAsia="仿宋_GB2312" w:cs="仿宋_GB2312"/>
          <w:sz w:val="32"/>
          <w:szCs w:val="32"/>
        </w:rPr>
        <w:t>，其中在职人数为</w:t>
      </w:r>
      <w:r>
        <w:rPr>
          <w:rFonts w:hint="eastAsia" w:ascii="仿宋_GB2312" w:hAnsi="宋体" w:eastAsia="仿宋_GB2312" w:cs="仿宋_GB2312"/>
          <w:sz w:val="32"/>
          <w:szCs w:val="32"/>
          <w:lang w:val="en-US" w:eastAsia="zh-CN"/>
        </w:rPr>
        <w:t>16</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区委组织部2022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区委组织部</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369.4</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加了</w:t>
      </w:r>
      <w:r>
        <w:rPr>
          <w:rFonts w:hint="eastAsia" w:ascii="仿宋_GB2312" w:hAnsi="宋体" w:eastAsia="仿宋_GB2312" w:cs="仿宋_GB2312"/>
          <w:sz w:val="32"/>
          <w:szCs w:val="32"/>
          <w:lang w:val="en-US" w:eastAsia="zh-CN"/>
        </w:rPr>
        <w:t>49.38万元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增长了</w:t>
      </w:r>
      <w:r>
        <w:rPr>
          <w:rFonts w:hint="eastAsia" w:ascii="仿宋_GB2312" w:hAnsi="宋体" w:eastAsia="仿宋_GB2312" w:cs="仿宋_GB2312"/>
          <w:sz w:val="32"/>
          <w:szCs w:val="32"/>
          <w:lang w:val="en-US" w:eastAsia="zh-CN"/>
        </w:rPr>
        <w:t>15.43％，主要原因是:人员经费及公务费增加</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369.4</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区委组织部</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369.4</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加了</w:t>
      </w:r>
      <w:r>
        <w:rPr>
          <w:rFonts w:hint="eastAsia" w:ascii="仿宋_GB2312" w:hAnsi="宋体" w:eastAsia="仿宋_GB2312" w:cs="仿宋_GB2312"/>
          <w:sz w:val="32"/>
          <w:szCs w:val="32"/>
          <w:lang w:val="en-US" w:eastAsia="zh-CN"/>
        </w:rPr>
        <w:t>49.38万元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增长了</w:t>
      </w:r>
      <w:r>
        <w:rPr>
          <w:rFonts w:hint="eastAsia" w:ascii="仿宋_GB2312" w:hAnsi="宋体" w:eastAsia="仿宋_GB2312" w:cs="仿宋_GB2312"/>
          <w:sz w:val="32"/>
          <w:szCs w:val="32"/>
          <w:lang w:val="en-US" w:eastAsia="zh-CN"/>
        </w:rPr>
        <w:t>15.43％，主要原因是:人员经费及公务费增加</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182.9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49.51</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152.44</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30.46</w:t>
      </w:r>
      <w:r>
        <w:rPr>
          <w:rFonts w:hint="eastAsia" w:ascii="仿宋_GB2312" w:hAnsi="宋体" w:eastAsia="仿宋_GB2312" w:cs="仿宋_GB2312"/>
          <w:sz w:val="32"/>
          <w:szCs w:val="32"/>
        </w:rPr>
        <w:t>万元</w:t>
      </w:r>
      <w:bookmarkStart w:id="1" w:name="_GoBack"/>
      <w:bookmarkEnd w:id="1"/>
      <w:r>
        <w:rPr>
          <w:rFonts w:hint="eastAsia" w:ascii="仿宋_GB2312" w:hAnsi="宋体" w:eastAsia="仿宋_GB2312" w:cs="仿宋_GB2312"/>
          <w:sz w:val="32"/>
          <w:szCs w:val="32"/>
        </w:rPr>
        <w:t>、其他资本性支出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186.5</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50.49</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186.5</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329.99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89.33</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17.28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4.68</w:t>
      </w:r>
      <w:r>
        <w:rPr>
          <w:rFonts w:hint="eastAsia" w:ascii="仿宋_GB2312" w:hAnsi="宋体" w:eastAsia="仿宋_GB2312" w:cs="仿宋_GB2312"/>
          <w:sz w:val="32"/>
          <w:szCs w:val="32"/>
        </w:rPr>
        <w:t>%；医疗卫生与计划生育支出</w:t>
      </w:r>
      <w:r>
        <w:rPr>
          <w:rFonts w:hint="eastAsia" w:ascii="仿宋_GB2312" w:hAnsi="宋体" w:eastAsia="仿宋_GB2312" w:cs="仿宋_GB2312"/>
          <w:sz w:val="32"/>
          <w:szCs w:val="32"/>
          <w:lang w:val="en-US" w:eastAsia="zh-CN"/>
        </w:rPr>
        <w:t>7.02</w:t>
      </w:r>
      <w:r>
        <w:rPr>
          <w:rFonts w:hint="eastAsia" w:ascii="仿宋_GB2312" w:hAnsi="宋体" w:eastAsia="仿宋_GB2312" w:cs="仿宋_GB2312"/>
          <w:sz w:val="32"/>
          <w:szCs w:val="32"/>
        </w:rPr>
        <w:t>万元，占支出预算总</w:t>
      </w:r>
      <w:bookmarkStart w:id="0" w:name="OLE_LINK1"/>
      <w:r>
        <w:rPr>
          <w:rFonts w:hint="eastAsia" w:ascii="仿宋_GB2312" w:hAnsi="宋体" w:eastAsia="仿宋_GB2312" w:cs="仿宋_GB2312"/>
          <w:sz w:val="32"/>
          <w:szCs w:val="32"/>
        </w:rPr>
        <w:t>额的</w:t>
      </w:r>
      <w:r>
        <w:rPr>
          <w:rFonts w:hint="eastAsia" w:ascii="仿宋_GB2312" w:hAnsi="宋体" w:eastAsia="仿宋_GB2312" w:cs="仿宋_GB2312"/>
          <w:sz w:val="32"/>
          <w:szCs w:val="32"/>
          <w:lang w:val="en-US" w:eastAsia="zh-CN"/>
        </w:rPr>
        <w:t>1.9</w:t>
      </w:r>
      <w:r>
        <w:rPr>
          <w:rFonts w:hint="eastAsia" w:ascii="仿宋_GB2312" w:hAnsi="宋体" w:eastAsia="仿宋_GB2312" w:cs="仿宋_GB2312"/>
          <w:sz w:val="32"/>
          <w:szCs w:val="32"/>
        </w:rPr>
        <w:t>%；</w:t>
      </w:r>
      <w:bookmarkEnd w:id="0"/>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15.12万元，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4.09</w:t>
      </w:r>
      <w:r>
        <w:rPr>
          <w:rFonts w:hint="eastAsia" w:ascii="仿宋_GB2312" w:hAnsi="宋体" w:eastAsia="仿宋_GB2312" w:cs="仿宋_GB2312"/>
          <w:sz w:val="32"/>
          <w:szCs w:val="32"/>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152.44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41.27</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216.96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58.73</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区委组织部</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369.4</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49.38万元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增长了</w:t>
      </w:r>
      <w:r>
        <w:rPr>
          <w:rFonts w:hint="eastAsia" w:ascii="仿宋_GB2312" w:hAnsi="宋体" w:eastAsia="仿宋_GB2312" w:cs="仿宋_GB2312"/>
          <w:sz w:val="32"/>
          <w:szCs w:val="32"/>
          <w:lang w:val="en-US" w:eastAsia="zh-CN"/>
        </w:rPr>
        <w:t>15.43％，主要原因是:人员经费及公务费增加</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组织</w:t>
      </w:r>
      <w:r>
        <w:rPr>
          <w:rFonts w:hint="eastAsia" w:ascii="仿宋_GB2312" w:hAnsi="宋体" w:eastAsia="仿宋_GB2312" w:cs="仿宋_GB2312"/>
          <w:sz w:val="32"/>
          <w:szCs w:val="32"/>
        </w:rPr>
        <w:t>事务</w:t>
      </w:r>
      <w:r>
        <w:rPr>
          <w:rFonts w:hint="eastAsia" w:ascii="仿宋_GB2312" w:hAnsi="宋体" w:eastAsia="仿宋_GB2312" w:cs="仿宋_GB2312"/>
          <w:sz w:val="32"/>
          <w:szCs w:val="32"/>
          <w:lang w:val="en-US" w:eastAsia="zh-CN"/>
        </w:rPr>
        <w:t>329.99</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89.33</w:t>
      </w:r>
      <w:r>
        <w:rPr>
          <w:rFonts w:hint="eastAsia" w:ascii="仿宋_GB2312" w:hAnsi="宋体" w:eastAsia="仿宋_GB2312" w:cs="仿宋_GB2312"/>
          <w:sz w:val="32"/>
          <w:szCs w:val="32"/>
        </w:rPr>
        <w:t>%；对机关事业单位基本养老保险基金的补助</w:t>
      </w:r>
      <w:r>
        <w:rPr>
          <w:rFonts w:hint="eastAsia" w:ascii="仿宋_GB2312" w:hAnsi="宋体" w:eastAsia="仿宋_GB2312" w:cs="仿宋_GB2312"/>
          <w:sz w:val="32"/>
          <w:szCs w:val="32"/>
          <w:lang w:val="en-US" w:eastAsia="zh-CN"/>
        </w:rPr>
        <w:t>17.28</w:t>
      </w:r>
      <w:r>
        <w:rPr>
          <w:rFonts w:hint="eastAsia" w:ascii="仿宋_GB2312" w:hAnsi="宋体" w:eastAsia="仿宋_GB2312" w:cs="仿宋_GB2312"/>
          <w:sz w:val="32"/>
          <w:szCs w:val="32"/>
        </w:rPr>
        <w:t>万元，占经费拨款支出的</w:t>
      </w:r>
      <w:r>
        <w:rPr>
          <w:rFonts w:hint="eastAsia" w:ascii="仿宋_GB2312" w:hAnsi="宋体" w:eastAsia="仿宋_GB2312" w:cs="仿宋_GB2312"/>
          <w:sz w:val="32"/>
          <w:szCs w:val="32"/>
          <w:lang w:val="en-US" w:eastAsia="zh-CN"/>
        </w:rPr>
        <w:t>4.686</w:t>
      </w:r>
      <w:r>
        <w:rPr>
          <w:rFonts w:hint="eastAsia" w:ascii="仿宋_GB2312" w:hAnsi="宋体" w:eastAsia="仿宋_GB2312" w:cs="仿宋_GB2312"/>
          <w:sz w:val="32"/>
          <w:szCs w:val="32"/>
        </w:rPr>
        <w:t>%；行政单位医疗</w:t>
      </w:r>
      <w:r>
        <w:rPr>
          <w:rFonts w:hint="eastAsia" w:ascii="仿宋_GB2312" w:hAnsi="宋体" w:eastAsia="仿宋_GB2312" w:cs="仿宋_GB2312"/>
          <w:sz w:val="32"/>
          <w:szCs w:val="32"/>
          <w:lang w:val="en-US" w:eastAsia="zh-CN"/>
        </w:rPr>
        <w:t>7.02</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1.9</w:t>
      </w:r>
      <w:r>
        <w:rPr>
          <w:rFonts w:hint="eastAsia" w:ascii="仿宋_GB2312" w:hAnsi="宋体" w:eastAsia="仿宋_GB2312" w:cs="仿宋_GB2312"/>
          <w:sz w:val="32"/>
          <w:szCs w:val="32"/>
        </w:rPr>
        <w:t>%； 住房公积金</w:t>
      </w:r>
      <w:r>
        <w:rPr>
          <w:rFonts w:hint="eastAsia" w:ascii="仿宋_GB2312" w:hAnsi="宋体" w:eastAsia="仿宋_GB2312" w:cs="仿宋_GB2312"/>
          <w:sz w:val="32"/>
          <w:szCs w:val="32"/>
          <w:lang w:val="en-US" w:eastAsia="zh-CN"/>
        </w:rPr>
        <w:t>15.12</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4.09</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年政府采购预算支出</w:t>
      </w:r>
      <w:r>
        <w:rPr>
          <w:rFonts w:hint="eastAsia" w:ascii="仿宋_GB2312" w:hAnsi="宋体" w:eastAsia="仿宋_GB2312" w:cs="仿宋_GB2312"/>
          <w:sz w:val="32"/>
          <w:szCs w:val="32"/>
          <w:lang w:val="en-US" w:eastAsia="zh-CN"/>
        </w:rPr>
        <w:t>98.93</w:t>
      </w:r>
      <w:r>
        <w:rPr>
          <w:rFonts w:hint="eastAsia" w:ascii="仿宋_GB2312" w:hAnsi="宋体" w:eastAsia="仿宋_GB2312" w:cs="仿宋_GB2312"/>
          <w:sz w:val="32"/>
          <w:szCs w:val="32"/>
        </w:rPr>
        <w:t>万元，比上年预算</w:t>
      </w:r>
      <w:r>
        <w:rPr>
          <w:rFonts w:hint="eastAsia" w:ascii="仿宋_GB2312" w:hAnsi="宋体" w:eastAsia="仿宋_GB2312" w:cs="仿宋_GB2312"/>
          <w:sz w:val="32"/>
          <w:szCs w:val="32"/>
          <w:lang w:eastAsia="zh-CN"/>
        </w:rPr>
        <w:t>相比增加了</w:t>
      </w:r>
      <w:r>
        <w:rPr>
          <w:rFonts w:hint="eastAsia" w:ascii="仿宋_GB2312" w:hAnsi="宋体" w:eastAsia="仿宋_GB2312" w:cs="仿宋_GB2312"/>
          <w:sz w:val="32"/>
          <w:szCs w:val="32"/>
          <w:lang w:val="en-US" w:eastAsia="zh-CN"/>
        </w:rPr>
        <w:t>59.33万元，增加了149.82％，主要原因是工作需要</w:t>
      </w:r>
      <w:r>
        <w:rPr>
          <w:rFonts w:hint="eastAsia" w:ascii="仿宋_GB2312" w:hAnsi="宋体" w:eastAsia="仿宋_GB2312" w:cs="仿宋_GB2312"/>
          <w:sz w:val="32"/>
          <w:szCs w:val="32"/>
        </w:rPr>
        <w:t>。</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政府</w:t>
      </w:r>
      <w:r>
        <w:rPr>
          <w:rFonts w:hint="eastAsia" w:ascii="仿宋_GB2312" w:hAnsi="宋体" w:eastAsia="仿宋_GB2312" w:cs="仿宋_GB2312"/>
          <w:sz w:val="32"/>
          <w:szCs w:val="32"/>
        </w:rPr>
        <w:t>购买服务无预算。</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lang w:eastAsia="zh-CN"/>
        </w:rPr>
        <w:t>区委组织部</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3.23</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3.23</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0.06</w:t>
      </w:r>
      <w:r>
        <w:rPr>
          <w:rFonts w:hint="eastAsia" w:ascii="仿宋_GB2312" w:hAnsi="宋体" w:eastAsia="仿宋_GB2312" w:cs="仿宋_GB2312"/>
          <w:sz w:val="32"/>
          <w:szCs w:val="32"/>
        </w:rPr>
        <w:t>万元，主要原因：</w:t>
      </w:r>
      <w:r>
        <w:rPr>
          <w:rFonts w:hint="eastAsia" w:ascii="仿宋_GB2312" w:hAnsi="仿宋_GB2312" w:eastAsia="仿宋_GB2312" w:cs="仿宋_GB2312"/>
          <w:bCs/>
          <w:sz w:val="28"/>
          <w:szCs w:val="28"/>
        </w:rPr>
        <w:t>严控控制“三公”经费支出</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hint="eastAsia" w:ascii="仿宋_GB2312" w:hAnsi="宋体" w:eastAsia="仿宋_GB2312" w:cs="仿宋_GB2312"/>
          <w:sz w:val="32"/>
          <w:szCs w:val="32"/>
          <w:lang w:val="en-US" w:eastAsia="zh-CN"/>
        </w:rPr>
      </w:pP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　2022</w:t>
      </w:r>
      <w:r>
        <w:rPr>
          <w:rFonts w:hint="eastAsia" w:ascii="仿宋_GB2312" w:hAnsi="宋体" w:eastAsia="仿宋_GB2312" w:cs="仿宋_GB2312"/>
          <w:sz w:val="32"/>
          <w:szCs w:val="32"/>
        </w:rPr>
        <w:t>年部门整体绩效目标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（一）推动党建发展，锻造“最强堡垒”，提升基层组织力。（二）树立用人导向，锻造“最强队伍”，提升队伍战斗力。（三）落实三个抓手，营造“最好生态”， 激发人才创造力。</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 xml:space="preserve">  部门预算情况</w:t>
      </w:r>
      <w:r>
        <w:rPr>
          <w:rFonts w:hint="eastAsia" w:ascii="仿宋_GB2312" w:eastAsia="仿宋_GB2312"/>
          <w:color w:val="000000"/>
          <w:sz w:val="32"/>
          <w:szCs w:val="30"/>
          <w:lang w:eastAsia="zh-CN"/>
        </w:rPr>
        <w:t>：</w:t>
      </w: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区委组织部</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369.4</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369.4</w:t>
      </w:r>
      <w:r>
        <w:rPr>
          <w:rFonts w:hint="eastAsia" w:ascii="仿宋_GB2312" w:hAnsi="宋体" w:eastAsia="仿宋_GB2312" w:cs="仿宋_GB2312"/>
          <w:sz w:val="32"/>
          <w:szCs w:val="32"/>
        </w:rPr>
        <w:t>万元</w:t>
      </w:r>
      <w:r>
        <w:rPr>
          <w:rFonts w:hint="eastAsia" w:ascii="仿宋_GB2312" w:eastAsia="仿宋_GB2312"/>
          <w:color w:val="000000"/>
          <w:sz w:val="32"/>
          <w:szCs w:val="30"/>
        </w:rPr>
        <w:t xml:space="preserve"> 。</w:t>
      </w: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区委组织部2022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spacing w:line="570" w:lineRule="exact"/>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2013201</w:t>
      </w:r>
      <w:r>
        <w:rPr>
          <w:rFonts w:hint="eastAsia" w:ascii="仿宋_GB2312" w:hAnsi="宋体" w:eastAsia="仿宋_GB2312" w:cs="仿宋_GB2312"/>
          <w:sz w:val="32"/>
          <w:szCs w:val="32"/>
          <w:lang w:eastAsia="zh-CN"/>
        </w:rPr>
        <w:t>组织事务行政运行：反映行政单位</w:t>
      </w:r>
      <w:r>
        <w:rPr>
          <w:rFonts w:hint="eastAsia" w:ascii="仿宋_GB2312" w:hAnsi="宋体" w:eastAsia="仿宋_GB2312" w:cs="仿宋_GB2312"/>
          <w:sz w:val="32"/>
          <w:szCs w:val="32"/>
          <w:lang w:val="en-US" w:eastAsia="zh-CN"/>
        </w:rPr>
        <w:t>(包括实行公务员管理的事业单位)的基本支出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2013299其他组织事务支出：反映其他用于中国共产党组织部门的事务支出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2080505机关事单位基本养老保险：反映机关事业单位实施养老制度由单位缴纳的基本养老保险费支出</w:t>
      </w:r>
      <w:r>
        <w:rPr>
          <w:rFonts w:hint="eastAsia" w:ascii="仿宋_GB2312" w:hAnsi="仿宋_GB2312" w:eastAsia="仿宋_GB2312" w:cs="仿宋_GB2312"/>
          <w:color w:val="auto"/>
          <w:sz w:val="28"/>
          <w:szCs w:val="28"/>
          <w:highlight w:val="none"/>
          <w:shd w:val="clear" w:color="auto" w:fill="auto"/>
        </w:rPr>
        <w:t>。</w:t>
      </w:r>
    </w:p>
    <w:p>
      <w:pPr>
        <w:ind w:firstLine="640"/>
        <w:rPr>
          <w:rFonts w:hint="eastAsia" w:ascii="仿宋_GB2312" w:hAnsi="仿宋_GB2312" w:eastAsia="仿宋_GB2312" w:cs="仿宋_GB2312"/>
          <w:color w:val="auto"/>
          <w:sz w:val="28"/>
          <w:szCs w:val="28"/>
          <w:highlight w:val="none"/>
          <w:shd w:val="clear" w:color="auto" w:fill="auto"/>
        </w:rPr>
      </w:pPr>
      <w:r>
        <w:rPr>
          <w:rFonts w:hint="eastAsia" w:ascii="仿宋_GB2312" w:hAnsi="宋体" w:eastAsia="仿宋_GB2312" w:cs="仿宋_GB2312"/>
          <w:sz w:val="32"/>
          <w:szCs w:val="32"/>
          <w:lang w:val="en-US" w:eastAsia="zh-CN"/>
        </w:rPr>
        <w:t>2101101</w:t>
      </w:r>
      <w:r>
        <w:rPr>
          <w:rFonts w:hint="eastAsia" w:ascii="仿宋_GB2312" w:hAnsi="仿宋_GB2312" w:eastAsia="仿宋_GB2312" w:cs="仿宋_GB2312"/>
          <w:color w:val="auto"/>
          <w:sz w:val="28"/>
          <w:szCs w:val="28"/>
          <w:highlight w:val="none"/>
          <w:shd w:val="clear" w:color="auto" w:fill="auto"/>
        </w:rPr>
        <w:t>行政事业单位医疗</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 xml:space="preserve"> 反映行政事业单位医疗方面的支出。</w:t>
      </w:r>
    </w:p>
    <w:p>
      <w:pPr>
        <w:pStyle w:val="2"/>
        <w:ind w:firstLine="640"/>
        <w:rPr>
          <w:rFonts w:hint="default"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2210201住房公积金：反映行政事业单位按人力资源和社会保障部、财政部规定的基本工资和津贴补贴以及规定比例为职工缴纳的住房公积金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8</w:t>
    </w:r>
    <w:r>
      <w:rPr>
        <w:rStyle w:val="11"/>
      </w:rPr>
      <w:fldChar w:fldCharType="end"/>
    </w:r>
  </w:p>
  <w:p>
    <w:pPr>
      <w:pStyle w:val="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9E3D52"/>
    <w:rsid w:val="162B4B72"/>
    <w:rsid w:val="18AC060B"/>
    <w:rsid w:val="19076E1D"/>
    <w:rsid w:val="1AD872F4"/>
    <w:rsid w:val="1EBD751D"/>
    <w:rsid w:val="1F117155"/>
    <w:rsid w:val="204B45CE"/>
    <w:rsid w:val="25705B71"/>
    <w:rsid w:val="2DBB222D"/>
    <w:rsid w:val="31D40AAE"/>
    <w:rsid w:val="381119B2"/>
    <w:rsid w:val="3BD871B8"/>
    <w:rsid w:val="3CF55A87"/>
    <w:rsid w:val="429A727D"/>
    <w:rsid w:val="4322216B"/>
    <w:rsid w:val="4C0B38BC"/>
    <w:rsid w:val="4C0B7195"/>
    <w:rsid w:val="4D3B293C"/>
    <w:rsid w:val="51B40312"/>
    <w:rsid w:val="52D96FBE"/>
    <w:rsid w:val="56552A05"/>
    <w:rsid w:val="57CC144D"/>
    <w:rsid w:val="5B695EAC"/>
    <w:rsid w:val="62B20F12"/>
    <w:rsid w:val="63973295"/>
    <w:rsid w:val="641E7445"/>
    <w:rsid w:val="697D0D95"/>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link w:val="12"/>
    <w:qFormat/>
    <w:uiPriority w:val="99"/>
    <w:pPr>
      <w:keepNext/>
      <w:keepLines/>
      <w:spacing w:line="416" w:lineRule="auto"/>
      <w:outlineLvl w:val="1"/>
    </w:pPr>
    <w:rPr>
      <w:rFonts w:ascii="Arial" w:hAnsi="Arial" w:eastAsia="黑体" w:cs="Arial"/>
      <w:b/>
      <w:bCs/>
      <w:sz w:val="32"/>
      <w:szCs w:val="32"/>
    </w:rPr>
  </w:style>
  <w:style w:type="paragraph" w:styleId="5">
    <w:name w:val="heading 3"/>
    <w:basedOn w:val="1"/>
    <w:next w:val="1"/>
    <w:unhideWhenUsed/>
    <w:qFormat/>
    <w:locked/>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3"/>
    <w:next w:val="1"/>
    <w:qFormat/>
    <w:uiPriority w:val="0"/>
  </w:style>
  <w:style w:type="paragraph" w:customStyle="1" w:styleId="3">
    <w:name w:val="正文 New New New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Balloon Text"/>
    <w:basedOn w:val="1"/>
    <w:link w:val="14"/>
    <w:semiHidden/>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character" w:styleId="11">
    <w:name w:val="page number"/>
    <w:basedOn w:val="10"/>
    <w:qFormat/>
    <w:uiPriority w:val="99"/>
  </w:style>
  <w:style w:type="character" w:customStyle="1" w:styleId="12">
    <w:name w:val="标题 2 Char"/>
    <w:basedOn w:val="10"/>
    <w:link w:val="4"/>
    <w:semiHidden/>
    <w:qFormat/>
    <w:uiPriority w:val="9"/>
    <w:rPr>
      <w:rFonts w:asciiTheme="majorHAnsi" w:hAnsiTheme="majorHAnsi" w:eastAsiaTheme="majorEastAsia" w:cstheme="majorBidi"/>
      <w:b/>
      <w:bCs/>
      <w:sz w:val="32"/>
      <w:szCs w:val="32"/>
    </w:rPr>
  </w:style>
  <w:style w:type="character" w:customStyle="1" w:styleId="13">
    <w:name w:val="页脚 Char"/>
    <w:basedOn w:val="10"/>
    <w:link w:val="7"/>
    <w:semiHidden/>
    <w:qFormat/>
    <w:uiPriority w:val="99"/>
    <w:rPr>
      <w:rFonts w:cs="Calibri"/>
      <w:sz w:val="18"/>
      <w:szCs w:val="18"/>
    </w:rPr>
  </w:style>
  <w:style w:type="character" w:customStyle="1" w:styleId="14">
    <w:name w:val="批注框文本 Char"/>
    <w:basedOn w:val="10"/>
    <w:link w:val="6"/>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4</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2022-03-11T02:07:37Z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2CBC12F86AD547EAB1B29137E19F3595</vt:lpwstr>
  </property>
</Properties>
</file>