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4"/>
        <w:spacing w:before="0" w:after="0" w:line="240" w:lineRule="auto"/>
        <w:jc w:val="center"/>
        <w:rPr>
          <w:rFonts w:hint="eastAsia" w:ascii="黑体" w:hAnsi="黑体" w:eastAsia="黑体" w:cs="黑体"/>
          <w:lang w:val="en-US" w:eastAsia="zh-CN"/>
        </w:rPr>
      </w:pPr>
      <w:r>
        <w:rPr>
          <w:rFonts w:hint="eastAsia" w:ascii="黑体" w:hAnsi="宋体" w:eastAsia="黑体" w:cs="黑体"/>
          <w:sz w:val="32"/>
          <w:szCs w:val="32"/>
          <w:lang w:val="en-US" w:eastAsia="zh-CN"/>
        </w:rPr>
        <w:t>中共景德镇市区委政法委</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中共景德镇市区委政法委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中共景德镇市区委政法委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中共景德镇市区委政法委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中共景德镇市区委政法委</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（一）贯彻执行中央和上级部门有关政法工作的方针、政策和工作部署，统一政法各部门的思想和行动。</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（二）组织推动依法治区方略的实施，调查研究实施中存在的问题，向区委提出建议。</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（三）根据中央精神和区委、区政府总体要求对一定时期内的政法工作作出全局性部署，并督促贯彻落实。</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（四）组织、协调、指导维护社会稳定的工作,全力维护全区社会稳定。</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（五）组织、协调、指导防范和处理法轮功及其他邪教和对社会有危害气功组织问题的工作。</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（六）组织、协调社会治安综合治理工作，推动各项措施的落实。</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（七）检查政法部门执行法律法规和党的方针政策的情况，结合我区实际，研究制定严肃执法、落实党的方针政策的具体措施。</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（八）大力支持和严格监督政法各部门依法行使职权、指导和协调政法各部门各负其责，密切配合、相互制约，督促、推动大案要案的查处工作，研究、协调有争议的重大、疑难案件。</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（九）针对新时期政法工作出现的新情况、新问题，组织推动政法战线的调查研究工作，提出解决问题的对策。</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（十）协调、推动政法工作改革，通过改革进一步加强政法工作。</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（十一）加强政法干部队伍建设和政法各部门领导班子建设，协助党委及其组织部门考察、管理政法部门的领导干部。</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（十二）按照平安中国、法治中国建设要求，积极推进平安珠山、法治珠山建设；</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（十三）指导下级社会治安综合治理委员会工作。</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（十四）承办区委、区政府交办的其他事项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珠山区委政法委共有预算单位1个，包括部门本级。编制数为14人，其中行政编制7人、全额补助事业编制7人；实有人数14人，其中在职人数为14人，包括行政人员8人、全额补助事业人员6人；离休人员0人；退休人员14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中共景德镇市区委政法委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中共景德镇市区委政法委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750.2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增加了</w:t>
      </w:r>
      <w:r>
        <w:rPr>
          <w:rFonts w:hint="eastAsia" w:ascii="仿宋_GB2312" w:hAnsi="宋体" w:eastAsia="仿宋_GB2312" w:cs="仿宋_GB2312"/>
          <w:sz w:val="32"/>
          <w:szCs w:val="32"/>
          <w:lang w:val="en-US" w:eastAsia="zh-CN"/>
        </w:rPr>
        <w:t>47.1万元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增加了</w:t>
      </w:r>
      <w:r>
        <w:rPr>
          <w:rFonts w:hint="eastAsia" w:ascii="仿宋_GB2312" w:hAnsi="宋体" w:eastAsia="仿宋_GB2312" w:cs="仿宋_GB2312"/>
          <w:sz w:val="32"/>
          <w:szCs w:val="32"/>
          <w:lang w:val="en-US" w:eastAsia="zh-CN"/>
        </w:rPr>
        <w:t>6.7％，主要原因是:增加了禁毒经费</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750.2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中共景德镇市区委政法委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750.25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增加了</w:t>
      </w:r>
      <w:r>
        <w:rPr>
          <w:rFonts w:hint="eastAsia" w:ascii="仿宋_GB2312" w:hAnsi="宋体" w:eastAsia="仿宋_GB2312" w:cs="仿宋_GB2312"/>
          <w:sz w:val="32"/>
          <w:szCs w:val="32"/>
          <w:lang w:val="en-US" w:eastAsia="zh-CN"/>
        </w:rPr>
        <w:t>47.1万元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增加了</w:t>
      </w:r>
      <w:r>
        <w:rPr>
          <w:rFonts w:hint="eastAsia" w:ascii="仿宋_GB2312" w:hAnsi="宋体" w:eastAsia="仿宋_GB2312" w:cs="仿宋_GB2312"/>
          <w:sz w:val="32"/>
          <w:szCs w:val="32"/>
          <w:lang w:val="en-US" w:eastAsia="zh-CN"/>
        </w:rPr>
        <w:t>6.7％，主要原因是:增加了禁毒经费</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545.75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72.74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147.5</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35.15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其他对个人和家庭支出</w:t>
      </w:r>
      <w:r>
        <w:rPr>
          <w:rFonts w:hint="eastAsia" w:ascii="仿宋_GB2312" w:hAnsi="宋体" w:eastAsia="仿宋_GB2312" w:cs="仿宋_GB2312"/>
          <w:sz w:val="32"/>
          <w:szCs w:val="32"/>
          <w:lang w:val="en-US" w:eastAsia="zh-CN"/>
        </w:rPr>
        <w:t>363.1万元</w:t>
      </w:r>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204.5</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27.26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204.5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712.18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94.93</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16.69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2.22</w:t>
      </w:r>
      <w:r>
        <w:rPr>
          <w:rFonts w:hint="eastAsia" w:ascii="仿宋_GB2312" w:hAnsi="宋体" w:eastAsia="仿宋_GB2312" w:cs="仿宋_GB2312"/>
          <w:sz w:val="32"/>
          <w:szCs w:val="32"/>
        </w:rPr>
        <w:t>%；医疗卫生与计划生育支出</w:t>
      </w:r>
      <w:r>
        <w:rPr>
          <w:rFonts w:hint="eastAsia" w:ascii="仿宋_GB2312" w:hAnsi="宋体" w:eastAsia="仿宋_GB2312" w:cs="仿宋_GB2312"/>
          <w:sz w:val="32"/>
          <w:szCs w:val="32"/>
          <w:lang w:val="en-US" w:eastAsia="zh-CN"/>
        </w:rPr>
        <w:t>6.78</w:t>
      </w:r>
      <w:r>
        <w:rPr>
          <w:rFonts w:hint="eastAsia" w:ascii="仿宋_GB2312" w:hAnsi="宋体" w:eastAsia="仿宋_GB2312" w:cs="仿宋_GB2312"/>
          <w:sz w:val="32"/>
          <w:szCs w:val="32"/>
        </w:rPr>
        <w:t>万元，占支出预算总</w:t>
      </w:r>
      <w:bookmarkStart w:id="0" w:name="OLE_LINK1"/>
      <w:r>
        <w:rPr>
          <w:rFonts w:hint="eastAsia" w:ascii="仿宋_GB2312" w:hAnsi="宋体" w:eastAsia="仿宋_GB2312" w:cs="仿宋_GB2312"/>
          <w:sz w:val="32"/>
          <w:szCs w:val="32"/>
        </w:rPr>
        <w:t>额的</w:t>
      </w:r>
      <w:r>
        <w:rPr>
          <w:rFonts w:hint="eastAsia" w:ascii="仿宋_GB2312" w:hAnsi="宋体" w:eastAsia="仿宋_GB2312" w:cs="仿宋_GB2312"/>
          <w:sz w:val="32"/>
          <w:szCs w:val="32"/>
          <w:lang w:val="en-US" w:eastAsia="zh-CN"/>
        </w:rPr>
        <w:t>0.9</w:t>
      </w:r>
      <w:r>
        <w:rPr>
          <w:rFonts w:hint="eastAsia" w:ascii="仿宋_GB2312" w:hAnsi="宋体" w:eastAsia="仿宋_GB2312" w:cs="仿宋_GB2312"/>
          <w:sz w:val="32"/>
          <w:szCs w:val="32"/>
        </w:rPr>
        <w:t>%；</w:t>
      </w:r>
      <w:bookmarkEnd w:id="0"/>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14.6万元，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1.95</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147.5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19.66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239.65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31.94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363.1</w:t>
      </w:r>
      <w:r>
        <w:rPr>
          <w:rFonts w:hint="eastAsia" w:ascii="仿宋_GB2312" w:hAnsi="宋体" w:eastAsia="仿宋_GB2312" w:cs="仿宋_GB2312"/>
          <w:sz w:val="32"/>
          <w:szCs w:val="32"/>
        </w:rPr>
        <w:t>万</w:t>
      </w:r>
      <w:r>
        <w:rPr>
          <w:rFonts w:hint="eastAsia" w:ascii="仿宋_GB2312" w:hAnsi="宋体" w:eastAsia="仿宋_GB2312" w:cs="仿宋_GB2312"/>
          <w:sz w:val="32"/>
          <w:szCs w:val="32"/>
          <w:lang w:eastAsia="zh-CN"/>
        </w:rPr>
        <w:t>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48.4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中共景德镇市区委政法委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750.20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增加了</w:t>
      </w:r>
      <w:r>
        <w:rPr>
          <w:rFonts w:hint="eastAsia" w:ascii="仿宋_GB2312" w:hAnsi="宋体" w:eastAsia="仿宋_GB2312" w:cs="仿宋_GB2312"/>
          <w:sz w:val="32"/>
          <w:szCs w:val="32"/>
          <w:lang w:val="en-US" w:eastAsia="zh-CN"/>
        </w:rPr>
        <w:t>47.1万元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增加了</w:t>
      </w:r>
      <w:r>
        <w:rPr>
          <w:rFonts w:hint="eastAsia" w:ascii="仿宋_GB2312" w:hAnsi="宋体" w:eastAsia="仿宋_GB2312" w:cs="仿宋_GB2312"/>
          <w:sz w:val="32"/>
          <w:szCs w:val="32"/>
          <w:lang w:val="en-US" w:eastAsia="zh-CN"/>
        </w:rPr>
        <w:t>6.7％，主要原因是:增加了禁毒经费</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党委办公厅</w:t>
      </w:r>
      <w:r>
        <w:rPr>
          <w:rFonts w:hint="eastAsia" w:ascii="仿宋_GB2312" w:hAnsi="宋体" w:eastAsia="仿宋_GB2312" w:cs="仿宋_GB2312"/>
          <w:sz w:val="32"/>
          <w:szCs w:val="32"/>
          <w:lang w:val="en-US" w:eastAsia="zh-CN"/>
        </w:rPr>
        <w:t>(室)</w:t>
      </w:r>
      <w:r>
        <w:rPr>
          <w:rFonts w:hint="eastAsia" w:ascii="仿宋_GB2312" w:hAnsi="宋体" w:eastAsia="仿宋_GB2312" w:cs="仿宋_GB2312"/>
          <w:sz w:val="32"/>
          <w:szCs w:val="32"/>
          <w:lang w:eastAsia="zh-CN"/>
        </w:rPr>
        <w:t>及相关机构事务</w:t>
      </w:r>
      <w:r>
        <w:rPr>
          <w:rFonts w:hint="eastAsia" w:ascii="仿宋_GB2312" w:hAnsi="宋体" w:eastAsia="仿宋_GB2312" w:cs="仿宋_GB2312"/>
          <w:sz w:val="32"/>
          <w:szCs w:val="32"/>
          <w:lang w:val="en-US" w:eastAsia="zh-CN"/>
        </w:rPr>
        <w:t>712.18</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94.93</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16.69</w:t>
      </w:r>
      <w:r>
        <w:rPr>
          <w:rFonts w:hint="eastAsia" w:ascii="仿宋_GB2312" w:hAnsi="宋体" w:eastAsia="仿宋_GB2312" w:cs="仿宋_GB2312"/>
          <w:sz w:val="32"/>
          <w:szCs w:val="32"/>
        </w:rPr>
        <w:t>元，占经费拨款支出的</w:t>
      </w:r>
      <w:r>
        <w:rPr>
          <w:rFonts w:hint="eastAsia" w:ascii="仿宋_GB2312" w:hAnsi="宋体" w:eastAsia="仿宋_GB2312" w:cs="仿宋_GB2312"/>
          <w:sz w:val="32"/>
          <w:szCs w:val="32"/>
          <w:lang w:val="en-US" w:eastAsia="zh-CN"/>
        </w:rPr>
        <w:t>2.22</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6.78</w:t>
      </w:r>
      <w:r>
        <w:rPr>
          <w:rFonts w:hint="eastAsia" w:ascii="仿宋_GB2312" w:hAnsi="宋体" w:eastAsia="仿宋_GB2312" w:cs="仿宋_GB2312"/>
          <w:sz w:val="32"/>
          <w:szCs w:val="32"/>
        </w:rPr>
        <w:t>万元，占经费拨款支</w:t>
      </w:r>
      <w:r>
        <w:rPr>
          <w:rFonts w:hint="eastAsia" w:ascii="仿宋_GB2312" w:hAnsi="宋体" w:eastAsia="仿宋_GB2312" w:cs="仿宋_GB2312"/>
          <w:sz w:val="32"/>
          <w:szCs w:val="32"/>
          <w:lang w:val="en-US" w:eastAsia="zh-CN"/>
        </w:rPr>
        <w:t>0.9</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14.6</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1.95</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楷体_GB2312" w:hAnsi="仿宋" w:eastAsia="楷体_GB2312" w:cs="楷体_GB2312"/>
          <w:sz w:val="32"/>
          <w:szCs w:val="32"/>
          <w:lang w:eastAsia="zh-CN"/>
        </w:rPr>
        <w:t>202</w:t>
      </w:r>
      <w:r>
        <w:rPr>
          <w:rFonts w:hint="eastAsia" w:ascii="楷体_GB2312" w:hAnsi="仿宋" w:eastAsia="楷体_GB2312" w:cs="楷体_GB2312"/>
          <w:sz w:val="32"/>
          <w:szCs w:val="32"/>
          <w:lang w:val="en-US" w:eastAsia="zh-CN"/>
        </w:rPr>
        <w:t>2</w:t>
      </w:r>
      <w:r>
        <w:rPr>
          <w:rFonts w:hint="eastAsia" w:ascii="楷体_GB2312" w:hAnsi="仿宋" w:eastAsia="楷体_GB2312" w:cs="楷体_GB2312"/>
          <w:sz w:val="32"/>
          <w:szCs w:val="32"/>
        </w:rPr>
        <w:t>年政府采购预算支出</w:t>
      </w:r>
      <w:r>
        <w:rPr>
          <w:rFonts w:hint="eastAsia" w:ascii="楷体_GB2312" w:hAnsi="仿宋" w:eastAsia="楷体_GB2312" w:cs="楷体_GB2312"/>
          <w:sz w:val="32"/>
          <w:szCs w:val="32"/>
          <w:lang w:val="en-US" w:eastAsia="zh-CN"/>
        </w:rPr>
        <w:t>26.24</w:t>
      </w:r>
      <w:r>
        <w:rPr>
          <w:rFonts w:hint="eastAsia" w:ascii="楷体_GB2312" w:hAnsi="仿宋" w:eastAsia="楷体_GB2312" w:cs="楷体_GB2312"/>
          <w:sz w:val="32"/>
          <w:szCs w:val="32"/>
        </w:rPr>
        <w:t>万元，比上年预算</w:t>
      </w:r>
      <w:r>
        <w:rPr>
          <w:rFonts w:hint="eastAsia" w:ascii="楷体_GB2312" w:hAnsi="仿宋" w:eastAsia="楷体_GB2312" w:cs="楷体_GB2312"/>
          <w:sz w:val="32"/>
          <w:szCs w:val="32"/>
          <w:lang w:eastAsia="zh-CN"/>
        </w:rPr>
        <w:t>相比减少了</w:t>
      </w:r>
      <w:r>
        <w:rPr>
          <w:rFonts w:hint="eastAsia" w:ascii="楷体_GB2312" w:hAnsi="仿宋" w:eastAsia="楷体_GB2312" w:cs="楷体_GB2312"/>
          <w:sz w:val="32"/>
          <w:szCs w:val="32"/>
          <w:lang w:val="en-US" w:eastAsia="zh-CN"/>
        </w:rPr>
        <w:t>40.56万元，减少了60.72％，主要原因是减少了固定资产购置。</w:t>
      </w:r>
      <w:r>
        <w:rPr>
          <w:rFonts w:hint="eastAsia" w:ascii="仿宋_GB2312" w:hAnsi="宋体" w:eastAsia="仿宋_GB2312" w:cs="仿宋_GB2312"/>
          <w:sz w:val="32"/>
          <w:szCs w:val="32"/>
          <w:lang w:eastAsia="zh-CN"/>
        </w:rPr>
        <w:t>政府</w:t>
      </w:r>
      <w:r>
        <w:rPr>
          <w:rFonts w:hint="eastAsia" w:ascii="仿宋_GB2312" w:hAnsi="宋体" w:eastAsia="仿宋_GB2312" w:cs="仿宋_GB2312"/>
          <w:sz w:val="32"/>
          <w:szCs w:val="32"/>
        </w:rPr>
        <w:t>购买服务无预算。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中共景德镇市区委政法委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0.06</w:t>
      </w:r>
      <w:r>
        <w:rPr>
          <w:rFonts w:hint="eastAsia" w:ascii="仿宋_GB2312" w:hAnsi="宋体" w:eastAsia="仿宋_GB2312" w:cs="仿宋_GB2312"/>
          <w:sz w:val="32"/>
          <w:szCs w:val="32"/>
        </w:rPr>
        <w:t>万元，主要原因：</w:t>
      </w:r>
      <w:r>
        <w:rPr>
          <w:rFonts w:hint="eastAsia" w:ascii="仿宋_GB2312" w:hAnsi="仿宋_GB2312" w:eastAsia="仿宋_GB2312" w:cs="仿宋_GB2312"/>
          <w:bCs/>
          <w:sz w:val="28"/>
          <w:szCs w:val="28"/>
        </w:rPr>
        <w:t>控制“三公”经费支出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hint="eastAsia" w:ascii="仿宋_GB2312" w:hAnsi="宋体" w:eastAsia="仿宋_GB2312" w:cs="仿宋_GB2312"/>
          <w:sz w:val="32"/>
          <w:szCs w:val="32"/>
          <w:lang w:val="en-US" w:eastAsia="zh-CN"/>
        </w:rPr>
      </w:pP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spacing w:line="860" w:lineRule="exact"/>
        <w:rPr>
          <w:rFonts w:hint="eastAsia" w:ascii="楷体_GB2312" w:hAnsi="仿宋" w:eastAsia="楷体_GB2312" w:cs="楷体_GB2312"/>
          <w:sz w:val="32"/>
          <w:szCs w:val="32"/>
          <w:lang w:eastAsia="zh-CN"/>
        </w:rPr>
      </w:pPr>
      <w:r>
        <w:rPr>
          <w:rFonts w:hint="eastAsia" w:ascii="楷体_GB2312" w:hAnsi="仿宋" w:eastAsia="楷体_GB2312" w:cs="楷体_GB2312"/>
          <w:sz w:val="32"/>
          <w:szCs w:val="32"/>
          <w:lang w:eastAsia="zh-CN"/>
        </w:rPr>
        <w:t>　　2022</w:t>
      </w:r>
      <w:r>
        <w:rPr>
          <w:rFonts w:hint="eastAsia" w:ascii="楷体_GB2312" w:hAnsi="仿宋" w:eastAsia="楷体_GB2312" w:cs="楷体_GB2312"/>
          <w:sz w:val="32"/>
          <w:szCs w:val="32"/>
        </w:rPr>
        <w:t>年部门整体绩效目标</w:t>
      </w:r>
      <w:r>
        <w:rPr>
          <w:rFonts w:hint="eastAsia" w:ascii="楷体_GB2312" w:hAnsi="仿宋" w:eastAsia="楷体_GB2312" w:cs="楷体_GB2312"/>
          <w:sz w:val="32"/>
          <w:szCs w:val="32"/>
          <w:lang w:eastAsia="zh-CN"/>
        </w:rPr>
        <w:t>：</w:t>
      </w:r>
      <w:bookmarkStart w:id="1" w:name="_GoBack"/>
      <w:bookmarkEnd w:id="1"/>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要坚持底线思维，坚决打好国家政治安全“保卫战”。要高度重视意识形态领域工作，层层压实工作责任，扎实做好责任领域矛盾纠纷化解工作。</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要坚持服务大局，坚决打好优化营商环境“主动战”。深入推进法治珠山建设，积极营造法治化营商环境，为经济社会发展提供坚强有力的法治保障和服务。</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要坚持科学谋划，坚决打赢平安珠山建设“攻坚战”。要高起点谋划市域社会治理现代化试点工作，坚决扛起政治责任，推动形成党委领导、政府主导、部门主责、行业监管，各层级齐抓共管、广泛参与的工作格局</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要坚持自我革命，坚决打好政法领域深化改革“整体战”。积极解决影响、制约执法司法质效和公信力的深层次问题，破解体制、机制的痛点、难点，强化改革攻坚力度，推动深化政法领域全面改革蹄疾步稳。</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要坚持政治引领，全力打好政法队伍建设“持久战”。要把政治建设摆在首位，把坚持和捍卫“两个确立”作为根本要求，永葆绝对忠诚、绝对纯洁、绝对可靠的政治本色，扎实推进全市政法工作高质量发展。</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中共景德镇市区委政法委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750.20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750.20</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中共景德镇市区委政法委2022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2013101党委办公厅(室)及相关机构事务</w:t>
      </w:r>
      <w:r>
        <w:rPr>
          <w:rFonts w:hint="eastAsia" w:ascii="仿宋_GB2312" w:hAnsi="宋体" w:eastAsia="仿宋_GB2312" w:cs="仿宋_GB2312"/>
          <w:sz w:val="32"/>
          <w:szCs w:val="32"/>
          <w:lang w:eastAsia="zh-CN"/>
        </w:rPr>
        <w:t>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2013199其他党委办公厅(室)及相关机构事务事务支出：反映其他用于中国共产党组织部门的事务支出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ind w:firstLine="640"/>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12"/>
        <w:ind w:firstLine="64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67241E5"/>
    <w:rsid w:val="08EE0B31"/>
    <w:rsid w:val="0A326819"/>
    <w:rsid w:val="0CBF216E"/>
    <w:rsid w:val="0FCB58D0"/>
    <w:rsid w:val="11427CB1"/>
    <w:rsid w:val="11E2694B"/>
    <w:rsid w:val="139E3D52"/>
    <w:rsid w:val="162B4B72"/>
    <w:rsid w:val="18AC060B"/>
    <w:rsid w:val="19076E1D"/>
    <w:rsid w:val="1AD872F4"/>
    <w:rsid w:val="1EBD751D"/>
    <w:rsid w:val="1F117155"/>
    <w:rsid w:val="204B45CE"/>
    <w:rsid w:val="25705B71"/>
    <w:rsid w:val="281F2452"/>
    <w:rsid w:val="2DBB222D"/>
    <w:rsid w:val="2E084374"/>
    <w:rsid w:val="31D40AAE"/>
    <w:rsid w:val="381119B2"/>
    <w:rsid w:val="3BD871B8"/>
    <w:rsid w:val="3CF55A87"/>
    <w:rsid w:val="429A727D"/>
    <w:rsid w:val="4322216B"/>
    <w:rsid w:val="4C0B38BC"/>
    <w:rsid w:val="4C0B7195"/>
    <w:rsid w:val="4C3D7BE1"/>
    <w:rsid w:val="4D36678D"/>
    <w:rsid w:val="4D3B293C"/>
    <w:rsid w:val="51B40312"/>
    <w:rsid w:val="52D96FBE"/>
    <w:rsid w:val="56552A05"/>
    <w:rsid w:val="57730079"/>
    <w:rsid w:val="578A2C05"/>
    <w:rsid w:val="57CC144D"/>
    <w:rsid w:val="58D46228"/>
    <w:rsid w:val="59457AFE"/>
    <w:rsid w:val="59E359A5"/>
    <w:rsid w:val="5B695EAC"/>
    <w:rsid w:val="5D9744BC"/>
    <w:rsid w:val="62B20F12"/>
    <w:rsid w:val="63973295"/>
    <w:rsid w:val="641E7445"/>
    <w:rsid w:val="697D0D95"/>
    <w:rsid w:val="6B3A139F"/>
    <w:rsid w:val="6D96362B"/>
    <w:rsid w:val="71452C49"/>
    <w:rsid w:val="73224148"/>
    <w:rsid w:val="73584830"/>
    <w:rsid w:val="772860B1"/>
    <w:rsid w:val="7B4102B0"/>
    <w:rsid w:val="7B7B4468"/>
    <w:rsid w:val="7F0C59E2"/>
    <w:rsid w:val="7F7B35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0">
    <w:name w:val="Strong"/>
    <w:basedOn w:val="9"/>
    <w:qFormat/>
    <w:locked/>
    <w:uiPriority w:val="0"/>
    <w:rPr>
      <w:b/>
    </w:rPr>
  </w:style>
  <w:style w:type="character" w:styleId="11">
    <w:name w:val="page number"/>
    <w:basedOn w:val="9"/>
    <w:qFormat/>
    <w:uiPriority w:val="99"/>
  </w:style>
  <w:style w:type="paragraph" w:customStyle="1" w:styleId="12">
    <w:name w:val="无间隔1"/>
    <w:basedOn w:val="13"/>
    <w:next w:val="1"/>
    <w:qFormat/>
    <w:uiPriority w:val="0"/>
  </w:style>
  <w:style w:type="paragraph" w:customStyle="1" w:styleId="13">
    <w:name w:val="正文 New New New New"/>
    <w:next w:val="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5">
    <w:name w:val="页脚 Char"/>
    <w:basedOn w:val="9"/>
    <w:link w:val="6"/>
    <w:semiHidden/>
    <w:qFormat/>
    <w:uiPriority w:val="99"/>
    <w:rPr>
      <w:rFonts w:cs="Calibri"/>
      <w:sz w:val="18"/>
      <w:szCs w:val="18"/>
    </w:rPr>
  </w:style>
  <w:style w:type="character" w:customStyle="1" w:styleId="16">
    <w:name w:val="批注框文本 Char"/>
    <w:basedOn w:val="9"/>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39</TotalTime>
  <ScaleCrop>false</ScaleCrop>
  <LinksUpToDate>false</LinksUpToDate>
  <CharactersWithSpaces>2873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华华</cp:lastModifiedBy>
  <cp:lastPrinted>2021-05-26T02:23:00Z</cp:lastPrinted>
  <dcterms:modified xsi:type="dcterms:W3CDTF">2022-03-15T02:27:07Z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0037850A1B4142EEAB8A53C75B2EFB97</vt:lpwstr>
  </property>
</Properties>
</file>