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珠山区应急管理局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应急管理局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应急管理局2022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应急管理局2022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w:t>
      </w:r>
      <w:r>
        <w:rPr>
          <w:rFonts w:hint="eastAsia" w:ascii="黑体" w:hAnsi="宋体" w:eastAsia="黑体" w:cs="黑体"/>
          <w:sz w:val="32"/>
          <w:szCs w:val="32"/>
          <w:lang w:eastAsia="zh-CN"/>
        </w:rPr>
        <w:t>应急管理局</w:t>
      </w:r>
      <w:r>
        <w:rPr>
          <w:rFonts w:hint="eastAsia" w:ascii="黑体" w:hAnsi="宋体" w:eastAsia="黑体" w:cs="黑体"/>
          <w:b/>
          <w:bCs/>
          <w:sz w:val="32"/>
          <w:szCs w:val="32"/>
        </w:rPr>
        <w:t>概况</w:t>
      </w:r>
    </w:p>
    <w:p>
      <w:pPr>
        <w:widowControl/>
        <w:spacing w:line="580" w:lineRule="exact"/>
        <w:ind w:firstLine="640"/>
        <w:jc w:val="left"/>
        <w:rPr>
          <w:rFonts w:hint="eastAsia" w:ascii="楷体_GB2312" w:eastAsia="楷体_GB2312"/>
          <w:b/>
          <w:sz w:val="32"/>
          <w:szCs w:val="30"/>
        </w:rPr>
      </w:pPr>
      <w:r>
        <w:rPr>
          <w:rFonts w:hint="eastAsia" w:ascii="楷体_GB2312" w:eastAsia="楷体_GB2312"/>
          <w:b/>
          <w:sz w:val="32"/>
          <w:szCs w:val="30"/>
        </w:rPr>
        <w:t>一、部门主要职责</w:t>
      </w:r>
    </w:p>
    <w:p>
      <w:pPr>
        <w:ind w:firstLine="640" w:firstLineChars="200"/>
        <w:rPr>
          <w:rFonts w:hint="eastAsia" w:ascii="仿宋" w:hAnsi="仿宋" w:eastAsia="仿宋"/>
          <w:sz w:val="32"/>
          <w:szCs w:val="32"/>
        </w:rPr>
      </w:pPr>
      <w:r>
        <w:rPr>
          <w:rFonts w:hint="eastAsia" w:ascii="仿宋" w:hAnsi="仿宋" w:eastAsia="仿宋"/>
          <w:sz w:val="32"/>
          <w:szCs w:val="32"/>
        </w:rPr>
        <w:t>一、贯彻执行中华人民共和国安全生产法和国家有关安全生产的法律法规和方针政策；有关安全生产的地方性法规规章和执行规定。</w:t>
      </w:r>
    </w:p>
    <w:p>
      <w:pPr>
        <w:ind w:firstLine="640" w:firstLineChars="200"/>
        <w:rPr>
          <w:rFonts w:hint="eastAsia" w:ascii="仿宋" w:hAnsi="仿宋" w:eastAsia="仿宋"/>
          <w:sz w:val="32"/>
          <w:szCs w:val="32"/>
        </w:rPr>
      </w:pPr>
      <w:r>
        <w:rPr>
          <w:rFonts w:hint="eastAsia" w:ascii="仿宋" w:hAnsi="仿宋" w:eastAsia="仿宋"/>
          <w:sz w:val="32"/>
          <w:szCs w:val="32"/>
        </w:rPr>
        <w:t>二、综合监督管理全区安全生产工作，分析和预测全区安全生产形势；拟定全区安全生产工作规划；依法行使国家安全生产监察职权。</w:t>
      </w:r>
    </w:p>
    <w:p>
      <w:pPr>
        <w:ind w:firstLine="640" w:firstLineChars="200"/>
        <w:rPr>
          <w:rFonts w:hint="eastAsia" w:ascii="仿宋" w:hAnsi="仿宋" w:eastAsia="仿宋"/>
          <w:sz w:val="32"/>
          <w:szCs w:val="32"/>
        </w:rPr>
      </w:pPr>
      <w:r>
        <w:rPr>
          <w:rFonts w:hint="eastAsia" w:ascii="仿宋" w:hAnsi="仿宋" w:eastAsia="仿宋"/>
          <w:sz w:val="32"/>
          <w:szCs w:val="32"/>
        </w:rPr>
        <w:t>三、制定下达全区安全生产工作年度工作计划和考核目标并监督检查执行。</w:t>
      </w:r>
    </w:p>
    <w:p>
      <w:pPr>
        <w:ind w:firstLine="640" w:firstLineChars="200"/>
        <w:rPr>
          <w:rFonts w:hint="eastAsia" w:ascii="仿宋" w:hAnsi="仿宋" w:eastAsia="仿宋"/>
          <w:sz w:val="32"/>
          <w:szCs w:val="32"/>
        </w:rPr>
      </w:pPr>
      <w:r>
        <w:rPr>
          <w:rFonts w:hint="eastAsia" w:ascii="仿宋" w:hAnsi="仿宋" w:eastAsia="仿宋"/>
          <w:sz w:val="32"/>
          <w:szCs w:val="32"/>
        </w:rPr>
        <w:t>四、负责发布全区安全生产信息，综合管理全区用工伤亡事故统计工作；组织、协调重、特大事故的调查处理，受区政府委托对工伤死亡调查报告进行批复。</w:t>
      </w:r>
    </w:p>
    <w:p>
      <w:pPr>
        <w:ind w:firstLine="640" w:firstLineChars="200"/>
        <w:rPr>
          <w:rFonts w:hint="eastAsia" w:ascii="仿宋" w:hAnsi="仿宋" w:eastAsia="仿宋"/>
          <w:sz w:val="32"/>
          <w:szCs w:val="32"/>
        </w:rPr>
      </w:pPr>
      <w:r>
        <w:rPr>
          <w:rFonts w:hint="eastAsia" w:ascii="仿宋" w:hAnsi="仿宋" w:eastAsia="仿宋"/>
          <w:sz w:val="32"/>
          <w:szCs w:val="32"/>
        </w:rPr>
        <w:t>五、组织全区安全生产方面的宣传教育和本系统安全生产监察人员的考核工作和企业主要经营管理者的安全资格考核工作，依法行使本辖区内的安全监督职权。</w:t>
      </w:r>
    </w:p>
    <w:p>
      <w:pPr>
        <w:ind w:firstLine="640" w:firstLineChars="200"/>
        <w:rPr>
          <w:rFonts w:hint="eastAsia" w:ascii="仿宋" w:hAnsi="仿宋" w:eastAsia="仿宋"/>
          <w:sz w:val="32"/>
          <w:szCs w:val="32"/>
        </w:rPr>
      </w:pPr>
      <w:r>
        <w:rPr>
          <w:rFonts w:hint="eastAsia" w:ascii="仿宋" w:hAnsi="仿宋" w:eastAsia="仿宋"/>
          <w:sz w:val="32"/>
          <w:szCs w:val="32"/>
        </w:rPr>
        <w:t>六、配合市</w:t>
      </w:r>
      <w:r>
        <w:rPr>
          <w:rFonts w:hint="eastAsia" w:ascii="仿宋_GB2312" w:eastAsia="仿宋_GB2312"/>
          <w:b w:val="0"/>
          <w:bCs/>
          <w:sz w:val="32"/>
          <w:szCs w:val="30"/>
          <w:lang w:eastAsia="zh-CN"/>
        </w:rPr>
        <w:t>应急管理</w:t>
      </w:r>
      <w:r>
        <w:rPr>
          <w:rFonts w:hint="eastAsia" w:ascii="仿宋" w:hAnsi="仿宋" w:eastAsia="仿宋"/>
          <w:sz w:val="32"/>
          <w:szCs w:val="32"/>
        </w:rPr>
        <w:t>局对特种行业的特种设备的检测，检验工作，组织实施对企业安全生产条件和有关设备（由其他有关部门承担的锅炉、压力容器、电梯、防爆电器等特种设备除外），进行检测、检验、安全评价、安全培训，安全咨询等社会中介组织的资格认定工作，并负责监督检查。</w:t>
      </w:r>
    </w:p>
    <w:p>
      <w:pPr>
        <w:ind w:firstLine="640" w:firstLineChars="200"/>
        <w:rPr>
          <w:rFonts w:hint="eastAsia" w:ascii="仿宋" w:hAnsi="仿宋" w:eastAsia="仿宋"/>
          <w:sz w:val="32"/>
          <w:szCs w:val="32"/>
        </w:rPr>
      </w:pPr>
      <w:r>
        <w:rPr>
          <w:rFonts w:hint="eastAsia" w:ascii="仿宋" w:hAnsi="仿宋" w:eastAsia="仿宋"/>
          <w:sz w:val="32"/>
          <w:szCs w:val="32"/>
        </w:rPr>
        <w:t>七、监督企业贯彻执行安全生产法律、法规情况和安全生产条件、有关设备，材料及劳动保护用品的安全管理工作。</w:t>
      </w:r>
    </w:p>
    <w:p>
      <w:pPr>
        <w:ind w:firstLine="640" w:firstLineChars="200"/>
        <w:rPr>
          <w:rFonts w:hint="eastAsia" w:ascii="仿宋" w:hAnsi="仿宋" w:eastAsia="仿宋"/>
          <w:sz w:val="32"/>
          <w:szCs w:val="32"/>
        </w:rPr>
      </w:pPr>
      <w:r>
        <w:rPr>
          <w:rFonts w:hint="eastAsia" w:ascii="仿宋" w:hAnsi="仿宋" w:eastAsia="仿宋"/>
          <w:sz w:val="32"/>
          <w:szCs w:val="32"/>
        </w:rPr>
        <w:t>八、负责新建、改建、扩建工程项目的安全设施与主体工程同时设计、同时施工、同时投产使用（以下简称“三同时”）的安全监督检查工作；按照职业安全法规和标准监督检查企业职业危害的防治工作、组织、指导和协调企业重、特大事故急救援工作。</w:t>
      </w:r>
    </w:p>
    <w:p>
      <w:pPr>
        <w:ind w:firstLine="640" w:firstLineChars="200"/>
        <w:rPr>
          <w:rFonts w:hint="eastAsia" w:ascii="仿宋" w:hAnsi="仿宋" w:eastAsia="仿宋"/>
          <w:sz w:val="32"/>
          <w:szCs w:val="32"/>
        </w:rPr>
      </w:pPr>
      <w:r>
        <w:rPr>
          <w:rFonts w:hint="eastAsia" w:ascii="仿宋" w:hAnsi="仿宋" w:eastAsia="仿宋"/>
          <w:sz w:val="32"/>
          <w:szCs w:val="32"/>
        </w:rPr>
        <w:t>九、组织、指导安全科学技术研究、开发和新技术的推广工作、开展地区的安全生产方面的交流与合作、管理安全技术措施和安全科研等经费。</w:t>
      </w:r>
    </w:p>
    <w:p>
      <w:pPr>
        <w:jc w:val="left"/>
        <w:rPr>
          <w:rFonts w:hint="eastAsia" w:ascii="仿宋" w:hAnsi="仿宋" w:eastAsia="仿宋"/>
          <w:sz w:val="30"/>
          <w:szCs w:val="30"/>
        </w:rPr>
      </w:pPr>
      <w:r>
        <w:rPr>
          <w:rFonts w:hint="eastAsia" w:ascii="仿宋" w:hAnsi="仿宋" w:eastAsia="仿宋"/>
          <w:sz w:val="32"/>
          <w:szCs w:val="32"/>
        </w:rPr>
        <w:t>十、兼负全区安全生产委员会办公室的日常工作，承办区政府及上级主管部门交办的其他工作。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珠山区应急管理局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bookmarkStart w:id="0" w:name="_GoBack"/>
      <w:bookmarkEnd w:id="0"/>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w:t>
      </w:r>
      <w:r>
        <w:rPr>
          <w:rFonts w:hint="eastAsia" w:ascii="黑体" w:hAnsi="宋体" w:eastAsia="黑体" w:cs="黑体"/>
          <w:sz w:val="32"/>
          <w:szCs w:val="32"/>
          <w:lang w:eastAsia="zh-CN"/>
        </w:rPr>
        <w:t>应急管理局</w:t>
      </w:r>
      <w:r>
        <w:rPr>
          <w:rFonts w:hint="eastAsia" w:ascii="黑体" w:hAnsi="宋体" w:eastAsia="黑体" w:cs="黑体"/>
          <w:b/>
          <w:bCs/>
          <w:sz w:val="32"/>
          <w:szCs w:val="32"/>
          <w:lang w:eastAsia="zh-CN"/>
        </w:rPr>
        <w:t>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应急管理局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182.5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24万元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因为人员变动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182.5</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应急管理局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182.5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26万元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原因是人员变动</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104.02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43.02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94.12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ascii="仿宋_GB2312" w:hAnsi="宋体" w:eastAsia="仿宋_GB2312" w:cs="仿宋_GB2312"/>
          <w:sz w:val="32"/>
          <w:szCs w:val="32"/>
        </w:rPr>
        <w:t>xx</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p>
    <w:p>
      <w:pPr>
        <w:ind w:firstLine="620" w:firstLineChars="200"/>
        <w:rPr>
          <w:rFonts w:hint="eastAsia" w:ascii="仿宋_GB2312" w:hAnsi="仿宋" w:eastAsia="仿宋_GB2312" w:cs="仿宋"/>
          <w:sz w:val="28"/>
          <w:szCs w:val="28"/>
          <w:lang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灾害防治及应急管理支出</w:t>
      </w:r>
      <w:r>
        <w:rPr>
          <w:rFonts w:hint="eastAsia" w:ascii="仿宋_GB2312" w:hAnsi="仿宋" w:eastAsia="仿宋_GB2312" w:cs="仿宋"/>
          <w:sz w:val="28"/>
          <w:szCs w:val="28"/>
          <w:lang w:val="en-US" w:eastAsia="zh-CN"/>
        </w:rPr>
        <w:t>132.39万元，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72.54</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医疗卫生与计划生育支出4.33万元、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1.17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社会保障和就业支出10.66万元、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6.42</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FF"/>
          <w:sz w:val="28"/>
          <w:szCs w:val="28"/>
          <w:lang w:val="en-US" w:eastAsia="zh-CN"/>
        </w:rPr>
        <w:t>出0万元、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0</w:t>
      </w:r>
      <w:r>
        <w:rPr>
          <w:rFonts w:hint="eastAsia" w:ascii="仿宋_GB2312" w:hAnsi="仿宋" w:eastAsia="仿宋_GB2312" w:cs="仿宋"/>
          <w:color w:val="0000FF"/>
          <w:sz w:val="28"/>
          <w:szCs w:val="28"/>
          <w:lang w:eastAsia="zh-CN"/>
        </w:rPr>
        <w:t>%，住房保障支出</w:t>
      </w:r>
      <w:r>
        <w:rPr>
          <w:rFonts w:hint="eastAsia" w:ascii="仿宋_GB2312" w:hAnsi="仿宋" w:eastAsia="仿宋_GB2312" w:cs="仿宋"/>
          <w:color w:val="0000FF"/>
          <w:sz w:val="28"/>
          <w:szCs w:val="28"/>
          <w:lang w:val="en-US" w:eastAsia="zh-CN"/>
        </w:rPr>
        <w:t>9.33万元，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6.4</w:t>
      </w:r>
      <w:r>
        <w:rPr>
          <w:rFonts w:hint="eastAsia" w:ascii="仿宋_GB2312" w:hAnsi="仿宋" w:eastAsia="仿宋_GB2312" w:cs="仿宋"/>
          <w:color w:val="0000FF"/>
          <w:sz w:val="28"/>
          <w:szCs w:val="28"/>
          <w:lang w:eastAsia="zh-CN"/>
        </w:rPr>
        <w:t>%，</w:t>
      </w:r>
      <w:r>
        <w:rPr>
          <w:rFonts w:hint="eastAsia" w:ascii="仿宋_GB2312" w:hAnsi="宋体" w:eastAsia="仿宋_GB2312" w:cs="仿宋_GB2312"/>
          <w:sz w:val="32"/>
          <w:szCs w:val="32"/>
        </w:rPr>
        <w:t>农林水事务</w:t>
      </w:r>
      <w:r>
        <w:rPr>
          <w:rFonts w:hint="eastAsia" w:ascii="仿宋_GB2312" w:hAnsi="宋体" w:eastAsia="仿宋_GB2312" w:cs="仿宋_GB2312"/>
          <w:sz w:val="32"/>
          <w:szCs w:val="32"/>
          <w:lang w:val="en-US" w:eastAsia="zh-CN"/>
        </w:rPr>
        <w:t>25.8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13.47</w:t>
      </w:r>
      <w:r>
        <w:rPr>
          <w:rFonts w:ascii="仿宋_GB2312" w:hAnsi="宋体" w:eastAsia="仿宋_GB2312" w:cs="仿宋_GB2312"/>
          <w:sz w:val="32"/>
          <w:szCs w:val="32"/>
        </w:rPr>
        <w:t>%</w:t>
      </w:r>
      <w:r>
        <w:rPr>
          <w:rFonts w:hint="eastAsia" w:ascii="仿宋_GB2312" w:hAnsi="宋体" w:eastAsia="仿宋_GB2312" w:cs="仿宋_GB2312"/>
          <w:sz w:val="32"/>
          <w:szCs w:val="32"/>
        </w:rPr>
        <w:t>；教育</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仿宋" w:eastAsia="仿宋_GB2312" w:cs="仿宋"/>
          <w:color w:val="0000FF"/>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按支出经济分类划分：工资福利支出94.12万元，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商品和服务支出9.9万元，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33.51</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2022年应急管理局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182.5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26万元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人员变动</w:t>
      </w:r>
      <w:r>
        <w:rPr>
          <w:rFonts w:hint="eastAsia" w:ascii="仿宋_GB2312" w:hAnsi="宋体" w:eastAsia="仿宋_GB2312" w:cs="仿宋_GB2312"/>
          <w:sz w:val="32"/>
          <w:szCs w:val="32"/>
        </w:rPr>
        <w:t>。具体支出情况是：</w:t>
      </w:r>
      <w:r>
        <w:rPr>
          <w:rFonts w:ascii="仿宋" w:hAnsi="仿宋" w:eastAsia="仿宋" w:cs="仿宋"/>
          <w:color w:val="000000"/>
          <w:kern w:val="0"/>
          <w:sz w:val="31"/>
          <w:szCs w:val="31"/>
          <w:lang w:val="en-US" w:eastAsia="zh-CN" w:bidi="ar"/>
        </w:rPr>
        <w:t>:</w:t>
      </w:r>
      <w:r>
        <w:rPr>
          <w:rFonts w:hint="eastAsia" w:ascii="仿宋_GB2312" w:hAnsi="仿宋" w:eastAsia="仿宋_GB2312" w:cs="仿宋"/>
          <w:sz w:val="28"/>
          <w:szCs w:val="28"/>
          <w:lang w:eastAsia="zh-CN"/>
        </w:rPr>
        <w:t>灾害防治及应急管理支出</w:t>
      </w:r>
      <w:r>
        <w:rPr>
          <w:rFonts w:hint="eastAsia" w:ascii="仿宋_GB2312" w:hAnsi="仿宋" w:eastAsia="仿宋_GB2312" w:cs="仿宋"/>
          <w:sz w:val="28"/>
          <w:szCs w:val="28"/>
          <w:lang w:val="en-US" w:eastAsia="zh-CN"/>
        </w:rPr>
        <w:t>132.39万元，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72.54</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医疗卫生与计划生育支出4.33万元、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1.17</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社会保障和就业支出10.66万元、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6.42</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FF"/>
          <w:sz w:val="28"/>
          <w:szCs w:val="28"/>
          <w:lang w:val="en-US" w:eastAsia="zh-CN"/>
        </w:rPr>
        <w:t>出0万元、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0</w:t>
      </w:r>
      <w:r>
        <w:rPr>
          <w:rFonts w:hint="eastAsia" w:ascii="仿宋_GB2312" w:hAnsi="仿宋" w:eastAsia="仿宋_GB2312" w:cs="仿宋"/>
          <w:color w:val="0000FF"/>
          <w:sz w:val="28"/>
          <w:szCs w:val="28"/>
          <w:lang w:eastAsia="zh-CN"/>
        </w:rPr>
        <w:t>%，住房保障支出</w:t>
      </w:r>
      <w:r>
        <w:rPr>
          <w:rFonts w:hint="eastAsia" w:ascii="仿宋_GB2312" w:hAnsi="仿宋" w:eastAsia="仿宋_GB2312" w:cs="仿宋"/>
          <w:color w:val="0000FF"/>
          <w:sz w:val="28"/>
          <w:szCs w:val="28"/>
          <w:lang w:val="en-US" w:eastAsia="zh-CN"/>
        </w:rPr>
        <w:t>9.33万元，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6.4</w:t>
      </w:r>
      <w:r>
        <w:rPr>
          <w:rFonts w:hint="eastAsia" w:ascii="仿宋_GB2312" w:hAnsi="仿宋" w:eastAsia="仿宋_GB2312" w:cs="仿宋"/>
          <w:color w:val="0000FF"/>
          <w:sz w:val="28"/>
          <w:szCs w:val="28"/>
          <w:lang w:eastAsia="zh-CN"/>
        </w:rPr>
        <w:t>%，</w:t>
      </w:r>
      <w:r>
        <w:rPr>
          <w:rFonts w:hint="eastAsia" w:ascii="仿宋_GB2312" w:hAnsi="宋体" w:eastAsia="仿宋_GB2312" w:cs="仿宋_GB2312"/>
          <w:sz w:val="32"/>
          <w:szCs w:val="32"/>
        </w:rPr>
        <w:t>农林水事务</w:t>
      </w:r>
      <w:r>
        <w:rPr>
          <w:rFonts w:hint="eastAsia" w:ascii="仿宋_GB2312" w:hAnsi="宋体" w:eastAsia="仿宋_GB2312" w:cs="仿宋_GB2312"/>
          <w:sz w:val="32"/>
          <w:szCs w:val="32"/>
          <w:lang w:val="en-US" w:eastAsia="zh-CN"/>
        </w:rPr>
        <w:t>25.8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13.47</w:t>
      </w:r>
      <w:r>
        <w:rPr>
          <w:rFonts w:ascii="仿宋_GB2312" w:hAnsi="宋体" w:eastAsia="仿宋_GB2312" w:cs="仿宋_GB2312"/>
          <w:sz w:val="32"/>
          <w:szCs w:val="32"/>
        </w:rPr>
        <w:t>%</w:t>
      </w:r>
      <w:r>
        <w:rPr>
          <w:rFonts w:hint="eastAsia" w:ascii="仿宋_GB2312" w:hAnsi="宋体" w:eastAsia="仿宋_GB2312" w:cs="仿宋_GB2312"/>
          <w:sz w:val="32"/>
          <w:szCs w:val="32"/>
        </w:rPr>
        <w:t>；教育</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sz w:val="28"/>
          <w:szCs w:val="28"/>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宋体" w:eastAsia="仿宋_GB2312" w:cs="仿宋_GB2312"/>
          <w:sz w:val="32"/>
          <w:szCs w:val="32"/>
          <w:lang w:eastAsia="zh-CN"/>
        </w:rPr>
        <w:t>应急管理局</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24</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24</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0万元，增加了灾害防治费用。</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珠山区应急管理局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5.24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6.51</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5.13</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增加公车维修</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182.5万元，具体情况国是：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FF"/>
          <w:sz w:val="28"/>
          <w:szCs w:val="28"/>
          <w:highlight w:val="none"/>
          <w:shd w:val="clear" w:color="auto" w:fill="auto"/>
        </w:rPr>
      </w:pPr>
      <w:r>
        <w:rPr>
          <w:rFonts w:hint="eastAsia" w:ascii="仿宋_GB2312" w:hAnsi="仿宋" w:eastAsia="仿宋_GB2312" w:cs="仿宋"/>
          <w:sz w:val="28"/>
          <w:szCs w:val="28"/>
          <w:lang w:val="en-US" w:eastAsia="zh-CN"/>
        </w:rPr>
        <w:t>工资资福利支出94.12万元，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48.42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商品和服务支出88.38万元，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51.58</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ascii="黑体" w:hAnsi="宋体" w:eastAsia="黑体" w:cs="黑体"/>
          <w:sz w:val="32"/>
          <w:szCs w:val="32"/>
        </w:rPr>
        <w:t>xx</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74D26C2"/>
    <w:rsid w:val="07E32CEB"/>
    <w:rsid w:val="08853AAE"/>
    <w:rsid w:val="08EE0B31"/>
    <w:rsid w:val="09DA01AF"/>
    <w:rsid w:val="0A326819"/>
    <w:rsid w:val="0CBF216E"/>
    <w:rsid w:val="0FCB58D0"/>
    <w:rsid w:val="11427CB1"/>
    <w:rsid w:val="139E3D52"/>
    <w:rsid w:val="153624FB"/>
    <w:rsid w:val="162B4B72"/>
    <w:rsid w:val="16610551"/>
    <w:rsid w:val="18AC060B"/>
    <w:rsid w:val="19076E1D"/>
    <w:rsid w:val="1DB93368"/>
    <w:rsid w:val="1EBD751D"/>
    <w:rsid w:val="1EF5217E"/>
    <w:rsid w:val="1F117155"/>
    <w:rsid w:val="202F7912"/>
    <w:rsid w:val="204B45CE"/>
    <w:rsid w:val="20C35D88"/>
    <w:rsid w:val="2142426A"/>
    <w:rsid w:val="22F22C45"/>
    <w:rsid w:val="248B21FF"/>
    <w:rsid w:val="25705B71"/>
    <w:rsid w:val="25E97E48"/>
    <w:rsid w:val="2C4176B1"/>
    <w:rsid w:val="2C4560DF"/>
    <w:rsid w:val="2C624BCB"/>
    <w:rsid w:val="2D777579"/>
    <w:rsid w:val="2DBB222D"/>
    <w:rsid w:val="31D40AAE"/>
    <w:rsid w:val="381119B2"/>
    <w:rsid w:val="394A0B10"/>
    <w:rsid w:val="3A22533C"/>
    <w:rsid w:val="3BD871B8"/>
    <w:rsid w:val="3CE72D17"/>
    <w:rsid w:val="3CF55A87"/>
    <w:rsid w:val="3DDF3C75"/>
    <w:rsid w:val="401978B9"/>
    <w:rsid w:val="429A727D"/>
    <w:rsid w:val="4322216B"/>
    <w:rsid w:val="460018FA"/>
    <w:rsid w:val="4C0B38BC"/>
    <w:rsid w:val="4C0B7195"/>
    <w:rsid w:val="4D135D42"/>
    <w:rsid w:val="4D3B293C"/>
    <w:rsid w:val="50102BCF"/>
    <w:rsid w:val="51B40312"/>
    <w:rsid w:val="550153AB"/>
    <w:rsid w:val="56552A05"/>
    <w:rsid w:val="57CC144D"/>
    <w:rsid w:val="5C921C7D"/>
    <w:rsid w:val="62B20F12"/>
    <w:rsid w:val="633C2039"/>
    <w:rsid w:val="63973295"/>
    <w:rsid w:val="641E7445"/>
    <w:rsid w:val="6CE86541"/>
    <w:rsid w:val="71452C49"/>
    <w:rsid w:val="73224148"/>
    <w:rsid w:val="73584830"/>
    <w:rsid w:val="742C1313"/>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page number"/>
    <w:basedOn w:val="7"/>
    <w:qFormat/>
    <w:uiPriority w:val="99"/>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7"/>
    <w:link w:val="5"/>
    <w:semiHidden/>
    <w:qFormat/>
    <w:uiPriority w:val="99"/>
    <w:rPr>
      <w:rFonts w:cs="Calibri"/>
      <w:sz w:val="18"/>
      <w:szCs w:val="18"/>
    </w:rPr>
  </w:style>
  <w:style w:type="character" w:customStyle="1" w:styleId="12">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ScaleCrop>false</ScaleCrop>
  <LinksUpToDate>false</LinksUpToDate>
  <CharactersWithSpaces>2873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WHGX</cp:lastModifiedBy>
  <cp:lastPrinted>2021-05-26T02:23:00Z</cp:lastPrinted>
  <dcterms:modified xsi:type="dcterms:W3CDTF">2022-03-10T07:22:37Z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F4CC2E5705DE4B47BDA039291FBAA1C3</vt:lpwstr>
  </property>
</Properties>
</file>