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3"/>
        <w:spacing w:before="0" w:after="0" w:line="240" w:lineRule="auto"/>
        <w:jc w:val="center"/>
        <w:rPr>
          <w:rFonts w:ascii="黑体" w:hAnsi="黑体" w:eastAsia="黑体" w:cs="黑体"/>
        </w:rPr>
      </w:pPr>
      <w:r>
        <w:rPr>
          <w:rFonts w:hint="eastAsia" w:ascii="黑体" w:hAnsi="黑体" w:eastAsia="黑体" w:cs="黑体"/>
        </w:rPr>
        <w:t>景德镇市珠山区机关事务管理局2022年部门预算公开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珠山区机关事务管理局概况</w:t>
      </w:r>
    </w:p>
    <w:p>
      <w:pPr>
        <w:ind w:firstLine="640" w:firstLineChars="200"/>
        <w:rPr>
          <w:rFonts w:ascii="仿宋_GB2312" w:hAnsi="宋体" w:eastAsia="仿宋_GB2312" w:cs="仿宋_GB2312"/>
          <w:sz w:val="32"/>
          <w:szCs w:val="32"/>
        </w:rPr>
      </w:pPr>
      <w:r>
        <w:rPr>
          <w:rFonts w:hint="eastAsia" w:ascii="仿宋" w:hAnsi="仿宋" w:eastAsia="仿宋" w:cs="仿宋"/>
          <w:color w:val="333333"/>
          <w:sz w:val="32"/>
          <w:szCs w:val="32"/>
          <w:shd w:val="clear" w:color="auto" w:fill="FFFFFF"/>
        </w:rPr>
        <w:t xml:space="preserve">      </w:t>
      </w:r>
      <w:r>
        <w:rPr>
          <w:rFonts w:hint="eastAsia" w:ascii="仿宋_GB2312" w:hAnsi="宋体" w:eastAsia="仿宋_GB2312" w:cs="仿宋_GB2312"/>
          <w:sz w:val="32"/>
          <w:szCs w:val="32"/>
        </w:rPr>
        <w:t>一、部门主要职责</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  二、部门机构设置情况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珠山区机关事务管理局2022年部门预算情况说明</w:t>
      </w:r>
    </w:p>
    <w:p>
      <w:pPr>
        <w:widowControl/>
        <w:shd w:val="clear" w:color="auto" w:fill="FFFFFF"/>
        <w:ind w:firstLine="640" w:firstLineChars="200"/>
        <w:jc w:val="left"/>
        <w:rPr>
          <w:rFonts w:ascii="仿宋_GB2312" w:hAnsi="微软雅黑" w:eastAsia="仿宋_GB2312" w:cs="仿宋_GB2312"/>
          <w:color w:val="000000"/>
          <w:kern w:val="0"/>
          <w:sz w:val="32"/>
          <w:szCs w:val="32"/>
          <w:shd w:val="clear" w:color="auto" w:fill="FFFFFF"/>
        </w:rPr>
      </w:pPr>
      <w:r>
        <w:rPr>
          <w:rFonts w:hint="eastAsia" w:ascii="仿宋" w:hAnsi="仿宋" w:eastAsia="仿宋" w:cs="仿宋"/>
          <w:color w:val="333333"/>
          <w:sz w:val="32"/>
          <w:szCs w:val="32"/>
          <w:shd w:val="clear" w:color="auto" w:fill="FFFFFF"/>
        </w:rPr>
        <w:t xml:space="preserve">    </w:t>
      </w:r>
      <w:r>
        <w:rPr>
          <w:rFonts w:ascii="仿宋_GB2312" w:hAnsi="微软雅黑" w:eastAsia="仿宋_GB2312" w:cs="仿宋_GB2312"/>
          <w:color w:val="000000"/>
          <w:kern w:val="0"/>
          <w:sz w:val="32"/>
          <w:szCs w:val="32"/>
          <w:shd w:val="clear" w:color="auto" w:fill="FFFFFF"/>
        </w:rPr>
        <w:t>一、</w:t>
      </w:r>
      <w:r>
        <w:rPr>
          <w:rFonts w:hint="eastAsia" w:ascii="仿宋_GB2312" w:hAnsi="微软雅黑" w:eastAsia="仿宋_GB2312" w:cs="仿宋_GB2312"/>
          <w:color w:val="000000"/>
          <w:kern w:val="0"/>
          <w:sz w:val="32"/>
          <w:szCs w:val="32"/>
          <w:shd w:val="clear" w:color="auto" w:fill="FFFFFF"/>
        </w:rPr>
        <w:t>2022</w:t>
      </w:r>
      <w:r>
        <w:rPr>
          <w:rFonts w:ascii="仿宋_GB2312" w:hAnsi="微软雅黑" w:eastAsia="仿宋_GB2312" w:cs="仿宋_GB2312"/>
          <w:color w:val="000000"/>
          <w:kern w:val="0"/>
          <w:sz w:val="32"/>
          <w:szCs w:val="32"/>
          <w:shd w:val="clear" w:color="auto" w:fill="FFFFFF"/>
        </w:rPr>
        <w:t>年部门预算收支情况说明</w:t>
      </w:r>
    </w:p>
    <w:p>
      <w:pPr>
        <w:widowControl/>
        <w:shd w:val="clear" w:color="auto" w:fill="FFFFFF"/>
        <w:ind w:firstLine="1280" w:firstLineChars="400"/>
        <w:jc w:val="left"/>
        <w:rPr>
          <w:rFonts w:ascii="仿宋_GB2312" w:eastAsia="仿宋_GB2312" w:cs="Times New Roman"/>
          <w:sz w:val="32"/>
          <w:szCs w:val="32"/>
        </w:rPr>
      </w:pPr>
      <w:r>
        <w:rPr>
          <w:rFonts w:ascii="仿宋_GB2312" w:hAnsi="微软雅黑" w:eastAsia="仿宋_GB2312" w:cs="仿宋_GB2312"/>
          <w:color w:val="000000"/>
          <w:kern w:val="0"/>
          <w:sz w:val="32"/>
          <w:szCs w:val="32"/>
          <w:shd w:val="clear" w:color="auto" w:fill="FFFFFF"/>
        </w:rPr>
        <w:t>二、</w:t>
      </w:r>
      <w:r>
        <w:rPr>
          <w:rFonts w:hint="eastAsia" w:ascii="仿宋_GB2312" w:hAnsi="微软雅黑" w:eastAsia="仿宋_GB2312" w:cs="仿宋_GB2312"/>
          <w:color w:val="000000"/>
          <w:kern w:val="0"/>
          <w:sz w:val="32"/>
          <w:szCs w:val="32"/>
          <w:shd w:val="clear" w:color="auto" w:fill="FFFFFF"/>
        </w:rPr>
        <w:t>2022</w:t>
      </w:r>
      <w:r>
        <w:rPr>
          <w:rFonts w:ascii="仿宋_GB2312" w:hAnsi="微软雅黑" w:eastAsia="仿宋_GB2312" w:cs="仿宋_GB2312"/>
          <w:color w:val="000000"/>
          <w:kern w:val="0"/>
          <w:sz w:val="32"/>
          <w:szCs w:val="32"/>
          <w:shd w:val="clear" w:color="auto" w:fill="FFFFFF"/>
        </w:rPr>
        <w:t>年</w:t>
      </w:r>
      <w:r>
        <w:rPr>
          <w:rFonts w:hint="eastAsia" w:ascii="仿宋_GB2312" w:hAnsi="微软雅黑" w:eastAsia="仿宋_GB2312" w:cs="仿宋_GB2312"/>
          <w:color w:val="000000"/>
          <w:kern w:val="0"/>
          <w:sz w:val="32"/>
          <w:szCs w:val="32"/>
          <w:shd w:val="clear" w:color="auto" w:fill="FFFFFF"/>
        </w:rPr>
        <w:t>“</w:t>
      </w:r>
      <w:r>
        <w:rPr>
          <w:rFonts w:ascii="仿宋_GB2312" w:hAnsi="微软雅黑" w:eastAsia="仿宋_GB2312" w:cs="仿宋_GB2312"/>
          <w:color w:val="000000"/>
          <w:kern w:val="0"/>
          <w:sz w:val="32"/>
          <w:szCs w:val="32"/>
          <w:shd w:val="clear" w:color="auto" w:fill="FFFFFF"/>
        </w:rPr>
        <w:t>三公</w:t>
      </w:r>
      <w:r>
        <w:rPr>
          <w:rFonts w:hint="eastAsia" w:ascii="仿宋_GB2312" w:hAnsi="微软雅黑" w:eastAsia="仿宋_GB2312" w:cs="仿宋_GB2312"/>
          <w:color w:val="000000"/>
          <w:kern w:val="0"/>
          <w:sz w:val="32"/>
          <w:szCs w:val="32"/>
          <w:shd w:val="clear" w:color="auto" w:fill="FFFFFF"/>
        </w:rPr>
        <w:t>”</w:t>
      </w:r>
      <w:r>
        <w:rPr>
          <w:rFonts w:ascii="仿宋_GB2312" w:hAnsi="微软雅黑" w:eastAsia="仿宋_GB2312" w:cs="仿宋_GB2312"/>
          <w:color w:val="000000"/>
          <w:kern w:val="0"/>
          <w:sz w:val="32"/>
          <w:szCs w:val="32"/>
          <w:shd w:val="clear" w:color="auto" w:fill="FFFFFF"/>
        </w:rPr>
        <w:t>经费</w:t>
      </w:r>
      <w:r>
        <w:rPr>
          <w:rFonts w:hint="eastAsia" w:ascii="仿宋_GB2312" w:hAnsi="微软雅黑" w:eastAsia="仿宋_GB2312" w:cs="仿宋_GB2312"/>
          <w:color w:val="000000"/>
          <w:kern w:val="0"/>
          <w:sz w:val="32"/>
          <w:szCs w:val="32"/>
          <w:shd w:val="clear" w:color="auto" w:fill="FFFFFF"/>
        </w:rPr>
        <w:t>预算情况</w:t>
      </w:r>
      <w:r>
        <w:rPr>
          <w:rFonts w:ascii="仿宋_GB2312" w:hAnsi="微软雅黑" w:eastAsia="仿宋_GB2312" w:cs="仿宋_GB2312"/>
          <w:color w:val="000000"/>
          <w:kern w:val="0"/>
          <w:sz w:val="32"/>
          <w:szCs w:val="32"/>
          <w:shd w:val="clear" w:color="auto" w:fill="FFFFFF"/>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机关事务管理局2022年部门预算表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九、《部门整体绩效目标表》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十、《一级项目绩效目标表》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珠山区机关事务管理局概况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ind w:firstLine="640" w:firstLineChars="200"/>
        <w:rPr>
          <w:rFonts w:ascii="仿宋" w:hAnsi="仿宋" w:eastAsia="仿宋"/>
          <w:sz w:val="30"/>
          <w:szCs w:val="30"/>
        </w:rPr>
      </w:pPr>
      <w:r>
        <w:rPr>
          <w:rFonts w:hint="eastAsia" w:ascii="仿宋_GB2312" w:hAnsi="宋体" w:eastAsia="仿宋_GB2312" w:cs="仿宋_GB2312"/>
          <w:sz w:val="32"/>
          <w:szCs w:val="32"/>
        </w:rPr>
        <w:t>机关事务管理局（委、办）是主管工作的区政府（区委）组成部门（直属机构），主要职责是：</w:t>
      </w:r>
      <w:r>
        <w:rPr>
          <w:rFonts w:hint="eastAsia" w:ascii="仿宋" w:hAnsi="仿宋" w:eastAsia="仿宋" w:cs="仿宋"/>
          <w:sz w:val="30"/>
          <w:szCs w:val="30"/>
        </w:rPr>
        <w:t>研究制定区机关事务工作的具体规章制度和工作计划并组织实施，对区发展中心后勤保障部门进行业务指导，会同有关部门协调解决后勤工作中的有关问题；负责区委、区人大常委会、区政府、区政协重大活动、重要会议的会务保障工作及重大接待服务工作；负责全区公务用车的监督管理、车辆调度、机务安全、信息采集等工作；负责全区党政机关办公用房的规划、权属、配备、使用、维修处置等管理工作；负责全区公共机构节能监督管理工作；完成区委、区政府交办的其他工作</w:t>
      </w:r>
      <w:r>
        <w:rPr>
          <w:rFonts w:hint="eastAsia"/>
          <w:sz w:val="30"/>
          <w:szCs w:val="30"/>
        </w:rPr>
        <w:t>。</w:t>
      </w:r>
    </w:p>
    <w:p>
      <w:pPr>
        <w:ind w:firstLine="640" w:firstLineChars="200"/>
        <w:rPr>
          <w:rFonts w:ascii="仿宋_GB2312" w:eastAsia="仿宋_GB2312" w:cs="Times New Roman"/>
          <w:sz w:val="32"/>
          <w:szCs w:val="32"/>
        </w:rPr>
      </w:pP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机关事务管理局（委、办）共有预算单位1个，即局本级。编制数为9人，其中行政编制1人、全额补助事业编制8人、部分补助事业编制0人、自收自支事业编制0人；实有人数9人，其中在职人数为9人，包括行政人员1人、全额补助事业人员8人、部分补助事业编人员0人、自收自支事业人员0人；离休人员0人；退休人员0人。在校学生0人，其中：高等学校0人、中等专业学校0人，其他0人。</w:t>
      </w:r>
    </w:p>
    <w:p>
      <w:pPr>
        <w:ind w:firstLine="640" w:firstLineChars="200"/>
        <w:rPr>
          <w:rFonts w:ascii="仿宋_GB2312" w:hAnsi="宋体" w:eastAsia="仿宋_GB2312" w:cs="仿宋_GB2312"/>
          <w:sz w:val="32"/>
          <w:szCs w:val="32"/>
        </w:rPr>
      </w:pP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机关事务管理局2022年部门预算情况说明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一、2022年部门预算收支情况说明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rPr>
        <w:t>2022年机关事务管理局（委、办）收入预算总额为1000.34万元，与上年预算</w:t>
      </w:r>
      <w:r>
        <w:rPr>
          <w:rFonts w:hint="eastAsia" w:ascii="仿宋_GB2312" w:hAnsi="宋体" w:eastAsia="仿宋_GB2312" w:cs="仿宋_GB2312"/>
          <w:sz w:val="32"/>
          <w:szCs w:val="32"/>
          <w:lang w:eastAsia="zh-CN"/>
        </w:rPr>
        <w:t>总额的</w:t>
      </w:r>
      <w:r>
        <w:rPr>
          <w:rFonts w:hint="eastAsia" w:ascii="仿宋_GB2312" w:hAnsi="宋体" w:eastAsia="仿宋_GB2312" w:cs="仿宋_GB2312"/>
          <w:sz w:val="32"/>
          <w:szCs w:val="32"/>
          <w:lang w:val="en-US" w:eastAsia="zh-CN"/>
        </w:rPr>
        <w:t>1001.2万元</w:t>
      </w:r>
      <w:r>
        <w:rPr>
          <w:rFonts w:hint="eastAsia" w:ascii="仿宋_GB2312" w:hAnsi="宋体" w:eastAsia="仿宋_GB2312" w:cs="仿宋_GB2312"/>
          <w:sz w:val="32"/>
          <w:szCs w:val="32"/>
        </w:rPr>
        <w:t>相比基本持平。</w:t>
      </w:r>
      <w:r>
        <w:rPr>
          <w:rFonts w:hint="eastAsia" w:ascii="仿宋_GB2312" w:hAnsi="宋体" w:eastAsia="仿宋_GB2312" w:cs="仿宋_GB2312"/>
          <w:sz w:val="32"/>
          <w:szCs w:val="32"/>
          <w:lang w:eastAsia="zh-CN"/>
        </w:rPr>
        <w:t>主要原因是：部门主要职责、人员未发生变化。</w:t>
      </w:r>
      <w:r>
        <w:rPr>
          <w:rFonts w:hint="eastAsia" w:ascii="仿宋_GB2312" w:hAnsi="宋体" w:eastAsia="仿宋_GB2312" w:cs="仿宋_GB2312"/>
          <w:sz w:val="32"/>
          <w:szCs w:val="32"/>
        </w:rPr>
        <w:t>其中：当年财政拨款收入1000.34万元，占收入预算总额的100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；政府性基金拨款收入0万元，占收入预算总额的0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；事业收入0万元，占收入预算总额的0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；事业单位经营收入0万元，占收入预算总额的0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；当年其他各项收入0万元，占收入预算总额的0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；上年结余结转收入0万元，占收入预算总额的0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2022年机关事务管理局（委、办）支出预算总额为1000.34万元，与上年预算</w:t>
      </w:r>
      <w:r>
        <w:rPr>
          <w:rFonts w:hint="eastAsia" w:ascii="仿宋_GB2312" w:hAnsi="宋体" w:eastAsia="仿宋_GB2312" w:cs="仿宋_GB2312"/>
          <w:sz w:val="32"/>
          <w:szCs w:val="32"/>
          <w:lang w:eastAsia="zh-CN"/>
        </w:rPr>
        <w:t>的</w:t>
      </w:r>
      <w:r>
        <w:rPr>
          <w:rFonts w:hint="eastAsia" w:ascii="仿宋_GB2312" w:hAnsi="宋体" w:eastAsia="仿宋_GB2312" w:cs="仿宋_GB2312"/>
          <w:sz w:val="32"/>
          <w:szCs w:val="32"/>
          <w:lang w:val="en-US" w:eastAsia="zh-CN"/>
        </w:rPr>
        <w:t>1001.2万元</w:t>
      </w:r>
      <w:r>
        <w:rPr>
          <w:rFonts w:hint="eastAsia" w:ascii="仿宋_GB2312" w:hAnsi="宋体" w:eastAsia="仿宋_GB2312" w:cs="仿宋_GB2312"/>
          <w:sz w:val="32"/>
          <w:szCs w:val="32"/>
        </w:rPr>
        <w:t>相比基本持平。</w:t>
      </w:r>
      <w:r>
        <w:rPr>
          <w:rFonts w:hint="eastAsia" w:ascii="仿宋_GB2312" w:hAnsi="宋体" w:eastAsia="仿宋_GB2312" w:cs="仿宋_GB2312"/>
          <w:sz w:val="32"/>
          <w:szCs w:val="32"/>
          <w:lang w:eastAsia="zh-CN"/>
        </w:rPr>
        <w:t>主要原因是：部门主要职责、人员未发生变化。</w:t>
      </w:r>
      <w:r>
        <w:rPr>
          <w:rFonts w:hint="eastAsia" w:ascii="仿宋_GB2312" w:hAnsi="宋体" w:eastAsia="仿宋_GB2312" w:cs="仿宋_GB2312"/>
          <w:sz w:val="32"/>
          <w:szCs w:val="32"/>
        </w:rPr>
        <w:t>其中：按支出项目类别划分：基本支出323.04万元，占支出预算总额的32.29</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，包括工资福利支出82.14万元、商品和服务支出11.7万元、对个人和家庭的补助229.2万元、其他资本性支出0万元；项目支出（非定额）677.3万元，占支出总额的67.71</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，包括工资福利支出0万元、商品和服务支出677.3万元、对个人和家庭的补助0万元、债务利息支出0万元、基本建设支出0万元、其他资本性支出0万元、其他相关支出0万元；事业经营支出0万元，占支出预算总额的0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；对附属单位补助支出的0万元，占支出预算总额的0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；上缴上级支出0万元，占支出预算总额的0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按支出功能项目科目划分：一般公共服务975.83万元，占支出预算总额的97.55</w:t>
      </w:r>
      <w:r>
        <w:rPr>
          <w:rFonts w:ascii="仿宋_GB2312" w:hAnsi="宋体" w:eastAsia="仿宋_GB2312" w:cs="仿宋_GB2312"/>
          <w:sz w:val="32"/>
          <w:szCs w:val="32"/>
        </w:rPr>
        <w:t>%</w:t>
      </w:r>
      <w:r>
        <w:rPr>
          <w:rFonts w:hint="eastAsia" w:ascii="仿宋_GB2312" w:hAnsi="宋体" w:eastAsia="仿宋_GB2312" w:cs="仿宋_GB2312"/>
          <w:sz w:val="32"/>
          <w:szCs w:val="32"/>
        </w:rPr>
        <w:t>；社会保障和就业支出13.22万元，占支出预算总额的1.32</w:t>
      </w:r>
      <w:r>
        <w:rPr>
          <w:rFonts w:ascii="仿宋_GB2312" w:hAnsi="宋体" w:eastAsia="仿宋_GB2312" w:cs="仿宋_GB2312"/>
          <w:sz w:val="32"/>
          <w:szCs w:val="32"/>
        </w:rPr>
        <w:t>%</w:t>
      </w:r>
      <w:r>
        <w:rPr>
          <w:rFonts w:hint="eastAsia" w:ascii="仿宋_GB2312" w:hAnsi="宋体" w:eastAsia="仿宋_GB2312" w:cs="仿宋_GB2312"/>
          <w:sz w:val="32"/>
          <w:szCs w:val="32"/>
        </w:rPr>
        <w:t>；卫生健康支出3.58万元，占支出预算总额的0.36%；住房保障支出7.71万元，占支出预算总额的0.77%。</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按支出经济分类划分：工资福利支出82.14万元，占支出预算总额的8.21</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；商品和服务支出11.7万元，占支出预算总额的1.17</w:t>
      </w:r>
      <w:r>
        <w:rPr>
          <w:rFonts w:ascii="仿宋_GB2312" w:hAnsi="宋体" w:eastAsia="仿宋_GB2312" w:cs="仿宋_GB2312"/>
          <w:sz w:val="32"/>
          <w:szCs w:val="32"/>
        </w:rPr>
        <w:t>%</w:t>
      </w:r>
      <w:r>
        <w:rPr>
          <w:rFonts w:hint="eastAsia" w:ascii="仿宋_GB2312" w:hAnsi="宋体" w:eastAsia="仿宋_GB2312" w:cs="仿宋_GB2312"/>
          <w:sz w:val="32"/>
          <w:szCs w:val="32"/>
        </w:rPr>
        <w:t>；对个人和家庭的补助支出229.2，占支出预算总额的22.91%。</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rPr>
        <w:t>2022年机关事务管理局（委、办）财政拨款支出预算1000.34万元，占支出预算总额的100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w:t>
      </w:r>
      <w:r>
        <w:rPr>
          <w:rFonts w:hint="eastAsia" w:ascii="仿宋_GB2312" w:hAnsi="宋体" w:eastAsia="仿宋_GB2312" w:cs="仿宋_GB2312"/>
          <w:sz w:val="32"/>
          <w:szCs w:val="32"/>
          <w:lang w:eastAsia="zh-CN"/>
        </w:rPr>
        <w:t>的</w:t>
      </w:r>
      <w:r>
        <w:rPr>
          <w:rFonts w:hint="eastAsia" w:ascii="仿宋_GB2312" w:hAnsi="宋体" w:eastAsia="仿宋_GB2312" w:cs="仿宋_GB2312"/>
          <w:sz w:val="32"/>
          <w:szCs w:val="32"/>
          <w:lang w:val="en-US" w:eastAsia="zh-CN"/>
        </w:rPr>
        <w:t>1001.2万元</w:t>
      </w:r>
      <w:r>
        <w:rPr>
          <w:rFonts w:hint="eastAsia" w:ascii="仿宋_GB2312" w:hAnsi="宋体" w:eastAsia="仿宋_GB2312" w:cs="仿宋_GB2312"/>
          <w:sz w:val="32"/>
          <w:szCs w:val="32"/>
        </w:rPr>
        <w:t>相比</w:t>
      </w:r>
      <w:r>
        <w:rPr>
          <w:rFonts w:hint="eastAsia" w:ascii="仿宋_GB2312" w:hAnsi="宋体" w:eastAsia="仿宋_GB2312" w:cs="仿宋_GB2312"/>
          <w:sz w:val="32"/>
          <w:szCs w:val="32"/>
          <w:lang w:eastAsia="zh-CN"/>
        </w:rPr>
        <w:t>基本</w:t>
      </w:r>
      <w:r>
        <w:rPr>
          <w:rFonts w:hint="eastAsia" w:ascii="仿宋_GB2312" w:hAnsi="宋体" w:eastAsia="仿宋_GB2312" w:cs="仿宋_GB2312"/>
          <w:sz w:val="32"/>
          <w:szCs w:val="32"/>
        </w:rPr>
        <w:t>持平。</w:t>
      </w:r>
      <w:r>
        <w:rPr>
          <w:rFonts w:hint="eastAsia" w:ascii="仿宋_GB2312" w:hAnsi="宋体" w:eastAsia="仿宋_GB2312" w:cs="仿宋_GB2312"/>
          <w:sz w:val="32"/>
          <w:szCs w:val="32"/>
          <w:lang w:eastAsia="zh-CN"/>
        </w:rPr>
        <w:t>主要原因是：部门主要职责、人员未发生变化。</w:t>
      </w:r>
      <w:r>
        <w:rPr>
          <w:rFonts w:hint="eastAsia" w:ascii="仿宋_GB2312" w:hAnsi="宋体" w:eastAsia="仿宋_GB2312" w:cs="仿宋_GB2312"/>
          <w:sz w:val="32"/>
          <w:szCs w:val="32"/>
        </w:rPr>
        <w:t>具体支出情况是：</w:t>
      </w:r>
    </w:p>
    <w:p>
      <w:pPr>
        <w:numPr>
          <w:ilvl w:val="0"/>
          <w:numId w:val="1"/>
        </w:numPr>
        <w:ind w:left="642" w:leftChars="0" w:firstLine="0" w:firstLineChars="0"/>
        <w:rPr>
          <w:rFonts w:hint="eastAsia" w:ascii="仿宋" w:hAnsi="仿宋" w:eastAsia="仿宋" w:cs="仿宋"/>
          <w:b w:val="0"/>
          <w:bCs w:val="0"/>
          <w:sz w:val="32"/>
          <w:szCs w:val="32"/>
          <w:lang w:val="en-US" w:eastAsia="zh-CN"/>
        </w:rPr>
      </w:pPr>
      <w:r>
        <w:rPr>
          <w:rFonts w:hint="eastAsia" w:ascii="仿宋_GB2312" w:eastAsia="仿宋_GB2312" w:cs="Times New Roman"/>
          <w:b w:val="0"/>
          <w:bCs w:val="0"/>
          <w:sz w:val="32"/>
          <w:szCs w:val="32"/>
          <w:lang w:val="en-US" w:eastAsia="zh-CN"/>
        </w:rPr>
        <w:t>一般公共服务支出975.83万元。其中：基本支出</w:t>
      </w:r>
      <w:r>
        <w:rPr>
          <w:rFonts w:hint="eastAsia" w:ascii="仿宋" w:hAnsi="仿宋" w:eastAsia="仿宋" w:cs="仿宋"/>
          <w:b w:val="0"/>
          <w:bCs w:val="0"/>
          <w:sz w:val="32"/>
          <w:szCs w:val="32"/>
          <w:lang w:val="en-US" w:eastAsia="zh-CN"/>
        </w:rPr>
        <w:t>[</w:t>
      </w:r>
      <w:r>
        <w:rPr>
          <w:rFonts w:hint="eastAsia" w:ascii="仿宋_GB2312" w:eastAsia="仿宋_GB2312" w:cs="Times New Roman"/>
          <w:b w:val="0"/>
          <w:bCs w:val="0"/>
          <w:sz w:val="32"/>
          <w:szCs w:val="32"/>
          <w:lang w:val="en-US" w:eastAsia="zh-CN"/>
        </w:rPr>
        <w:t>298.53万元，项目支出（非定额）677.3万元</w:t>
      </w:r>
      <w:r>
        <w:rPr>
          <w:rFonts w:hint="eastAsia" w:ascii="仿宋" w:hAnsi="仿宋" w:eastAsia="仿宋" w:cs="仿宋"/>
          <w:b w:val="0"/>
          <w:bCs w:val="0"/>
          <w:sz w:val="32"/>
          <w:szCs w:val="32"/>
          <w:lang w:val="en-US" w:eastAsia="zh-CN"/>
        </w:rPr>
        <w:t>]。</w:t>
      </w:r>
    </w:p>
    <w:p>
      <w:pPr>
        <w:numPr>
          <w:ilvl w:val="0"/>
          <w:numId w:val="0"/>
        </w:numPr>
        <w:ind w:left="642" w:leftChars="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1.政府办公厅（室）及相关机构事务975.83万。</w:t>
      </w:r>
      <w:r>
        <w:rPr>
          <w:rFonts w:hint="eastAsia" w:ascii="仿宋_GB2312" w:eastAsia="仿宋_GB2312" w:cs="Times New Roman"/>
          <w:b w:val="0"/>
          <w:bCs w:val="0"/>
          <w:sz w:val="32"/>
          <w:szCs w:val="32"/>
          <w:lang w:val="en-US" w:eastAsia="zh-CN"/>
        </w:rPr>
        <w:t>基本支出</w:t>
      </w:r>
      <w:r>
        <w:rPr>
          <w:rFonts w:hint="eastAsia" w:ascii="仿宋" w:hAnsi="仿宋" w:eastAsia="仿宋" w:cs="仿宋"/>
          <w:b w:val="0"/>
          <w:bCs w:val="0"/>
          <w:sz w:val="32"/>
          <w:szCs w:val="32"/>
          <w:lang w:val="en-US" w:eastAsia="zh-CN"/>
        </w:rPr>
        <w:t>[</w:t>
      </w:r>
      <w:r>
        <w:rPr>
          <w:rFonts w:hint="eastAsia" w:ascii="仿宋_GB2312" w:eastAsia="仿宋_GB2312" w:cs="Times New Roman"/>
          <w:b w:val="0"/>
          <w:bCs w:val="0"/>
          <w:sz w:val="32"/>
          <w:szCs w:val="32"/>
          <w:lang w:val="en-US" w:eastAsia="zh-CN"/>
        </w:rPr>
        <w:t>298.53万元，项目支出（非定额）677.3万元</w:t>
      </w:r>
      <w:r>
        <w:rPr>
          <w:rFonts w:hint="eastAsia" w:ascii="仿宋" w:hAnsi="仿宋" w:eastAsia="仿宋" w:cs="仿宋"/>
          <w:b w:val="0"/>
          <w:bCs w:val="0"/>
          <w:sz w:val="32"/>
          <w:szCs w:val="32"/>
          <w:lang w:val="en-US" w:eastAsia="zh-CN"/>
        </w:rPr>
        <w:t>]。</w:t>
      </w:r>
    </w:p>
    <w:p>
      <w:pPr>
        <w:numPr>
          <w:ilvl w:val="0"/>
          <w:numId w:val="0"/>
        </w:numPr>
        <w:rPr>
          <w:rFonts w:hint="eastAsia" w:ascii="仿宋_GB2312" w:eastAsia="仿宋_GB2312" w:cs="Times New Roman"/>
          <w:b w:val="0"/>
          <w:bCs w:val="0"/>
          <w:sz w:val="32"/>
          <w:szCs w:val="32"/>
          <w:lang w:val="en-US" w:eastAsia="zh-CN"/>
        </w:rPr>
      </w:pPr>
      <w:r>
        <w:rPr>
          <w:rFonts w:hint="eastAsia" w:ascii="仿宋_GB2312" w:eastAsia="仿宋_GB2312" w:cs="Times New Roman"/>
          <w:b/>
          <w:bCs/>
          <w:sz w:val="32"/>
          <w:szCs w:val="32"/>
          <w:lang w:val="en-US" w:eastAsia="zh-CN"/>
        </w:rPr>
        <w:t xml:space="preserve">     </w:t>
      </w:r>
      <w:r>
        <w:rPr>
          <w:rFonts w:hint="eastAsia" w:ascii="仿宋_GB2312" w:eastAsia="仿宋_GB2312" w:cs="Times New Roman"/>
          <w:b w:val="0"/>
          <w:bCs w:val="0"/>
          <w:sz w:val="32"/>
          <w:szCs w:val="32"/>
          <w:lang w:val="en-US" w:eastAsia="zh-CN"/>
        </w:rPr>
        <w:t xml:space="preserve"> （1）行政运行298.53万元（基本支出）；</w:t>
      </w:r>
    </w:p>
    <w:p>
      <w:pPr>
        <w:numPr>
          <w:ilvl w:val="0"/>
          <w:numId w:val="0"/>
        </w:numPr>
        <w:rPr>
          <w:rFonts w:hint="default"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 xml:space="preserve">      （2）其他政府办公厅（室）及相关机构事务支出677.3万元</w:t>
      </w:r>
      <w:r>
        <w:rPr>
          <w:rFonts w:hint="eastAsia" w:ascii="仿宋" w:hAnsi="仿宋" w:eastAsia="仿宋" w:cs="仿宋"/>
          <w:b w:val="0"/>
          <w:bCs w:val="0"/>
          <w:sz w:val="32"/>
          <w:szCs w:val="32"/>
          <w:lang w:val="en-US" w:eastAsia="zh-CN"/>
        </w:rPr>
        <w:t>[</w:t>
      </w:r>
      <w:r>
        <w:rPr>
          <w:rFonts w:hint="eastAsia" w:ascii="仿宋_GB2312" w:eastAsia="仿宋_GB2312" w:cs="Times New Roman"/>
          <w:b w:val="0"/>
          <w:bCs w:val="0"/>
          <w:sz w:val="32"/>
          <w:szCs w:val="32"/>
          <w:lang w:val="en-US" w:eastAsia="zh-CN"/>
        </w:rPr>
        <w:t>项目支出（非定额）677.3万元</w:t>
      </w:r>
      <w:r>
        <w:rPr>
          <w:rFonts w:hint="eastAsia" w:ascii="仿宋" w:hAnsi="仿宋" w:eastAsia="仿宋" w:cs="仿宋"/>
          <w:b w:val="0"/>
          <w:bCs w:val="0"/>
          <w:sz w:val="32"/>
          <w:szCs w:val="32"/>
          <w:lang w:val="en-US" w:eastAsia="zh-CN"/>
        </w:rPr>
        <w:t>]。</w:t>
      </w:r>
    </w:p>
    <w:p>
      <w:pPr>
        <w:numPr>
          <w:ilvl w:val="0"/>
          <w:numId w:val="0"/>
        </w:numPr>
        <w:ind w:firstLine="642"/>
        <w:rPr>
          <w:rFonts w:hint="eastAsia"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二.社会保障和就业支出13.22万元。</w:t>
      </w:r>
    </w:p>
    <w:p>
      <w:pPr>
        <w:numPr>
          <w:ilvl w:val="0"/>
          <w:numId w:val="0"/>
        </w:numPr>
        <w:ind w:firstLine="642"/>
        <w:rPr>
          <w:rFonts w:hint="eastAsia"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1.行政事业单位养老支出13.22万元；</w:t>
      </w:r>
    </w:p>
    <w:p>
      <w:pPr>
        <w:numPr>
          <w:ilvl w:val="0"/>
          <w:numId w:val="0"/>
        </w:numPr>
        <w:ind w:firstLine="642"/>
        <w:rPr>
          <w:rFonts w:hint="default"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（1）机关事业单位基本养老保险缴费支出8.81万元；</w:t>
      </w:r>
    </w:p>
    <w:p>
      <w:pPr>
        <w:numPr>
          <w:ilvl w:val="0"/>
          <w:numId w:val="0"/>
        </w:numPr>
        <w:rPr>
          <w:rFonts w:hint="default" w:ascii="仿宋_GB2312" w:eastAsia="仿宋_GB2312" w:cs="Times New Roman"/>
          <w:b/>
          <w:bCs/>
          <w:sz w:val="32"/>
          <w:szCs w:val="32"/>
          <w:lang w:val="en-US" w:eastAsia="zh-CN"/>
        </w:rPr>
      </w:pPr>
      <w:r>
        <w:rPr>
          <w:rFonts w:hint="eastAsia" w:ascii="仿宋_GB2312" w:eastAsia="仿宋_GB2312" w:cs="Times New Roman"/>
          <w:b/>
          <w:bCs/>
          <w:sz w:val="32"/>
          <w:szCs w:val="32"/>
          <w:lang w:val="en-US" w:eastAsia="zh-CN"/>
        </w:rPr>
        <w:t xml:space="preserve">    </w:t>
      </w:r>
      <w:r>
        <w:rPr>
          <w:rFonts w:hint="eastAsia" w:ascii="仿宋_GB2312" w:eastAsia="仿宋_GB2312" w:cs="Times New Roman"/>
          <w:b w:val="0"/>
          <w:bCs w:val="0"/>
          <w:sz w:val="32"/>
          <w:szCs w:val="32"/>
          <w:lang w:val="en-US" w:eastAsia="zh-CN"/>
        </w:rPr>
        <w:t>（2）对机关事业单位职业年金的补助4.41万元。</w:t>
      </w:r>
    </w:p>
    <w:p>
      <w:pPr>
        <w:numPr>
          <w:ilvl w:val="0"/>
          <w:numId w:val="0"/>
        </w:numPr>
        <w:ind w:firstLine="641"/>
        <w:rPr>
          <w:rFonts w:hint="eastAsia"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三.卫生健康支出3.35万元；</w:t>
      </w:r>
    </w:p>
    <w:p>
      <w:pPr>
        <w:numPr>
          <w:ilvl w:val="0"/>
          <w:numId w:val="0"/>
        </w:numPr>
        <w:ind w:firstLine="641"/>
        <w:rPr>
          <w:rFonts w:hint="eastAsia"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1.行政事业单位医疗3.58万元；</w:t>
      </w:r>
    </w:p>
    <w:p>
      <w:pPr>
        <w:numPr>
          <w:ilvl w:val="0"/>
          <w:numId w:val="0"/>
        </w:numPr>
        <w:ind w:firstLine="641"/>
        <w:rPr>
          <w:rFonts w:hint="default"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（1）行政单位医疗3.58万元。</w:t>
      </w:r>
    </w:p>
    <w:p>
      <w:pPr>
        <w:numPr>
          <w:ilvl w:val="0"/>
          <w:numId w:val="0"/>
        </w:numPr>
        <w:ind w:firstLine="641"/>
        <w:rPr>
          <w:rFonts w:hint="eastAsia"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三.住房保障支出7.71万元。</w:t>
      </w:r>
    </w:p>
    <w:p>
      <w:pPr>
        <w:numPr>
          <w:ilvl w:val="0"/>
          <w:numId w:val="0"/>
        </w:numPr>
        <w:ind w:firstLine="641"/>
        <w:rPr>
          <w:rFonts w:hint="eastAsia"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1.住房改革支出7.71万元；</w:t>
      </w:r>
    </w:p>
    <w:p>
      <w:pPr>
        <w:numPr>
          <w:ilvl w:val="0"/>
          <w:numId w:val="0"/>
        </w:numPr>
        <w:ind w:firstLine="641"/>
        <w:rPr>
          <w:rFonts w:hint="default"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（1）住房公积金7.71万元。</w:t>
      </w:r>
    </w:p>
    <w:p>
      <w:pPr>
        <w:numPr>
          <w:ilvl w:val="0"/>
          <w:numId w:val="2"/>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机关事务管理局</w:t>
      </w:r>
      <w:r>
        <w:rPr>
          <w:rFonts w:hint="eastAsia" w:ascii="仿宋_GB2312" w:hAnsi="宋体" w:eastAsia="仿宋_GB2312" w:cs="仿宋_GB2312"/>
          <w:sz w:val="32"/>
          <w:szCs w:val="32"/>
          <w:lang w:val="en-US" w:eastAsia="zh-CN"/>
        </w:rPr>
        <w:t>2022年政府购买服务预算200万元与2021年政府购买服务预算的200万元相比持平。主要原因是：主要职责未发生变化。</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ind w:left="420" w:leftChars="200" w:firstLine="640" w:firstLineChars="200"/>
        <w:rPr>
          <w:rFonts w:ascii="仿宋_GB2312" w:eastAsia="仿宋_GB2312" w:cs="Times New Roman"/>
          <w:sz w:val="32"/>
          <w:szCs w:val="32"/>
        </w:rPr>
      </w:pPr>
      <w:r>
        <w:rPr>
          <w:rFonts w:hint="eastAsia" w:ascii="仿宋_GB2312" w:hAnsi="宋体" w:eastAsia="仿宋_GB2312" w:cs="仿宋_GB2312"/>
          <w:sz w:val="32"/>
          <w:szCs w:val="32"/>
          <w:lang w:val="en-US" w:eastAsia="zh-CN"/>
        </w:rPr>
        <w:t>2022年</w:t>
      </w:r>
      <w:r>
        <w:rPr>
          <w:rFonts w:hint="eastAsia" w:ascii="仿宋_GB2312" w:hAnsi="宋体" w:eastAsia="仿宋_GB2312" w:cs="仿宋_GB2312"/>
          <w:sz w:val="32"/>
          <w:szCs w:val="32"/>
          <w:lang w:eastAsia="zh-CN"/>
        </w:rPr>
        <w:t>机关事务管理无</w:t>
      </w:r>
      <w:r>
        <w:rPr>
          <w:rFonts w:hint="eastAsia" w:ascii="仿宋_GB2312" w:hAnsi="宋体" w:eastAsia="仿宋_GB2312" w:cs="仿宋_GB2312"/>
          <w:sz w:val="32"/>
          <w:szCs w:val="32"/>
        </w:rPr>
        <w:t>政府基金收支</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原因</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无政府基金收支预算。</w:t>
      </w:r>
    </w:p>
    <w:p>
      <w:pPr>
        <w:tabs>
          <w:tab w:val="left" w:pos="1113"/>
        </w:tabs>
        <w:ind w:firstLine="643" w:firstLineChars="200"/>
        <w:rPr>
          <w:rFonts w:ascii="仿宋_GB2312" w:eastAsia="仿宋_GB2312" w:cs="Times New Roman"/>
          <w:sz w:val="32"/>
          <w:szCs w:val="32"/>
        </w:rPr>
      </w:pPr>
      <w:r>
        <w:rPr>
          <w:rFonts w:hint="eastAsia" w:ascii="仿宋_GB2312" w:hAnsi="宋体" w:eastAsia="仿宋_GB2312" w:cs="仿宋_GB2312"/>
          <w:b/>
          <w:bCs/>
          <w:sz w:val="32"/>
          <w:szCs w:val="32"/>
        </w:rPr>
        <w:t>（六）2022年“三公”经费预算情况说明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2022年区</w:t>
      </w:r>
      <w:r>
        <w:rPr>
          <w:rFonts w:hint="eastAsia" w:ascii="仿宋_GB2312" w:hAnsi="宋体" w:eastAsia="仿宋_GB2312" w:cs="仿宋_GB2312"/>
          <w:sz w:val="32"/>
          <w:szCs w:val="32"/>
          <w:lang w:eastAsia="zh-CN"/>
        </w:rPr>
        <w:t>机关事务管理</w:t>
      </w:r>
      <w:r>
        <w:rPr>
          <w:rFonts w:hint="eastAsia" w:ascii="仿宋_GB2312" w:hAnsi="宋体" w:eastAsia="仿宋_GB2312" w:cs="仿宋_GB2312"/>
          <w:sz w:val="32"/>
          <w:szCs w:val="32"/>
        </w:rPr>
        <w:t>局“三公”经费年初预算安排</w:t>
      </w:r>
      <w:r>
        <w:rPr>
          <w:rFonts w:hint="eastAsia" w:ascii="仿宋_GB2312" w:hAnsi="宋体" w:eastAsia="仿宋_GB2312" w:cs="仿宋_GB2312"/>
          <w:sz w:val="32"/>
          <w:szCs w:val="32"/>
          <w:lang w:val="en-US" w:eastAsia="zh-CN"/>
        </w:rPr>
        <w:t>122.05</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eastAsia="zh-CN"/>
        </w:rPr>
        <w:t>无因公出国（境）预算</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28.81</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0.59</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eastAsia="zh-CN"/>
        </w:rPr>
        <w:t>开源节流，压缩公务接待费用</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93.24</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eastAsia="zh-CN"/>
        </w:rPr>
        <w:t>主要职责无较大变化</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eastAsia="zh-CN"/>
        </w:rPr>
        <w:t>年初均无预算安排</w:t>
      </w:r>
      <w:r>
        <w:rPr>
          <w:rFonts w:hint="eastAsia" w:ascii="仿宋_GB2312" w:hAnsi="宋体" w:eastAsia="仿宋_GB2312" w:cs="仿宋_GB2312"/>
          <w:sz w:val="32"/>
          <w:szCs w:val="32"/>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numPr>
          <w:ilvl w:val="0"/>
          <w:numId w:val="3"/>
        </w:numPr>
        <w:spacing w:line="560" w:lineRule="exact"/>
        <w:ind w:left="-13" w:leftChars="0" w:firstLine="643" w:firstLineChars="0"/>
        <w:rPr>
          <w:rFonts w:hint="eastAsia" w:ascii="仿宋_GB2312" w:hAnsi="仿宋_GB2312" w:eastAsia="仿宋_GB2312" w:cs="仿宋_GB2312"/>
          <w:b/>
          <w:sz w:val="32"/>
          <w:szCs w:val="32"/>
          <w:lang w:val="en-US" w:eastAsia="zh-CN"/>
        </w:rPr>
      </w:pPr>
      <w:r>
        <w:rPr>
          <w:rFonts w:hint="eastAsia" w:ascii="仿宋_GB2312" w:eastAsia="仿宋_GB2312"/>
          <w:color w:val="000000"/>
          <w:sz w:val="32"/>
          <w:szCs w:val="30"/>
        </w:rPr>
        <w:t>2022年部门整体绩效目</w:t>
      </w:r>
      <w:r>
        <w:rPr>
          <w:rFonts w:hint="eastAsia" w:ascii="仿宋_GB2312" w:eastAsia="仿宋_GB2312"/>
          <w:color w:val="000000"/>
          <w:sz w:val="32"/>
          <w:szCs w:val="30"/>
          <w:lang w:eastAsia="zh-CN"/>
        </w:rPr>
        <w:t>标</w:t>
      </w:r>
    </w:p>
    <w:p>
      <w:pPr>
        <w:numPr>
          <w:numId w:val="0"/>
        </w:numPr>
        <w:spacing w:line="560" w:lineRule="exact"/>
        <w:ind w:left="630" w:leftChars="0"/>
        <w:rPr>
          <w:rFonts w:hint="eastAsia" w:ascii="仿宋_GB2312" w:hAnsi="仿宋_GB2312" w:eastAsia="仿宋_GB2312" w:cs="仿宋_GB2312"/>
          <w:b/>
          <w:sz w:val="32"/>
          <w:szCs w:val="32"/>
          <w:lang w:val="en-US" w:eastAsia="zh-CN"/>
        </w:rPr>
      </w:pPr>
      <w:r>
        <w:rPr>
          <w:rFonts w:hint="eastAsia" w:ascii="仿宋_GB2312" w:eastAsia="仿宋_GB2312"/>
          <w:color w:val="000000"/>
          <w:sz w:val="32"/>
          <w:szCs w:val="30"/>
        </w:rPr>
        <w:t xml:space="preserve"> </w:t>
      </w:r>
      <w:r>
        <w:rPr>
          <w:rFonts w:hint="eastAsia" w:ascii="仿宋_GB2312" w:eastAsia="仿宋_GB2312"/>
          <w:color w:val="000000"/>
          <w:sz w:val="32"/>
          <w:szCs w:val="30"/>
          <w:lang w:val="en-US" w:eastAsia="zh-CN"/>
        </w:rPr>
        <w:t>1.</w:t>
      </w:r>
      <w:r>
        <w:rPr>
          <w:rFonts w:hint="eastAsia" w:ascii="仿宋_GB2312" w:hAnsi="仿宋_GB2312" w:eastAsia="仿宋_GB2312" w:cs="仿宋_GB2312"/>
          <w:b w:val="0"/>
          <w:bCs/>
          <w:sz w:val="32"/>
          <w:szCs w:val="32"/>
          <w:lang w:val="en-US" w:eastAsia="zh-CN"/>
        </w:rPr>
        <w:t>扎实做好全区公共机构节能管理</w:t>
      </w:r>
    </w:p>
    <w:p>
      <w:pPr>
        <w:numPr>
          <w:ilvl w:val="0"/>
          <w:numId w:val="0"/>
        </w:numPr>
        <w:spacing w:line="560" w:lineRule="exact"/>
        <w:ind w:firstLine="643"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lang w:val="en-US" w:eastAsia="zh-CN"/>
        </w:rPr>
        <w:t>一是</w:t>
      </w:r>
      <w:r>
        <w:rPr>
          <w:rFonts w:hint="eastAsia" w:ascii="仿宋_GB2312" w:hAnsi="仿宋_GB2312" w:eastAsia="仿宋_GB2312" w:cs="仿宋_GB2312"/>
          <w:b w:val="0"/>
          <w:bCs/>
          <w:sz w:val="32"/>
          <w:szCs w:val="32"/>
          <w:lang w:val="en-US" w:eastAsia="zh-CN"/>
        </w:rPr>
        <w:t>继续扎实开展全区公共机构节能管理各项工作，做好日常节能工作宣传活动；</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 w:val="0"/>
          <w:bCs/>
          <w:sz w:val="32"/>
          <w:szCs w:val="32"/>
          <w:lang w:val="en-US" w:eastAsia="zh-CN"/>
        </w:rPr>
        <w:t>认真做好2022年每月的全区公共机构节能能耗数据统计上报工作；</w:t>
      </w:r>
      <w:r>
        <w:rPr>
          <w:rFonts w:hint="eastAsia" w:ascii="仿宋_GB2312" w:hAnsi="仿宋_GB2312" w:eastAsia="仿宋_GB2312" w:cs="仿宋_GB2312"/>
          <w:b/>
          <w:bCs w:val="0"/>
          <w:sz w:val="32"/>
          <w:szCs w:val="32"/>
          <w:lang w:val="en-US" w:eastAsia="zh-CN"/>
        </w:rPr>
        <w:t>三是</w:t>
      </w:r>
      <w:r>
        <w:rPr>
          <w:rFonts w:hint="eastAsia" w:ascii="仿宋_GB2312" w:hAnsi="仿宋_GB2312" w:eastAsia="仿宋_GB2312" w:cs="仿宋_GB2312"/>
          <w:b w:val="0"/>
          <w:bCs/>
          <w:sz w:val="32"/>
          <w:szCs w:val="32"/>
          <w:lang w:val="en-US" w:eastAsia="zh-CN"/>
        </w:rPr>
        <w:t>完成年度公共机构节能工作考核。</w:t>
      </w:r>
    </w:p>
    <w:p>
      <w:pPr>
        <w:numPr>
          <w:numId w:val="0"/>
        </w:numPr>
        <w:spacing w:line="560" w:lineRule="exact"/>
        <w:ind w:left="630" w:leftChars="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2.加强全区后勤保障管理服务</w:t>
      </w:r>
    </w:p>
    <w:p>
      <w:pPr>
        <w:numPr>
          <w:ilvl w:val="0"/>
          <w:numId w:val="0"/>
        </w:numPr>
        <w:spacing w:line="560" w:lineRule="exact"/>
        <w:ind w:firstLine="643"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 w:val="0"/>
          <w:bCs/>
          <w:sz w:val="32"/>
          <w:szCs w:val="32"/>
          <w:lang w:val="en-US" w:eastAsia="zh-CN"/>
        </w:rPr>
        <w:t>继续</w:t>
      </w:r>
      <w:r>
        <w:rPr>
          <w:rFonts w:hint="eastAsia" w:ascii="仿宋_GB2312" w:hAnsi="仿宋_GB2312" w:eastAsia="仿宋_GB2312" w:cs="仿宋_GB2312"/>
          <w:b w:val="0"/>
          <w:bCs w:val="0"/>
          <w:sz w:val="32"/>
          <w:szCs w:val="32"/>
          <w:highlight w:val="none"/>
          <w:lang w:eastAsia="zh-CN"/>
        </w:rPr>
        <w:t>督促物业公司做好区发展中心</w:t>
      </w:r>
      <w:r>
        <w:rPr>
          <w:rFonts w:hint="eastAsia" w:ascii="仿宋_GB2312" w:hAnsi="仿宋_GB2312" w:eastAsia="仿宋_GB2312" w:cs="仿宋_GB2312"/>
          <w:b w:val="0"/>
          <w:bCs/>
          <w:sz w:val="32"/>
          <w:szCs w:val="32"/>
          <w:lang w:val="en-US" w:eastAsia="zh-CN"/>
        </w:rPr>
        <w:t>保安维稳、会务服务、卫生保洁和工程维护工作；</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 w:val="0"/>
          <w:bCs/>
          <w:sz w:val="32"/>
          <w:szCs w:val="32"/>
          <w:lang w:val="en-US" w:eastAsia="zh-CN"/>
        </w:rPr>
        <w:t>继续抓好机关食堂管理工作，按照食堂监督管理有关规定，对机关食堂餐饮保障的各项操作环节进行全流程监管，不断提升干部职工就餐满意度。</w:t>
      </w:r>
    </w:p>
    <w:p>
      <w:pPr>
        <w:numPr>
          <w:numId w:val="0"/>
        </w:numPr>
        <w:spacing w:line="560" w:lineRule="exact"/>
        <w:ind w:left="630" w:leftChars="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3.严控公务接待标准、规范管理流程</w:t>
      </w:r>
    </w:p>
    <w:p>
      <w:pPr>
        <w:numPr>
          <w:numId w:val="0"/>
        </w:numPr>
        <w:spacing w:line="560" w:lineRule="exact"/>
        <w:ind w:left="630" w:leftChars="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4.加强党政机关办公用房日常管理</w:t>
      </w:r>
    </w:p>
    <w:p>
      <w:pPr>
        <w:numPr>
          <w:numId w:val="0"/>
        </w:numPr>
        <w:spacing w:line="560" w:lineRule="exact"/>
        <w:ind w:left="630" w:leftChars="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5.推进公务用车平台管理工作</w:t>
      </w:r>
    </w:p>
    <w:p>
      <w:pPr>
        <w:numPr>
          <w:ilvl w:val="0"/>
          <w:numId w:val="0"/>
        </w:numPr>
        <w:spacing w:line="560" w:lineRule="exact"/>
        <w:ind w:firstLine="643"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 w:val="0"/>
          <w:bCs/>
          <w:sz w:val="32"/>
          <w:szCs w:val="32"/>
          <w:lang w:val="en-US" w:eastAsia="zh-CN"/>
        </w:rPr>
        <w:t>加强日常调度，保障各项中心工作公务出行需要；</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 w:val="0"/>
          <w:bCs/>
          <w:sz w:val="32"/>
          <w:szCs w:val="32"/>
          <w:lang w:val="en-US" w:eastAsia="zh-CN"/>
        </w:rPr>
        <w:t>继续加强平台驾驶员管理，严格执行驾驶员绩效管理考核制度。</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部门预算情况 </w:t>
      </w:r>
    </w:p>
    <w:p>
      <w:pPr>
        <w:widowControl/>
        <w:spacing w:line="600" w:lineRule="exact"/>
        <w:ind w:firstLine="640"/>
        <w:jc w:val="left"/>
        <w:rPr>
          <w:rFonts w:ascii="仿宋_GB2312" w:hAnsi="宋体" w:eastAsia="仿宋_GB2312" w:cs="仿宋_GB2312"/>
          <w:b/>
          <w:bCs/>
          <w:sz w:val="32"/>
          <w:szCs w:val="32"/>
        </w:rPr>
      </w:pPr>
      <w:r>
        <w:rPr>
          <w:rFonts w:hint="eastAsia" w:ascii="仿宋_GB2312" w:eastAsia="仿宋_GB2312"/>
          <w:color w:val="000000"/>
          <w:sz w:val="32"/>
          <w:szCs w:val="30"/>
          <w:lang w:eastAsia="zh-CN"/>
        </w:rPr>
        <w:t>为如期完成上述整体绩效目标，</w:t>
      </w:r>
      <w:r>
        <w:rPr>
          <w:rFonts w:hint="eastAsia" w:ascii="仿宋_GB2312" w:eastAsia="仿宋_GB2312"/>
          <w:color w:val="000000"/>
          <w:sz w:val="32"/>
          <w:szCs w:val="30"/>
          <w:lang w:val="en-US" w:eastAsia="zh-CN"/>
        </w:rPr>
        <w:t>2022年预算安排资金1000.34万元。</w:t>
      </w:r>
      <w:r>
        <w:rPr>
          <w:rFonts w:hint="eastAsia" w:ascii="仿宋_GB2312" w:eastAsia="仿宋_GB2312"/>
          <w:color w:val="000000"/>
          <w:sz w:val="32"/>
          <w:szCs w:val="30"/>
        </w:rPr>
        <w:t xml:space="preserve">  </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2022年实行绩效目标管理的一级项目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个，涉及资金     万元，其中：二级项目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个（部门预算中  万元以上的，且进行了绩效评审的项目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个，涉及资金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万元），涉及资金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（九）xx一级项目中各二级项目情况说明（部门本级）</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一级项目概述</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1.**二级项目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1）项目概述</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2）立项依据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3）实施主体</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4）实施方案</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5）实施周期</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w:t>
      </w:r>
      <w:r>
        <w:rPr>
          <w:rFonts w:ascii="仿宋_GB2312" w:eastAsia="仿宋_GB2312"/>
          <w:color w:val="000000"/>
          <w:sz w:val="32"/>
          <w:szCs w:val="30"/>
        </w:rPr>
        <w:t>6</w:t>
      </w:r>
      <w:r>
        <w:rPr>
          <w:rFonts w:hint="eastAsia" w:ascii="仿宋_GB2312" w:eastAsia="仿宋_GB2312"/>
          <w:color w:val="000000"/>
          <w:sz w:val="32"/>
          <w:szCs w:val="30"/>
        </w:rPr>
        <w:t>）年度预算安排</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7）绩效目标和指标</w:t>
      </w:r>
    </w:p>
    <w:p>
      <w:pPr>
        <w:widowControl/>
        <w:numPr>
          <w:ilvl w:val="0"/>
          <w:numId w:val="4"/>
        </w:numPr>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**二级项目</w:t>
      </w:r>
    </w:p>
    <w:p>
      <w:pPr>
        <w:widowControl/>
        <w:spacing w:line="600" w:lineRule="exact"/>
        <w:jc w:val="left"/>
        <w:rPr>
          <w:rFonts w:ascii="仿宋_GB2312" w:eastAsia="仿宋_GB2312"/>
          <w:color w:val="000000"/>
          <w:sz w:val="32"/>
          <w:szCs w:val="30"/>
        </w:rPr>
      </w:pPr>
      <w:r>
        <w:rPr>
          <w:rFonts w:hint="eastAsia" w:ascii="仿宋_GB2312" w:eastAsia="仿宋_GB2312"/>
          <w:color w:val="000000"/>
          <w:sz w:val="32"/>
          <w:szCs w:val="30"/>
        </w:rPr>
        <w:t xml:space="preserve">      ......</w:t>
      </w:r>
    </w:p>
    <w:p>
      <w:pPr>
        <w:ind w:firstLine="640" w:firstLineChars="200"/>
        <w:rPr>
          <w:rFonts w:ascii="仿宋_GB2312" w:hAnsi="宋体" w:eastAsia="仿宋_GB2312" w:cs="仿宋_GB2312"/>
          <w:sz w:val="32"/>
          <w:szCs w:val="32"/>
        </w:rPr>
      </w:pP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珠山区</w:t>
      </w:r>
      <w:r>
        <w:rPr>
          <w:rFonts w:hint="eastAsia" w:ascii="黑体" w:hAnsi="宋体" w:eastAsia="黑体" w:cs="黑体"/>
          <w:sz w:val="32"/>
          <w:szCs w:val="32"/>
          <w:lang w:eastAsia="zh-CN"/>
        </w:rPr>
        <w:t>机关事务管理</w:t>
      </w:r>
      <w:bookmarkStart w:id="0" w:name="_GoBack"/>
      <w:bookmarkEnd w:id="0"/>
      <w:r>
        <w:rPr>
          <w:rFonts w:hint="eastAsia" w:ascii="黑体" w:hAnsi="宋体" w:eastAsia="黑体" w:cs="黑体"/>
          <w:sz w:val="32"/>
          <w:szCs w:val="32"/>
        </w:rPr>
        <w:t>局2022年部门预算表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（七）用事业基金弥补收支差额：填列事业单位用事业基金弥补2022年收支差额的数额。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（八）上年结转和结余：填列2021年全部结转和结余的资金数，包括当年结转结余资金和历年滚存结转结余资金。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对部门预算中涉及的支出功能分类科目（明细到项级），结合部门实际，参照《2022年政府收支分类科目》的规范说明进行解释。</w:t>
      </w:r>
    </w:p>
    <w:p>
      <w:pPr>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 xml:space="preserve">  （一）一般公共服务支出－政府办公厅（室）及相关机构事务－行政运行：反映行政单位（包括实行公务员管理的事业单位）的基本支出；</w:t>
      </w:r>
    </w:p>
    <w:p>
      <w:pPr>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 xml:space="preserve">  （二）一般公共服务支出－政府办公厅（室）及相关机构事务－其他政府办公厅（室）及相关机构事务支出：反映除行政运行、一般行政管理事务、机关服务、专项服务、专项业务及机关事务管理、政务公开审批、信访事务、参事事务、事业运行等项目以外的其他政府办公厅（室）及相关机构事务支出；</w:t>
      </w:r>
    </w:p>
    <w:p>
      <w:pPr>
        <w:ind w:firstLine="320" w:firstLineChars="1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（三）社会保障和就业支出－行政事业单位基本养老保险缴费支出：反映机关事业单位实施养老保险制度由单位缴纳的基本养老保险费支出；</w:t>
      </w:r>
    </w:p>
    <w:p>
      <w:pPr>
        <w:ind w:firstLine="320" w:firstLineChars="1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（四）社会保障和就业支出－对机关事业单位职业年金的补助：反映各级财政部门对机关事业单位职业年金记账利息的补助；</w:t>
      </w:r>
    </w:p>
    <w:p>
      <w:pPr>
        <w:ind w:firstLine="320" w:firstLineChars="1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五）卫生健康支出－行政事业单位医疗－行政单位医疗：反映财政部门安排的行政单位（包括实行公务员管理的事业单位）基本医疗保险缴费经费，未参加医疗保险的行下单位的公费医疗经费，按国家规定享受离休人员、红军老战士待遇的医疗经费；</w:t>
      </w:r>
    </w:p>
    <w:p>
      <w:pPr>
        <w:ind w:firstLine="320" w:firstLineChars="1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（六）住房保障支出－住房改革支出－住房公积金：反映行政事业单位按人力资源和社会保障部、财政部规定的基本工资和津贴补贴及规定比例为职工缴纳的住房公积金。</w:t>
      </w:r>
    </w:p>
    <w:p>
      <w:pPr>
        <w:rPr>
          <w:rFonts w:hint="default" w:ascii="仿宋_GB2312" w:eastAsia="仿宋_GB2312" w:cs="Times New Roman"/>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4</w:t>
    </w:r>
    <w:r>
      <w:rPr>
        <w:rStyle w:val="9"/>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decimal"/>
      <w:suff w:val="nothing"/>
      <w:lvlText w:val="%1."/>
      <w:lvlJc w:val="left"/>
    </w:lvl>
  </w:abstractNum>
  <w:abstractNum w:abstractNumId="1">
    <w:nsid w:val="0E57E054"/>
    <w:multiLevelType w:val="singleLevel"/>
    <w:tmpl w:val="0E57E054"/>
    <w:lvl w:ilvl="0" w:tentative="0">
      <w:start w:val="1"/>
      <w:numFmt w:val="chineseCounting"/>
      <w:suff w:val="nothing"/>
      <w:lvlText w:val="（%1）"/>
      <w:lvlJc w:val="left"/>
      <w:pPr>
        <w:ind w:left="-13"/>
      </w:pPr>
      <w:rPr>
        <w:rFonts w:hint="eastAsia"/>
      </w:rPr>
    </w:lvl>
  </w:abstractNum>
  <w:abstractNum w:abstractNumId="2">
    <w:nsid w:val="59A778CA"/>
    <w:multiLevelType w:val="singleLevel"/>
    <w:tmpl w:val="59A778CA"/>
    <w:lvl w:ilvl="0" w:tentative="0">
      <w:start w:val="4"/>
      <w:numFmt w:val="chineseCounting"/>
      <w:suff w:val="nothing"/>
      <w:lvlText w:val="（%1）"/>
      <w:lvlJc w:val="left"/>
    </w:lvl>
  </w:abstractNum>
  <w:abstractNum w:abstractNumId="3">
    <w:nsid w:val="7E2B8EBA"/>
    <w:multiLevelType w:val="singleLevel"/>
    <w:tmpl w:val="7E2B8EBA"/>
    <w:lvl w:ilvl="0" w:tentative="0">
      <w:start w:val="1"/>
      <w:numFmt w:val="chineseCounting"/>
      <w:lvlText w:val="%1."/>
      <w:lvlJc w:val="left"/>
      <w:pPr>
        <w:tabs>
          <w:tab w:val="left" w:pos="312"/>
        </w:tabs>
        <w:ind w:left="642" w:leftChars="0" w:firstLine="0" w:firstLineChars="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19076E1D"/>
    <w:rsid w:val="000429DB"/>
    <w:rsid w:val="00066060"/>
    <w:rsid w:val="00073477"/>
    <w:rsid w:val="00153DA8"/>
    <w:rsid w:val="001D6D3A"/>
    <w:rsid w:val="001F213B"/>
    <w:rsid w:val="004056C3"/>
    <w:rsid w:val="004458D6"/>
    <w:rsid w:val="004834E1"/>
    <w:rsid w:val="00485267"/>
    <w:rsid w:val="004C272E"/>
    <w:rsid w:val="00503568"/>
    <w:rsid w:val="00506A1D"/>
    <w:rsid w:val="005969F6"/>
    <w:rsid w:val="00675E17"/>
    <w:rsid w:val="00683AC4"/>
    <w:rsid w:val="00695FA5"/>
    <w:rsid w:val="00743F3E"/>
    <w:rsid w:val="008110CC"/>
    <w:rsid w:val="0087059B"/>
    <w:rsid w:val="00882B63"/>
    <w:rsid w:val="008A7411"/>
    <w:rsid w:val="008C0F4D"/>
    <w:rsid w:val="008D57D7"/>
    <w:rsid w:val="009827CD"/>
    <w:rsid w:val="00A1005E"/>
    <w:rsid w:val="00A105AB"/>
    <w:rsid w:val="00AA6436"/>
    <w:rsid w:val="00B358C5"/>
    <w:rsid w:val="00B52596"/>
    <w:rsid w:val="00B5265B"/>
    <w:rsid w:val="00BD57BC"/>
    <w:rsid w:val="00BF52F2"/>
    <w:rsid w:val="00C04C9A"/>
    <w:rsid w:val="00CB427A"/>
    <w:rsid w:val="00DE0174"/>
    <w:rsid w:val="00E526B5"/>
    <w:rsid w:val="00EC4EF7"/>
    <w:rsid w:val="00EF0638"/>
    <w:rsid w:val="00F500B9"/>
    <w:rsid w:val="00F91F1C"/>
    <w:rsid w:val="00FD5E2B"/>
    <w:rsid w:val="01992CBB"/>
    <w:rsid w:val="022502CD"/>
    <w:rsid w:val="05EB1609"/>
    <w:rsid w:val="07051D60"/>
    <w:rsid w:val="08C07FD5"/>
    <w:rsid w:val="08EE0B31"/>
    <w:rsid w:val="0A326819"/>
    <w:rsid w:val="0A716ECC"/>
    <w:rsid w:val="0CBF216E"/>
    <w:rsid w:val="0F496675"/>
    <w:rsid w:val="0FCB58D0"/>
    <w:rsid w:val="10E63089"/>
    <w:rsid w:val="11427CB1"/>
    <w:rsid w:val="139E3D52"/>
    <w:rsid w:val="162B4B72"/>
    <w:rsid w:val="18AC060B"/>
    <w:rsid w:val="19076E1D"/>
    <w:rsid w:val="1EBD751D"/>
    <w:rsid w:val="1F117155"/>
    <w:rsid w:val="1F7E7C34"/>
    <w:rsid w:val="204B45CE"/>
    <w:rsid w:val="217D10E1"/>
    <w:rsid w:val="25705B71"/>
    <w:rsid w:val="2DBB222D"/>
    <w:rsid w:val="31D40AAE"/>
    <w:rsid w:val="32FE606C"/>
    <w:rsid w:val="381119B2"/>
    <w:rsid w:val="3BD871B8"/>
    <w:rsid w:val="3BE30715"/>
    <w:rsid w:val="3CF55A87"/>
    <w:rsid w:val="429A727D"/>
    <w:rsid w:val="4322216B"/>
    <w:rsid w:val="4C0B38BC"/>
    <w:rsid w:val="4C0B7195"/>
    <w:rsid w:val="4D3B293C"/>
    <w:rsid w:val="51B40312"/>
    <w:rsid w:val="56552A05"/>
    <w:rsid w:val="57CC144D"/>
    <w:rsid w:val="62B20F12"/>
    <w:rsid w:val="63973295"/>
    <w:rsid w:val="641E7445"/>
    <w:rsid w:val="71452C49"/>
    <w:rsid w:val="73224148"/>
    <w:rsid w:val="73584830"/>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style>
  <w:style w:type="character" w:customStyle="1" w:styleId="10">
    <w:name w:val="标题 2 Char"/>
    <w:basedOn w:val="8"/>
    <w:link w:val="2"/>
    <w:semiHidden/>
    <w:qFormat/>
    <w:uiPriority w:val="9"/>
    <w:rPr>
      <w:rFonts w:asciiTheme="majorHAnsi" w:hAnsiTheme="majorHAnsi" w:eastAsiaTheme="majorEastAsia" w:cstheme="majorBidi"/>
      <w:b/>
      <w:bCs/>
      <w:sz w:val="32"/>
      <w:szCs w:val="32"/>
    </w:rPr>
  </w:style>
  <w:style w:type="character" w:customStyle="1" w:styleId="11">
    <w:name w:val="页脚 Char"/>
    <w:basedOn w:val="8"/>
    <w:link w:val="5"/>
    <w:semiHidden/>
    <w:qFormat/>
    <w:uiPriority w:val="99"/>
    <w:rPr>
      <w:rFonts w:cs="Calibri"/>
      <w:sz w:val="18"/>
      <w:szCs w:val="18"/>
    </w:rPr>
  </w:style>
  <w:style w:type="character" w:customStyle="1" w:styleId="12">
    <w:name w:val="批注框文本 Char"/>
    <w:basedOn w:val="8"/>
    <w:link w:val="4"/>
    <w:semiHidden/>
    <w:qFormat/>
    <w:uiPriority w:val="99"/>
    <w:rPr>
      <w:rFonts w:ascii="Calibri" w:hAnsi="Calibri" w:cs="Calibri"/>
      <w:kern w:val="2"/>
      <w:sz w:val="18"/>
      <w:szCs w:val="18"/>
    </w:rPr>
  </w:style>
  <w:style w:type="character" w:customStyle="1" w:styleId="13">
    <w:name w:val="页眉 Char"/>
    <w:basedOn w:val="8"/>
    <w:link w:val="6"/>
    <w:semiHidden/>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426</Words>
  <Characters>2429</Characters>
  <Lines>20</Lines>
  <Paragraphs>5</Paragraphs>
  <TotalTime>15</TotalTime>
  <ScaleCrop>false</ScaleCrop>
  <LinksUpToDate>false</LinksUpToDate>
  <CharactersWithSpaces>2850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袁特标13767935611</cp:lastModifiedBy>
  <cp:lastPrinted>2021-05-26T02:23:00Z</cp:lastPrinted>
  <dcterms:modified xsi:type="dcterms:W3CDTF">2022-03-11T02:40:38Z</dcterms:modified>
  <dc:title>附件2：2018年市级部门预算说明和预算公开表</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F4CC2E5705DE4B47BDA039291FBAA1C3</vt:lpwstr>
  </property>
</Properties>
</file>