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C66149"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珠山区司法局2021年部门</w:t>
      </w:r>
    </w:p>
    <w:p w14:paraId="15A940FA">
      <w:pPr>
        <w:pStyle w:val="2"/>
        <w:spacing w:line="7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44"/>
        </w:rPr>
        <w:t>预算草案编制说明</w:t>
      </w:r>
    </w:p>
    <w:p w14:paraId="31FBF1C7"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</w:p>
    <w:p w14:paraId="066557B6"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一、部门主要职责</w:t>
      </w:r>
    </w:p>
    <w:p w14:paraId="6BABCA31">
      <w:pPr>
        <w:shd w:val="clear" w:color="auto" w:fill="FFFFFF"/>
        <w:ind w:firstLine="480" w:firstLineChars="15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（一）制订全区贯彻执行上级司法行政工作改革的实施细则和办法，编制全区司法行政工作中长期规划、年度计划并监督实施。</w:t>
      </w:r>
    </w:p>
    <w:p w14:paraId="2FCB46CC">
      <w:pPr>
        <w:shd w:val="clear" w:color="auto" w:fill="FFFFFF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（二）管理、监督和指导基层司法所工作。</w:t>
      </w:r>
    </w:p>
    <w:p w14:paraId="0E2AAAB4">
      <w:pPr>
        <w:shd w:val="clear" w:color="auto" w:fill="FFFFFF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（三）制订全区法制宣传教育和普及法律常识规划并组织实施，指导竟成镇、各街道的依法治理工作。</w:t>
      </w:r>
    </w:p>
    <w:p w14:paraId="3F5A7042">
      <w:pPr>
        <w:shd w:val="clear" w:color="auto" w:fill="FFFFFF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（四）管理和指导全区人民调解组织和业务活动。</w:t>
      </w:r>
    </w:p>
    <w:p w14:paraId="365193D4">
      <w:pPr>
        <w:shd w:val="clear" w:color="auto" w:fill="FFFFFF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（五）管理和指导全区司法行政队伍建设和思想政治工作。</w:t>
      </w:r>
    </w:p>
    <w:p w14:paraId="4BDB972B">
      <w:pPr>
        <w:shd w:val="clear" w:color="auto" w:fill="FFFFFF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（六）管理和指导全区社区矫正工作。</w:t>
      </w:r>
    </w:p>
    <w:p w14:paraId="37430EB7">
      <w:pPr>
        <w:shd w:val="clear" w:color="auto" w:fill="FFFFFF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（七）管理和指导全区法律援助工作。</w:t>
      </w:r>
    </w:p>
    <w:p w14:paraId="0F6F630C">
      <w:pPr>
        <w:shd w:val="clear" w:color="auto" w:fill="FFFFFF"/>
        <w:ind w:firstLine="64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（八）管理和指导全区安置帮教工作。</w:t>
      </w:r>
    </w:p>
    <w:p w14:paraId="34136E38">
      <w:pPr>
        <w:pStyle w:val="13"/>
        <w:numPr>
          <w:ilvl w:val="0"/>
          <w:numId w:val="1"/>
        </w:numPr>
        <w:shd w:val="clear" w:color="auto" w:fill="FFFFFF"/>
        <w:adjustRightInd/>
        <w:snapToGrid/>
        <w:spacing w:after="0"/>
        <w:ind w:firstLineChars="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承办区人民政府交办的其他事项。</w:t>
      </w:r>
    </w:p>
    <w:p w14:paraId="0FAB45BC">
      <w:pPr>
        <w:spacing w:line="570" w:lineRule="exact"/>
        <w:ind w:firstLine="562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二、部门2021年主要工作任务</w:t>
      </w:r>
    </w:p>
    <w:p w14:paraId="75321325">
      <w:pPr>
        <w:numPr>
          <w:ilvl w:val="0"/>
          <w:numId w:val="2"/>
        </w:numPr>
        <w:spacing w:line="4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全面依法治区工作。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加大全面依法治区工作投入，制作依法治理相关宣传墙，打造法治文化公园、法治文化广场，建设法治文化宣传长廊，在群众身边宣传法治精神，弘扬法治文化，在全区形成浓厚的法治氛围。</w:t>
      </w:r>
    </w:p>
    <w:p w14:paraId="398906A6">
      <w:pPr>
        <w:spacing w:line="4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二、法治政府建设工作。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加快推进全区法治政府建设，加快推动“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双随机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一公开”平台、“互联网+监管”监督平台运用，继续做好行政复议、行政应诉工作，做好执法证办理工作，健全完善法律顾问制度。</w:t>
      </w:r>
    </w:p>
    <w:p w14:paraId="2483F1BA">
      <w:pPr>
        <w:spacing w:line="4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三、普法宣传工作。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“3.8”妇女节、五一劳动节、“12.4”国家宪法日等重点节假日期间，积极开展普法宣传活动，通过开展集中宣传、发放宣传手册、张贴宣传海报等形式向群众普及重点法律知识，提高全民法律意识，创造全民遵法、学法、守法新热潮。</w:t>
      </w:r>
    </w:p>
    <w:p w14:paraId="5AC014D9">
      <w:pPr>
        <w:spacing w:line="4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四、社区矫正工作。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加强社区矫正规范执法，通过与省司法厅联通的社区矫正监控系统监督社区矫正日常工作，加强执法辅助岗为人员培训，使用执法记录仪等辅助设备加强执法的规范性。</w:t>
      </w:r>
    </w:p>
    <w:p w14:paraId="793C5915">
      <w:pPr>
        <w:spacing w:line="480" w:lineRule="exac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五、法律援助工作。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深入开展法律援助服务年工作，完善法律援助服务对象范围，努力做到应援尽援。同时，做好法院值班律师派驻工作，加强监督指导。</w:t>
      </w:r>
    </w:p>
    <w:p w14:paraId="070B6A32">
      <w:pPr>
        <w:spacing w:line="48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六、安置帮教工作。</w:t>
      </w:r>
      <w:r>
        <w:rPr>
          <w:rFonts w:hint="eastAsia" w:ascii="仿宋_GB2312" w:hAnsi="仿宋_GB2312" w:eastAsia="仿宋_GB2312" w:cs="仿宋_GB2312"/>
          <w:sz w:val="32"/>
          <w:szCs w:val="32"/>
        </w:rPr>
        <w:t>充分发挥亲情帮教作用，利用远程会见系统为监狱犯人送去亲情关怀。进一步做好刑满释放人员接送及生活费发放工作，保持</w:t>
      </w:r>
      <w:r>
        <w:rPr>
          <w:rFonts w:hint="eastAsia" w:ascii="仿宋_GB2312" w:hAnsi="仿宋" w:eastAsia="仿宋_GB2312" w:cs="仿宋"/>
          <w:sz w:val="32"/>
          <w:szCs w:val="32"/>
        </w:rPr>
        <w:t>省内无缝衔接率100％，为刑释人员提供基本生活保障。</w:t>
      </w:r>
    </w:p>
    <w:p w14:paraId="06355514">
      <w:pPr>
        <w:spacing w:line="48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七、人民调解工作。</w:t>
      </w:r>
      <w:r>
        <w:rPr>
          <w:rFonts w:hint="eastAsia" w:ascii="仿宋_GB2312" w:hAnsi="仿宋" w:eastAsia="仿宋_GB2312" w:cs="仿宋"/>
          <w:sz w:val="32"/>
          <w:szCs w:val="32"/>
        </w:rPr>
        <w:t>严格按照《以案定补》方案为人民调解员发放调解补贴，进一步提升调解员调解热情，努力土洞人民调解工作向前发展。</w:t>
      </w:r>
    </w:p>
    <w:p w14:paraId="122AEB12">
      <w:pPr>
        <w:spacing w:line="48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八、信息化建设工作。</w:t>
      </w:r>
      <w:r>
        <w:rPr>
          <w:rFonts w:hint="eastAsia" w:ascii="仿宋_GB2312" w:hAnsi="仿宋" w:eastAsia="仿宋_GB2312" w:cs="仿宋"/>
          <w:sz w:val="32"/>
          <w:szCs w:val="32"/>
        </w:rPr>
        <w:t>按照省、市相关要求做好司法行政信息化建设工作，完成全区司法行政系统信息化建设任务，加快全区司法行政系统信息化建设步伐。</w:t>
      </w:r>
    </w:p>
    <w:p w14:paraId="6643D6A7">
      <w:pPr>
        <w:spacing w:line="48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sz w:val="32"/>
          <w:szCs w:val="32"/>
        </w:rPr>
        <w:t>九、基层司法所建设。</w:t>
      </w:r>
      <w:r>
        <w:rPr>
          <w:rFonts w:hint="eastAsia" w:ascii="仿宋_GB2312" w:hAnsi="仿宋" w:eastAsia="仿宋_GB2312" w:cs="仿宋"/>
          <w:sz w:val="32"/>
          <w:szCs w:val="32"/>
        </w:rPr>
        <w:t>按照《江西省司法厅关于加强司法所规范化建设的通知》积极做好辖区司法所建设工作。</w:t>
      </w:r>
    </w:p>
    <w:p w14:paraId="17AD6B72"/>
    <w:p w14:paraId="32554F21"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三、部门基本情况</w:t>
      </w:r>
    </w:p>
    <w:p w14:paraId="7373522B">
      <w:pPr>
        <w:ind w:firstLine="63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机构情况:本部门共有预算单位1个，即部门本级。</w:t>
      </w:r>
      <w:r>
        <w:rPr>
          <w:rFonts w:hint="eastAsia" w:ascii="仿宋" w:hAnsi="仿宋" w:eastAsia="仿宋"/>
          <w:sz w:val="30"/>
          <w:szCs w:val="30"/>
        </w:rPr>
        <w:t xml:space="preserve">本部门2019年年末编制人数19人，其中行政编制19人，事业编制0人； </w:t>
      </w:r>
    </w:p>
    <w:p w14:paraId="22233C70">
      <w:pPr>
        <w:widowControl/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人员情况:年末实有人19人，其中：在职19人。</w:t>
      </w:r>
    </w:p>
    <w:p w14:paraId="0A4ABAE0">
      <w:pPr>
        <w:spacing w:line="570" w:lineRule="exact"/>
        <w:ind w:firstLine="551" w:firstLineChars="196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四、2021年部门预算收支情况说明</w:t>
      </w:r>
    </w:p>
    <w:p w14:paraId="552E34A6">
      <w:pPr>
        <w:spacing w:line="570" w:lineRule="exact"/>
        <w:ind w:firstLine="482" w:firstLineChars="15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（一）收入预算情况</w:t>
      </w:r>
    </w:p>
    <w:p w14:paraId="002E12B3">
      <w:pPr>
        <w:spacing w:line="570" w:lineRule="exact"/>
        <w:ind w:firstLine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2021年我单位收入预算总额为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268.6</w:t>
      </w:r>
      <w:r>
        <w:rPr>
          <w:rFonts w:hint="eastAsia" w:ascii="仿宋" w:hAnsi="仿宋" w:eastAsia="仿宋" w:cs="仿宋"/>
          <w:sz w:val="32"/>
          <w:szCs w:val="32"/>
        </w:rPr>
        <w:t>万元，与上年预算相比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增加8.78</w:t>
      </w:r>
      <w:r>
        <w:rPr>
          <w:rFonts w:hint="eastAsia" w:ascii="仿宋" w:hAnsi="仿宋" w:eastAsia="仿宋" w:cs="仿宋"/>
          <w:sz w:val="32"/>
          <w:szCs w:val="32"/>
        </w:rPr>
        <w:t>%，说明情况：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工资调整</w:t>
      </w:r>
      <w:r>
        <w:rPr>
          <w:rFonts w:hint="eastAsia" w:ascii="仿宋" w:hAnsi="仿宋" w:eastAsia="仿宋" w:cs="仿宋"/>
          <w:sz w:val="32"/>
          <w:szCs w:val="32"/>
        </w:rPr>
        <w:t>。其中：当年财政拨款收入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268.6</w:t>
      </w:r>
      <w:r>
        <w:rPr>
          <w:rFonts w:hint="eastAsia" w:ascii="仿宋" w:hAnsi="仿宋" w:eastAsia="仿宋" w:cs="仿宋"/>
          <w:sz w:val="32"/>
          <w:szCs w:val="32"/>
        </w:rPr>
        <w:t>万元，占收入预算总额的100%；政府性基金拨款收入0万元，占收入预算总额的0%；事业收入0万元，占收入预算总额的0%；事业单位经营收入0万元，占收入预算总额的0%；当年其他各项收入0万元，占收入预算总额的0%；上年结余结转收入0万元，占收入预算总额的0%。</w:t>
      </w:r>
    </w:p>
    <w:p w14:paraId="1F2FB646">
      <w:pPr>
        <w:spacing w:line="570" w:lineRule="exact"/>
        <w:ind w:firstLine="482" w:firstLineChars="15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（二）支出预算情况</w:t>
      </w:r>
    </w:p>
    <w:p w14:paraId="5C775624">
      <w:pPr>
        <w:spacing w:line="57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2021年我单位支出预算总额为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268.6</w:t>
      </w:r>
      <w:r>
        <w:rPr>
          <w:rFonts w:hint="eastAsia" w:ascii="仿宋" w:hAnsi="仿宋" w:eastAsia="仿宋" w:cs="仿宋"/>
          <w:sz w:val="32"/>
          <w:szCs w:val="32"/>
        </w:rPr>
        <w:t>万元，与上年预算相比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增加8.78</w:t>
      </w:r>
      <w:r>
        <w:rPr>
          <w:rFonts w:hint="eastAsia" w:ascii="仿宋" w:hAnsi="仿宋" w:eastAsia="仿宋" w:cs="仿宋"/>
          <w:sz w:val="32"/>
          <w:szCs w:val="32"/>
        </w:rPr>
        <w:t>%，说明情况：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工资调整</w:t>
      </w:r>
      <w:r>
        <w:rPr>
          <w:rFonts w:hint="eastAsia" w:ascii="仿宋" w:hAnsi="仿宋" w:eastAsia="仿宋" w:cs="仿宋"/>
          <w:sz w:val="32"/>
          <w:szCs w:val="32"/>
        </w:rPr>
        <w:t>。其中：按支出项目类别划分：基本支出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268.6</w:t>
      </w:r>
      <w:r>
        <w:rPr>
          <w:rFonts w:hint="eastAsia" w:ascii="仿宋" w:hAnsi="仿宋" w:eastAsia="仿宋" w:cs="仿宋"/>
          <w:sz w:val="32"/>
          <w:szCs w:val="32"/>
        </w:rPr>
        <w:t>万元，占支出预算总额的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%，包括工资福利支出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227.2</w:t>
      </w:r>
      <w:r>
        <w:rPr>
          <w:rFonts w:hint="eastAsia" w:ascii="仿宋" w:hAnsi="仿宋" w:eastAsia="仿宋" w:cs="仿宋"/>
          <w:sz w:val="32"/>
          <w:szCs w:val="32"/>
        </w:rPr>
        <w:t>万元、商品和服务支出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41.4</w:t>
      </w:r>
      <w:r>
        <w:rPr>
          <w:rFonts w:hint="eastAsia" w:ascii="仿宋" w:hAnsi="仿宋" w:eastAsia="仿宋" w:cs="仿宋"/>
          <w:sz w:val="32"/>
          <w:szCs w:val="32"/>
        </w:rPr>
        <w:t>万元、对个人和家庭的补助0万元、其他资本性支出0万元；项目支出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万元，占支出总额的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%，包括工资福利支出0万元、商品和服务支出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万元、对个人和家庭的补助0万元、债务利息支出0万元、基本建设支出0万元、其他资本性支出0万元、其他相关支出0万元；事业经营支出0万元，占支出预算总额的0%；对附属单位补助支出的0万元，占支出预算总额的0%；上缴上级支出0元，占支出预算总额的0%……</w:t>
      </w:r>
    </w:p>
    <w:p w14:paraId="0D5C7F16">
      <w:pPr>
        <w:spacing w:line="57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按支出功能项目科目划分：一般公共服务0万元，占支出预算总额的0%；公共安全支出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228.85</w:t>
      </w:r>
      <w:r>
        <w:rPr>
          <w:rFonts w:hint="eastAsia" w:ascii="仿宋" w:hAnsi="仿宋" w:eastAsia="仿宋" w:cs="仿宋"/>
          <w:sz w:val="32"/>
          <w:szCs w:val="32"/>
        </w:rPr>
        <w:t>万元，占支出预算总额的8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5.2</w:t>
      </w:r>
      <w:r>
        <w:rPr>
          <w:rFonts w:hint="eastAsia" w:ascii="仿宋" w:hAnsi="仿宋" w:eastAsia="仿宋" w:cs="仿宋"/>
          <w:sz w:val="32"/>
          <w:szCs w:val="32"/>
        </w:rPr>
        <w:t>%；社会保障缴费和就业支出20.23万元，占支出预算总额的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7.53</w:t>
      </w:r>
      <w:r>
        <w:rPr>
          <w:rFonts w:hint="eastAsia" w:ascii="仿宋" w:hAnsi="仿宋" w:eastAsia="仿宋" w:cs="仿宋"/>
          <w:sz w:val="32"/>
          <w:szCs w:val="32"/>
        </w:rPr>
        <w:t>%；卫生健康支出7.91元，占支出预算总额的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2.94</w:t>
      </w:r>
      <w:r>
        <w:rPr>
          <w:rFonts w:hint="eastAsia" w:ascii="仿宋" w:hAnsi="仿宋" w:eastAsia="仿宋" w:cs="仿宋"/>
          <w:sz w:val="32"/>
          <w:szCs w:val="32"/>
        </w:rPr>
        <w:t>%；住房保障支出11.61万元，占支出预算总额的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4.32</w:t>
      </w:r>
      <w:r>
        <w:rPr>
          <w:rFonts w:hint="eastAsia" w:ascii="仿宋" w:hAnsi="仿宋" w:eastAsia="仿宋" w:cs="仿宋"/>
          <w:sz w:val="32"/>
          <w:szCs w:val="32"/>
        </w:rPr>
        <w:t>%。（根据单位涉及到的支出功能科目按类级科目逐项说明。）</w:t>
      </w:r>
    </w:p>
    <w:p w14:paraId="00E7DE5B">
      <w:pPr>
        <w:spacing w:line="57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按支出经济分类划分：工资福利支出171.69元，占支出预算总额的77.57%；商品和服务支出49.62万元，占支出预算总额的22.43%；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21BEFD1D">
      <w:pPr>
        <w:spacing w:line="57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（三）经费拨款支出情况</w:t>
      </w:r>
    </w:p>
    <w:p w14:paraId="4B613248">
      <w:pPr>
        <w:spacing w:line="57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2021年我单位经费拨款支出预算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268.6</w:t>
      </w:r>
      <w:r>
        <w:rPr>
          <w:rFonts w:hint="eastAsia" w:ascii="仿宋" w:hAnsi="仿宋" w:eastAsia="仿宋" w:cs="仿宋"/>
          <w:sz w:val="32"/>
          <w:szCs w:val="32"/>
        </w:rPr>
        <w:t>万元，占支出预算总额的100%，与上年预算相比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增加8.78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 w14:paraId="0952C25C">
      <w:pPr>
        <w:spacing w:line="57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（四）政府采购预算情况</w:t>
      </w:r>
    </w:p>
    <w:p w14:paraId="5BD8EBDC">
      <w:pPr>
        <w:spacing w:line="570" w:lineRule="exact"/>
        <w:ind w:firstLine="640" w:firstLineChars="200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2021年部门所属各单位政府采购总额</w:t>
      </w:r>
      <w:r>
        <w:rPr>
          <w:rFonts w:hint="eastAsia" w:ascii="仿宋_GB2312" w:eastAsia="仿宋_GB2312"/>
          <w:sz w:val="32"/>
          <w:szCs w:val="30"/>
          <w:u w:val="single"/>
        </w:rPr>
        <w:t>20</w:t>
      </w:r>
      <w:r>
        <w:rPr>
          <w:rFonts w:hint="eastAsia" w:ascii="仿宋_GB2312" w:eastAsia="仿宋_GB2312"/>
          <w:sz w:val="32"/>
          <w:szCs w:val="30"/>
        </w:rPr>
        <w:t>万元，主要用于设备采购等。</w:t>
      </w:r>
    </w:p>
    <w:p w14:paraId="59C320BD">
      <w:pPr>
        <w:spacing w:line="57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（五）政府基金收支情况</w:t>
      </w:r>
    </w:p>
    <w:p w14:paraId="13A3DD63">
      <w:pPr>
        <w:ind w:left="149" w:leftChars="71"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无政府性基金</w:t>
      </w:r>
    </w:p>
    <w:p w14:paraId="6B284CF4">
      <w:pPr>
        <w:numPr>
          <w:ilvl w:val="0"/>
          <w:numId w:val="3"/>
        </w:numPr>
        <w:spacing w:line="57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机关运行经费安排情况</w:t>
      </w:r>
    </w:p>
    <w:p w14:paraId="29597FAE">
      <w:pPr>
        <w:spacing w:line="570" w:lineRule="exact"/>
        <w:ind w:firstLine="56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机关运行经费预算安排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268.6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万元，并与上年预算数</w:t>
      </w:r>
      <w:r>
        <w:rPr>
          <w:rFonts w:hint="eastAsia" w:ascii="仿宋" w:hAnsi="仿宋" w:eastAsia="仿宋" w:cs="仿宋"/>
          <w:sz w:val="32"/>
          <w:szCs w:val="32"/>
        </w:rPr>
        <w:t>相比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增加8.78</w:t>
      </w:r>
      <w:r>
        <w:rPr>
          <w:rFonts w:hint="eastAsia" w:ascii="仿宋" w:hAnsi="仿宋" w:eastAsia="仿宋" w:cs="仿宋"/>
          <w:sz w:val="32"/>
          <w:szCs w:val="32"/>
        </w:rPr>
        <w:t>%</w:t>
      </w:r>
    </w:p>
    <w:p w14:paraId="146D18B2">
      <w:pPr>
        <w:spacing w:line="570" w:lineRule="exact"/>
        <w:ind w:firstLine="643" w:firstLineChars="200"/>
        <w:rPr>
          <w:rFonts w:ascii="楷体_GB2312" w:hAnsi="楷体_GB2312" w:eastAsia="楷体_GB2312" w:cs="楷体_GB2312"/>
          <w:b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（七）“三公”经费预算安排情况</w:t>
      </w:r>
    </w:p>
    <w:p w14:paraId="17C67A4D">
      <w:pPr>
        <w:widowControl/>
        <w:spacing w:line="580" w:lineRule="exact"/>
        <w:ind w:firstLine="640"/>
        <w:jc w:val="left"/>
        <w:rPr>
          <w:rFonts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</w:rPr>
        <w:t>2021年我单位“三公”经费一般公共预算安排</w:t>
      </w:r>
      <w:r>
        <w:rPr>
          <w:rFonts w:hint="eastAsia" w:ascii="仿宋" w:hAnsi="仿宋" w:eastAsia="仿宋" w:cs="仿宋"/>
          <w:sz w:val="32"/>
          <w:szCs w:val="30"/>
          <w:u w:val="single"/>
        </w:rPr>
        <w:t>5.38</w:t>
      </w:r>
      <w:r>
        <w:rPr>
          <w:rFonts w:hint="eastAsia" w:ascii="仿宋" w:hAnsi="仿宋" w:eastAsia="仿宋" w:cs="仿宋"/>
          <w:sz w:val="32"/>
          <w:szCs w:val="30"/>
        </w:rPr>
        <w:t>万元,较</w:t>
      </w:r>
      <w:r>
        <w:rPr>
          <w:rFonts w:hint="eastAsia" w:ascii="仿宋" w:hAnsi="仿宋" w:eastAsia="仿宋" w:cs="仿宋"/>
          <w:sz w:val="32"/>
          <w:szCs w:val="32"/>
        </w:rPr>
        <w:t>上年预算安排减少1.1%,</w:t>
      </w:r>
      <w:r>
        <w:rPr>
          <w:rFonts w:hint="eastAsia" w:ascii="仿宋" w:hAnsi="仿宋" w:eastAsia="仿宋" w:cs="仿宋"/>
          <w:sz w:val="32"/>
          <w:szCs w:val="30"/>
        </w:rPr>
        <w:t>原因是</w:t>
      </w:r>
      <w:r>
        <w:rPr>
          <w:rFonts w:hint="eastAsia" w:ascii="仿宋" w:hAnsi="仿宋" w:eastAsia="仿宋" w:cs="仿宋"/>
          <w:sz w:val="32"/>
          <w:szCs w:val="30"/>
          <w:u w:val="single"/>
        </w:rPr>
        <w:t xml:space="preserve"> 厉行节约 </w:t>
      </w:r>
      <w:r>
        <w:rPr>
          <w:rFonts w:hint="eastAsia" w:ascii="仿宋" w:hAnsi="仿宋" w:eastAsia="仿宋" w:cs="仿宋"/>
          <w:sz w:val="32"/>
          <w:szCs w:val="30"/>
        </w:rPr>
        <w:t>。。</w:t>
      </w:r>
    </w:p>
    <w:p w14:paraId="0A34506E">
      <w:pPr>
        <w:widowControl/>
        <w:spacing w:line="580" w:lineRule="exact"/>
        <w:ind w:firstLine="640"/>
        <w:jc w:val="left"/>
        <w:rPr>
          <w:rFonts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</w:rPr>
        <w:t>1.因公出国（境）费</w:t>
      </w:r>
      <w:r>
        <w:rPr>
          <w:rFonts w:hint="eastAsia" w:ascii="仿宋" w:hAnsi="仿宋" w:eastAsia="仿宋" w:cs="仿宋"/>
          <w:sz w:val="32"/>
          <w:szCs w:val="30"/>
          <w:u w:val="single"/>
        </w:rPr>
        <w:t>0</w:t>
      </w:r>
      <w:r>
        <w:rPr>
          <w:rFonts w:hint="eastAsia" w:ascii="仿宋" w:hAnsi="仿宋" w:eastAsia="仿宋" w:cs="仿宋"/>
          <w:sz w:val="32"/>
          <w:szCs w:val="30"/>
        </w:rPr>
        <w:t>万元，比上年减少</w:t>
      </w:r>
      <w:r>
        <w:rPr>
          <w:rFonts w:hint="eastAsia" w:ascii="仿宋" w:hAnsi="仿宋" w:eastAsia="仿宋" w:cs="仿宋"/>
          <w:sz w:val="32"/>
          <w:szCs w:val="30"/>
          <w:u w:val="single"/>
        </w:rPr>
        <w:t xml:space="preserve"> 0</w:t>
      </w:r>
      <w:r>
        <w:rPr>
          <w:rFonts w:hint="eastAsia" w:ascii="仿宋" w:hAnsi="仿宋" w:eastAsia="仿宋" w:cs="仿宋"/>
          <w:sz w:val="32"/>
          <w:szCs w:val="30"/>
        </w:rPr>
        <w:t>万元。</w:t>
      </w:r>
    </w:p>
    <w:p w14:paraId="29B6ED6D">
      <w:pPr>
        <w:widowControl/>
        <w:spacing w:line="580" w:lineRule="exact"/>
        <w:ind w:firstLine="640"/>
        <w:jc w:val="left"/>
        <w:rPr>
          <w:rFonts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</w:rPr>
        <w:t>2.公务接待费</w:t>
      </w:r>
      <w:r>
        <w:rPr>
          <w:rFonts w:hint="eastAsia" w:ascii="仿宋" w:hAnsi="仿宋" w:eastAsia="仿宋" w:cs="仿宋"/>
          <w:sz w:val="32"/>
          <w:szCs w:val="30"/>
          <w:u w:val="single"/>
        </w:rPr>
        <w:t>2.79</w:t>
      </w:r>
      <w:r>
        <w:rPr>
          <w:rFonts w:hint="eastAsia" w:ascii="仿宋" w:hAnsi="仿宋" w:eastAsia="仿宋" w:cs="仿宋"/>
          <w:sz w:val="32"/>
          <w:szCs w:val="30"/>
        </w:rPr>
        <w:t>万元，比上年减少</w:t>
      </w:r>
      <w:r>
        <w:rPr>
          <w:rFonts w:hint="eastAsia" w:ascii="仿宋" w:hAnsi="仿宋" w:eastAsia="仿宋" w:cs="仿宋"/>
          <w:sz w:val="32"/>
          <w:szCs w:val="30"/>
          <w:u w:val="single"/>
        </w:rPr>
        <w:t>0.06</w:t>
      </w:r>
      <w:r>
        <w:rPr>
          <w:rFonts w:hint="eastAsia" w:ascii="仿宋" w:hAnsi="仿宋" w:eastAsia="仿宋" w:cs="仿宋"/>
          <w:sz w:val="32"/>
          <w:szCs w:val="30"/>
        </w:rPr>
        <w:t>万元。</w:t>
      </w:r>
    </w:p>
    <w:p w14:paraId="5A273055">
      <w:pPr>
        <w:widowControl/>
        <w:spacing w:line="580" w:lineRule="exact"/>
        <w:ind w:firstLine="640"/>
        <w:jc w:val="left"/>
        <w:rPr>
          <w:rFonts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</w:rPr>
        <w:t>3.公务用车运行维护费</w:t>
      </w:r>
      <w:r>
        <w:rPr>
          <w:rFonts w:hint="eastAsia" w:ascii="仿宋" w:hAnsi="仿宋" w:eastAsia="仿宋" w:cs="仿宋"/>
          <w:sz w:val="32"/>
          <w:szCs w:val="30"/>
          <w:u w:val="single"/>
        </w:rPr>
        <w:t>2.59</w:t>
      </w:r>
      <w:r>
        <w:rPr>
          <w:rFonts w:hint="eastAsia" w:ascii="仿宋" w:hAnsi="仿宋" w:eastAsia="仿宋" w:cs="仿宋"/>
          <w:sz w:val="32"/>
          <w:szCs w:val="30"/>
        </w:rPr>
        <w:t>万元，比上年减少</w:t>
      </w:r>
      <w:r>
        <w:rPr>
          <w:rFonts w:hint="eastAsia" w:ascii="仿宋" w:hAnsi="仿宋" w:eastAsia="仿宋" w:cs="仿宋"/>
          <w:sz w:val="32"/>
          <w:szCs w:val="30"/>
          <w:u w:val="single"/>
        </w:rPr>
        <w:t xml:space="preserve"> 0 </w:t>
      </w:r>
      <w:r>
        <w:rPr>
          <w:rFonts w:hint="eastAsia" w:ascii="仿宋" w:hAnsi="仿宋" w:eastAsia="仿宋" w:cs="仿宋"/>
          <w:sz w:val="32"/>
          <w:szCs w:val="30"/>
        </w:rPr>
        <w:t>万元。</w:t>
      </w:r>
    </w:p>
    <w:p w14:paraId="33896B5E">
      <w:pPr>
        <w:widowControl/>
        <w:spacing w:line="580" w:lineRule="exact"/>
        <w:ind w:firstLine="640"/>
        <w:jc w:val="left"/>
        <w:rPr>
          <w:rFonts w:ascii="仿宋" w:hAnsi="仿宋" w:eastAsia="仿宋" w:cs="仿宋"/>
          <w:sz w:val="32"/>
          <w:szCs w:val="30"/>
        </w:rPr>
      </w:pPr>
      <w:r>
        <w:rPr>
          <w:rFonts w:hint="eastAsia" w:ascii="仿宋" w:hAnsi="仿宋" w:eastAsia="仿宋" w:cs="仿宋"/>
          <w:sz w:val="32"/>
          <w:szCs w:val="30"/>
        </w:rPr>
        <w:t>4.公务用车购置费</w:t>
      </w:r>
      <w:r>
        <w:rPr>
          <w:rFonts w:hint="eastAsia" w:ascii="仿宋" w:hAnsi="仿宋" w:eastAsia="仿宋" w:cs="仿宋"/>
          <w:sz w:val="32"/>
          <w:szCs w:val="30"/>
          <w:u w:val="single"/>
        </w:rPr>
        <w:t xml:space="preserve"> 0</w:t>
      </w:r>
      <w:r>
        <w:rPr>
          <w:rFonts w:hint="eastAsia" w:ascii="仿宋" w:hAnsi="仿宋" w:eastAsia="仿宋" w:cs="仿宋"/>
          <w:sz w:val="32"/>
          <w:szCs w:val="30"/>
        </w:rPr>
        <w:t>万元，比上年减少</w:t>
      </w:r>
      <w:r>
        <w:rPr>
          <w:rFonts w:hint="eastAsia" w:ascii="仿宋" w:hAnsi="仿宋" w:eastAsia="仿宋" w:cs="仿宋"/>
          <w:sz w:val="32"/>
          <w:szCs w:val="30"/>
          <w:u w:val="single"/>
        </w:rPr>
        <w:t>0</w:t>
      </w:r>
      <w:r>
        <w:rPr>
          <w:rFonts w:hint="eastAsia" w:ascii="仿宋" w:hAnsi="仿宋" w:eastAsia="仿宋" w:cs="仿宋"/>
          <w:sz w:val="32"/>
          <w:szCs w:val="30"/>
        </w:rPr>
        <w:t>万元。</w:t>
      </w:r>
    </w:p>
    <w:sectPr>
      <w:headerReference r:id="rId3" w:type="default"/>
      <w:footerReference r:id="rId4" w:type="even"/>
      <w:pgSz w:w="11906" w:h="16838"/>
      <w:pgMar w:top="1440" w:right="1800" w:bottom="1440" w:left="1800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13DDE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1515FF83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3CFCE">
    <w:pPr>
      <w:pStyle w:val="5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80BF0B"/>
    <w:multiLevelType w:val="singleLevel"/>
    <w:tmpl w:val="0A80BF0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C345CB8"/>
    <w:multiLevelType w:val="multilevel"/>
    <w:tmpl w:val="3C345CB8"/>
    <w:lvl w:ilvl="0" w:tentative="0">
      <w:start w:val="9"/>
      <w:numFmt w:val="japaneseCounting"/>
      <w:lvlText w:val="（%1）"/>
      <w:lvlJc w:val="left"/>
      <w:pPr>
        <w:ind w:left="1720" w:hanging="10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">
    <w:nsid w:val="59ACAF5F"/>
    <w:multiLevelType w:val="singleLevel"/>
    <w:tmpl w:val="59ACAF5F"/>
    <w:lvl w:ilvl="0" w:tentative="0">
      <w:start w:val="6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JiMGIyOTYwNTRlYmQxN2EwZTJlNjYyMzc0NzBiNjQifQ=="/>
  </w:docVars>
  <w:rsids>
    <w:rsidRoot w:val="03A95701"/>
    <w:rsid w:val="000066B8"/>
    <w:rsid w:val="0001335B"/>
    <w:rsid w:val="00026F8D"/>
    <w:rsid w:val="00040292"/>
    <w:rsid w:val="0004650F"/>
    <w:rsid w:val="001004E5"/>
    <w:rsid w:val="002060C6"/>
    <w:rsid w:val="00250143"/>
    <w:rsid w:val="00253B0B"/>
    <w:rsid w:val="00265B37"/>
    <w:rsid w:val="002722C0"/>
    <w:rsid w:val="003C409A"/>
    <w:rsid w:val="00504A05"/>
    <w:rsid w:val="00520BDB"/>
    <w:rsid w:val="005640D3"/>
    <w:rsid w:val="00625315"/>
    <w:rsid w:val="0067644B"/>
    <w:rsid w:val="00685BA1"/>
    <w:rsid w:val="006E4C87"/>
    <w:rsid w:val="007145F5"/>
    <w:rsid w:val="0088031A"/>
    <w:rsid w:val="00892568"/>
    <w:rsid w:val="008B5CAC"/>
    <w:rsid w:val="009832FD"/>
    <w:rsid w:val="009E19DF"/>
    <w:rsid w:val="00A91A8B"/>
    <w:rsid w:val="00BD6C19"/>
    <w:rsid w:val="00C360CD"/>
    <w:rsid w:val="00C921AB"/>
    <w:rsid w:val="00CF5354"/>
    <w:rsid w:val="00E14E92"/>
    <w:rsid w:val="00E27816"/>
    <w:rsid w:val="00EB4E20"/>
    <w:rsid w:val="00EE5258"/>
    <w:rsid w:val="00F32CE5"/>
    <w:rsid w:val="02A758E2"/>
    <w:rsid w:val="03A95701"/>
    <w:rsid w:val="058050E5"/>
    <w:rsid w:val="08E150F2"/>
    <w:rsid w:val="0E7F697D"/>
    <w:rsid w:val="0F21071D"/>
    <w:rsid w:val="1FBA0CE1"/>
    <w:rsid w:val="21610368"/>
    <w:rsid w:val="25BC354F"/>
    <w:rsid w:val="2E201EB5"/>
    <w:rsid w:val="37A13162"/>
    <w:rsid w:val="3AD3795F"/>
    <w:rsid w:val="3E800CC5"/>
    <w:rsid w:val="3F342416"/>
    <w:rsid w:val="449C3295"/>
    <w:rsid w:val="44B26E56"/>
    <w:rsid w:val="48DA02A5"/>
    <w:rsid w:val="4C0B51A1"/>
    <w:rsid w:val="5C297867"/>
    <w:rsid w:val="5CCE7FC2"/>
    <w:rsid w:val="5D5B07CD"/>
    <w:rsid w:val="5E581C08"/>
    <w:rsid w:val="61441586"/>
    <w:rsid w:val="64D37477"/>
    <w:rsid w:val="6D535020"/>
    <w:rsid w:val="7879742A"/>
    <w:rsid w:val="7C0B41D4"/>
    <w:rsid w:val="7C387F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1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HTML 预设格式 Char"/>
    <w:basedOn w:val="8"/>
    <w:link w:val="6"/>
    <w:uiPriority w:val="99"/>
    <w:rPr>
      <w:rFonts w:ascii="宋体" w:hAnsi="宋体" w:cs="宋体"/>
      <w:sz w:val="24"/>
      <w:szCs w:val="21"/>
    </w:rPr>
  </w:style>
  <w:style w:type="paragraph" w:styleId="12">
    <w:name w:val="List Paragraph"/>
    <w:basedOn w:val="1"/>
    <w:qFormat/>
    <w:uiPriority w:val="34"/>
    <w:pPr>
      <w:adjustRightInd w:val="0"/>
      <w:snapToGrid w:val="0"/>
      <w:spacing w:after="200"/>
      <w:ind w:firstLine="420" w:firstLineChars="200"/>
    </w:pPr>
    <w:rPr>
      <w:rFonts w:ascii="Tahoma" w:hAnsi="Tahoma" w:eastAsia="微软雅黑" w:cstheme="minorBidi"/>
      <w:sz w:val="22"/>
      <w:szCs w:val="22"/>
    </w:rPr>
  </w:style>
  <w:style w:type="paragraph" w:customStyle="1" w:styleId="13">
    <w:name w:val="列出段落1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5</Pages>
  <Words>2019</Words>
  <Characters>2195</Characters>
  <Lines>16</Lines>
  <Paragraphs>4</Paragraphs>
  <TotalTime>0</TotalTime>
  <ScaleCrop>false</ScaleCrop>
  <LinksUpToDate>false</LinksUpToDate>
  <CharactersWithSpaces>2203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2020-12-04T07:57:00Z</dcterms:created>
  <dc:creator>四眼妞</dc:creator>
  <cp:lastModifiedBy>Yu.</cp:lastModifiedBy>
  <cp:lastPrinted>2018-09-13T02:05:00Z</cp:lastPrinted>
  <dcterms:modified xsi:type="dcterms:W3CDTF">2024-09-12T02:06:36Z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46C384B040104091B6855EB478F837F0_12</vt:lpwstr>
  </property>
</Properties>
</file>