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6"/>
        </w:rPr>
      </w:pPr>
      <w:r>
        <w:rPr>
          <w:rFonts w:hint="eastAsia" w:ascii="黑体" w:hAnsi="黑体" w:eastAsia="黑体" w:cs="黑体"/>
          <w:b/>
          <w:bCs/>
          <w:sz w:val="36"/>
          <w:szCs w:val="36"/>
        </w:rPr>
        <w:t>珠山区人大办</w:t>
      </w:r>
    </w:p>
    <w:p>
      <w:pPr>
        <w:jc w:val="center"/>
        <w:rPr>
          <w:rFonts w:ascii="黑体" w:hAnsi="黑体" w:eastAsia="黑体" w:cs="黑体"/>
          <w:b/>
          <w:bCs/>
          <w:sz w:val="36"/>
          <w:szCs w:val="36"/>
        </w:rPr>
      </w:pPr>
      <w:r>
        <w:rPr>
          <w:rFonts w:ascii="黑体" w:hAnsi="黑体" w:eastAsia="黑体" w:cs="黑体"/>
          <w:b/>
          <w:bCs/>
          <w:sz w:val="36"/>
          <w:szCs w:val="36"/>
        </w:rPr>
        <w:t>20</w:t>
      </w:r>
      <w:r>
        <w:rPr>
          <w:rFonts w:hint="eastAsia" w:ascii="黑体" w:hAnsi="黑体" w:eastAsia="黑体" w:cs="黑体"/>
          <w:b/>
          <w:bCs/>
          <w:sz w:val="36"/>
          <w:szCs w:val="36"/>
          <w:lang w:val="en-US" w:eastAsia="zh-CN"/>
        </w:rPr>
        <w:t>21</w:t>
      </w:r>
      <w:r>
        <w:rPr>
          <w:rFonts w:hint="eastAsia" w:ascii="黑体" w:hAnsi="黑体" w:eastAsia="黑体" w:cs="黑体"/>
          <w:b/>
          <w:bCs/>
          <w:sz w:val="36"/>
          <w:szCs w:val="36"/>
        </w:rPr>
        <w:t>年部门预算说明</w:t>
      </w:r>
    </w:p>
    <w:p/>
    <w:p>
      <w:pPr>
        <w:spacing w:line="411" w:lineRule="atLeast"/>
        <w:rPr>
          <w:rFonts w:ascii="仿宋_GB2312" w:eastAsia="仿宋_GB2312"/>
          <w:b/>
          <w:sz w:val="28"/>
          <w:szCs w:val="28"/>
        </w:rPr>
      </w:pPr>
      <w:r>
        <w:rPr>
          <w:rFonts w:hint="eastAsia" w:ascii="仿宋_GB2312" w:eastAsia="仿宋_GB2312"/>
          <w:b/>
          <w:sz w:val="28"/>
          <w:szCs w:val="28"/>
        </w:rPr>
        <w:t>一、部门主要职责</w:t>
      </w:r>
    </w:p>
    <w:p>
      <w:pPr>
        <w:spacing w:line="411" w:lineRule="atLeas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、负责区人民代表大会会议、区人大常委会会议、主任会议和以区人大常委会名义召开的其他会议的准备工作及会议期间的有关服务工作。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、负责区人大常委会重要文稿起草工作的组织协调和区人大常委会机关公文的办理以及档案管理。</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、负责党的方针政策、国家法律法规、重大工作部署和领导重要批示贯彻落实情况的督促检查。</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、负责区人大常委会领导同志重要公务活动的组织安排。</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、负责区人大常委会机关有关执法检查、视察调研等重大活动的具体组织工作。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、负责与区委及“一府两院”办公室的工作联系，协调区人大常委会机关各部门的工作关系，保持与上级人大常委会机关的经常联系。</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、按照区人大常委会工作部署和常委会领导的要求，开展调查研究，收集情况信息，为区人大及其常委会行使职权提供参考。</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8</w:t>
      </w:r>
      <w:r>
        <w:rPr>
          <w:rFonts w:hint="eastAsia" w:ascii="仿宋_GB2312" w:hAnsi="宋体" w:eastAsia="仿宋_GB2312" w:cs="宋体"/>
          <w:kern w:val="0"/>
          <w:sz w:val="28"/>
          <w:szCs w:val="28"/>
        </w:rPr>
        <w:t>、负责区人大常委会重大会议活动宣传报道工作的组织安排和稿件的审核把关。</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hAnsi="宋体" w:eastAsia="仿宋_GB2312" w:cs="宋体"/>
          <w:kern w:val="0"/>
          <w:sz w:val="28"/>
          <w:szCs w:val="28"/>
        </w:rPr>
        <w:t>、负责处理区人大常委会机关的信访工作。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10</w:t>
      </w:r>
      <w:r>
        <w:rPr>
          <w:rFonts w:hint="eastAsia" w:ascii="仿宋_GB2312" w:hAnsi="宋体" w:eastAsia="仿宋_GB2312" w:cs="宋体"/>
          <w:kern w:val="0"/>
          <w:sz w:val="28"/>
          <w:szCs w:val="28"/>
        </w:rPr>
        <w:t>、负责区人大常委会机关的值班通讯、机要保密、人事劳动、财产财务管理、车辆管理、老干管理、党群纪检、后勤保障、治安保卫等工作。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11</w:t>
      </w:r>
      <w:r>
        <w:rPr>
          <w:rFonts w:hint="eastAsia" w:ascii="仿宋_GB2312" w:hAnsi="宋体" w:eastAsia="仿宋_GB2312" w:cs="宋体"/>
          <w:kern w:val="0"/>
          <w:sz w:val="28"/>
          <w:szCs w:val="28"/>
        </w:rPr>
        <w:t>、负责全区人大系统干部培训管理的有关工作。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、会同有关部门做好上级人大领导和外地人大领导来区考察、指导工作期间的公务接待工作。</w:t>
      </w:r>
    </w:p>
    <w:p>
      <w:pPr>
        <w:widowControl/>
        <w:spacing w:line="411" w:lineRule="atLeas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13</w:t>
      </w:r>
      <w:r>
        <w:rPr>
          <w:rFonts w:hint="eastAsia" w:ascii="仿宋_GB2312" w:hAnsi="宋体" w:eastAsia="仿宋_GB2312" w:cs="宋体"/>
          <w:kern w:val="0"/>
          <w:sz w:val="28"/>
          <w:szCs w:val="28"/>
        </w:rPr>
        <w:t>、承办区人大常委会和主任会议交办的其他事项。</w:t>
      </w:r>
    </w:p>
    <w:p>
      <w:pPr>
        <w:spacing w:line="660" w:lineRule="exact"/>
        <w:ind w:firstLine="562" w:firstLineChars="200"/>
        <w:rPr>
          <w:rFonts w:ascii="仿宋_GB2312" w:eastAsia="仿宋_GB2312"/>
          <w:sz w:val="28"/>
          <w:szCs w:val="28"/>
        </w:rPr>
      </w:pPr>
      <w:r>
        <w:rPr>
          <w:rFonts w:hint="eastAsia" w:ascii="仿宋_GB2312" w:hAnsi="仿宋" w:eastAsia="仿宋_GB2312" w:cs="仿宋"/>
          <w:b/>
          <w:sz w:val="28"/>
          <w:szCs w:val="28"/>
        </w:rPr>
        <w:t>二、部门基本情况</w:t>
      </w:r>
    </w:p>
    <w:p>
      <w:pPr>
        <w:spacing w:line="6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本部门共有预算单位</w:t>
      </w:r>
      <w:r>
        <w:rPr>
          <w:rFonts w:ascii="仿宋_GB2312" w:hAnsi="仿宋" w:eastAsia="仿宋_GB2312" w:cs="仿宋"/>
          <w:sz w:val="28"/>
          <w:szCs w:val="28"/>
        </w:rPr>
        <w:t>1</w:t>
      </w:r>
      <w:r>
        <w:rPr>
          <w:rFonts w:hint="eastAsia" w:ascii="仿宋_GB2312" w:hAnsi="仿宋" w:eastAsia="仿宋_GB2312" w:cs="仿宋"/>
          <w:sz w:val="28"/>
          <w:szCs w:val="28"/>
        </w:rPr>
        <w:t>个，即部门本级。编制数为</w:t>
      </w:r>
      <w:r>
        <w:rPr>
          <w:rFonts w:ascii="仿宋_GB2312" w:hAnsi="仿宋" w:eastAsia="仿宋_GB2312" w:cs="仿宋"/>
          <w:sz w:val="28"/>
          <w:szCs w:val="28"/>
        </w:rPr>
        <w:t>2</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人，其中行政编制</w:t>
      </w:r>
      <w:r>
        <w:rPr>
          <w:rFonts w:ascii="仿宋_GB2312" w:hAnsi="仿宋" w:eastAsia="仿宋_GB2312" w:cs="仿宋"/>
          <w:sz w:val="28"/>
          <w:szCs w:val="28"/>
        </w:rPr>
        <w:t>2</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人。实有人数2</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人，其中在职</w:t>
      </w:r>
      <w:r>
        <w:rPr>
          <w:rFonts w:ascii="仿宋_GB2312" w:hAnsi="仿宋" w:eastAsia="仿宋_GB2312" w:cs="仿宋"/>
          <w:sz w:val="28"/>
          <w:szCs w:val="28"/>
        </w:rPr>
        <w:t>2</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人，包括行政</w:t>
      </w:r>
      <w:r>
        <w:rPr>
          <w:rFonts w:ascii="仿宋_GB2312" w:hAnsi="仿宋" w:eastAsia="仿宋_GB2312" w:cs="仿宋"/>
          <w:sz w:val="28"/>
          <w:szCs w:val="28"/>
        </w:rPr>
        <w:t>2</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人。</w:t>
      </w:r>
    </w:p>
    <w:p>
      <w:pPr>
        <w:spacing w:line="660" w:lineRule="exact"/>
        <w:ind w:firstLine="551" w:firstLineChars="196"/>
        <w:rPr>
          <w:rFonts w:ascii="仿宋_GB2312" w:hAnsi="仿宋" w:eastAsia="仿宋_GB2312" w:cs="仿宋"/>
          <w:b/>
          <w:sz w:val="28"/>
          <w:szCs w:val="28"/>
        </w:rPr>
      </w:pPr>
      <w:r>
        <w:rPr>
          <w:rFonts w:hint="eastAsia" w:ascii="仿宋_GB2312" w:hAnsi="仿宋" w:eastAsia="仿宋_GB2312" w:cs="仿宋"/>
          <w:b/>
          <w:sz w:val="28"/>
          <w:szCs w:val="28"/>
        </w:rPr>
        <w:t>三、</w:t>
      </w:r>
      <w:r>
        <w:rPr>
          <w:rFonts w:ascii="仿宋_GB2312" w:hAnsi="仿宋" w:eastAsia="仿宋_GB2312" w:cs="仿宋"/>
          <w:b/>
          <w:sz w:val="28"/>
          <w:szCs w:val="28"/>
        </w:rPr>
        <w:t>20</w:t>
      </w:r>
      <w:r>
        <w:rPr>
          <w:rFonts w:hint="eastAsia" w:ascii="仿宋_GB2312" w:hAnsi="仿宋" w:eastAsia="仿宋_GB2312" w:cs="仿宋"/>
          <w:b/>
          <w:sz w:val="28"/>
          <w:szCs w:val="28"/>
          <w:lang w:val="en-US" w:eastAsia="zh-CN"/>
        </w:rPr>
        <w:t>21</w:t>
      </w:r>
      <w:r>
        <w:rPr>
          <w:rFonts w:hint="eastAsia" w:ascii="仿宋_GB2312" w:hAnsi="仿宋" w:eastAsia="仿宋_GB2312" w:cs="仿宋"/>
          <w:b/>
          <w:sz w:val="28"/>
          <w:szCs w:val="28"/>
        </w:rPr>
        <w:t>年部门预算收支情况</w:t>
      </w:r>
    </w:p>
    <w:p>
      <w:pPr>
        <w:spacing w:line="660" w:lineRule="exact"/>
        <w:ind w:firstLine="551" w:firstLineChars="196"/>
        <w:rPr>
          <w:rFonts w:ascii="仿宋_GB2312" w:hAnsi="仿宋" w:eastAsia="仿宋_GB2312" w:cs="仿宋"/>
          <w:b/>
          <w:sz w:val="28"/>
          <w:szCs w:val="28"/>
        </w:rPr>
      </w:pPr>
      <w:r>
        <w:rPr>
          <w:rFonts w:hint="eastAsia" w:ascii="仿宋_GB2312" w:hAnsi="仿宋" w:eastAsia="仿宋_GB2312" w:cs="仿宋"/>
          <w:b/>
          <w:sz w:val="28"/>
          <w:szCs w:val="28"/>
        </w:rPr>
        <w:t>（一）收入预算情况</w:t>
      </w:r>
    </w:p>
    <w:p>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年收入预算总额为</w:t>
      </w:r>
      <w:r>
        <w:rPr>
          <w:rFonts w:hint="eastAsia" w:ascii="仿宋_GB2312" w:hAnsi="仿宋" w:eastAsia="仿宋_GB2312" w:cs="仿宋"/>
          <w:sz w:val="28"/>
          <w:szCs w:val="28"/>
          <w:lang w:val="en-US" w:eastAsia="zh-CN"/>
        </w:rPr>
        <w:t>571.7</w:t>
      </w:r>
      <w:r>
        <w:rPr>
          <w:rFonts w:hint="eastAsia" w:ascii="仿宋_GB2312" w:hAnsi="仿宋" w:eastAsia="仿宋_GB2312" w:cs="仿宋"/>
          <w:sz w:val="28"/>
          <w:szCs w:val="28"/>
        </w:rPr>
        <w:t>万元</w:t>
      </w:r>
      <w:r>
        <w:rPr>
          <w:rFonts w:ascii="仿宋_GB2312" w:hAnsi="仿宋" w:eastAsia="仿宋_GB2312" w:cs="仿宋"/>
          <w:sz w:val="28"/>
          <w:szCs w:val="28"/>
        </w:rPr>
        <w:t>,</w:t>
      </w:r>
      <w:r>
        <w:rPr>
          <w:rFonts w:hint="eastAsia" w:ascii="仿宋_GB2312" w:hAnsi="仿宋" w:eastAsia="仿宋_GB2312" w:cs="仿宋"/>
          <w:sz w:val="28"/>
          <w:szCs w:val="28"/>
        </w:rPr>
        <w:t>按照收入来源划分</w:t>
      </w:r>
      <w:r>
        <w:rPr>
          <w:rFonts w:ascii="仿宋_GB2312" w:hAnsi="仿宋" w:eastAsia="仿宋_GB2312" w:cs="仿宋"/>
          <w:sz w:val="28"/>
          <w:szCs w:val="28"/>
        </w:rPr>
        <w:t>:</w:t>
      </w:r>
    </w:p>
    <w:p>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w:t>
      </w:r>
      <w:r>
        <w:rPr>
          <w:rFonts w:hint="eastAsia" w:ascii="仿宋_GB2312" w:hAnsi="仿宋" w:eastAsia="仿宋_GB2312" w:cs="仿宋"/>
          <w:sz w:val="28"/>
          <w:szCs w:val="28"/>
        </w:rPr>
        <w:t>、当年公共财政拨款</w:t>
      </w:r>
      <w:r>
        <w:rPr>
          <w:rFonts w:hint="eastAsia" w:ascii="仿宋_GB2312" w:hAnsi="仿宋" w:eastAsia="仿宋_GB2312" w:cs="仿宋"/>
          <w:sz w:val="28"/>
          <w:szCs w:val="28"/>
          <w:lang w:val="en-US" w:eastAsia="zh-CN"/>
        </w:rPr>
        <w:t>571.7</w:t>
      </w:r>
      <w:r>
        <w:rPr>
          <w:rFonts w:hint="eastAsia" w:ascii="仿宋_GB2312" w:hAnsi="仿宋" w:eastAsia="仿宋_GB2312" w:cs="仿宋"/>
          <w:sz w:val="28"/>
          <w:szCs w:val="28"/>
        </w:rPr>
        <w:t>万元</w:t>
      </w:r>
      <w:r>
        <w:rPr>
          <w:rFonts w:ascii="仿宋_GB2312" w:hAnsi="仿宋" w:eastAsia="仿宋_GB2312" w:cs="仿宋"/>
          <w:sz w:val="28"/>
          <w:szCs w:val="28"/>
        </w:rPr>
        <w:t>,</w:t>
      </w:r>
      <w:r>
        <w:rPr>
          <w:rFonts w:hint="eastAsia" w:ascii="仿宋_GB2312" w:hAnsi="仿宋" w:eastAsia="仿宋_GB2312" w:cs="仿宋"/>
          <w:sz w:val="28"/>
          <w:szCs w:val="28"/>
        </w:rPr>
        <w:t>占收入预算总额的</w:t>
      </w:r>
      <w:r>
        <w:rPr>
          <w:rFonts w:ascii="仿宋_GB2312" w:hAnsi="仿宋" w:eastAsia="仿宋_GB2312" w:cs="仿宋"/>
          <w:sz w:val="28"/>
          <w:szCs w:val="28"/>
        </w:rPr>
        <w:t>100%</w:t>
      </w:r>
      <w:r>
        <w:rPr>
          <w:rFonts w:hint="eastAsia" w:ascii="仿宋_GB2312" w:hAnsi="仿宋" w:eastAsia="仿宋_GB2312" w:cs="仿宋"/>
          <w:sz w:val="28"/>
          <w:szCs w:val="28"/>
        </w:rPr>
        <w:t>。</w:t>
      </w:r>
    </w:p>
    <w:p>
      <w:pPr>
        <w:spacing w:line="6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（二）支出预算情况</w:t>
      </w:r>
    </w:p>
    <w:p>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年支出预算总额为</w:t>
      </w:r>
      <w:r>
        <w:rPr>
          <w:rFonts w:hint="eastAsia" w:ascii="仿宋_GB2312" w:hAnsi="仿宋" w:eastAsia="仿宋_GB2312" w:cs="仿宋"/>
          <w:sz w:val="28"/>
          <w:szCs w:val="28"/>
          <w:lang w:val="en-US" w:eastAsia="zh-CN"/>
        </w:rPr>
        <w:t>571.7</w:t>
      </w:r>
      <w:r>
        <w:rPr>
          <w:rFonts w:hint="eastAsia" w:ascii="仿宋_GB2312" w:hAnsi="仿宋" w:eastAsia="仿宋_GB2312" w:cs="仿宋"/>
          <w:sz w:val="28"/>
          <w:szCs w:val="28"/>
        </w:rPr>
        <w:t>万元。按支出项目类别划分：</w:t>
      </w:r>
    </w:p>
    <w:p>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w:t>
      </w:r>
      <w:r>
        <w:rPr>
          <w:rFonts w:hint="eastAsia" w:ascii="仿宋_GB2312" w:hAnsi="仿宋" w:eastAsia="仿宋_GB2312" w:cs="仿宋"/>
          <w:sz w:val="28"/>
          <w:szCs w:val="28"/>
        </w:rPr>
        <w:t>、基本支出</w:t>
      </w:r>
      <w:r>
        <w:rPr>
          <w:rFonts w:hint="eastAsia" w:ascii="仿宋_GB2312" w:hAnsi="仿宋" w:eastAsia="仿宋_GB2312" w:cs="仿宋"/>
          <w:sz w:val="28"/>
          <w:szCs w:val="28"/>
          <w:lang w:val="en-US" w:eastAsia="zh-CN"/>
        </w:rPr>
        <w:t>571.7</w:t>
      </w:r>
      <w:r>
        <w:rPr>
          <w:rFonts w:hint="eastAsia" w:ascii="仿宋_GB2312" w:hAnsi="仿宋" w:eastAsia="仿宋_GB2312" w:cs="仿宋"/>
          <w:sz w:val="28"/>
          <w:szCs w:val="28"/>
        </w:rPr>
        <w:t>万元</w:t>
      </w:r>
      <w:r>
        <w:rPr>
          <w:rFonts w:ascii="仿宋_GB2312" w:hAnsi="仿宋" w:eastAsia="仿宋_GB2312" w:cs="仿宋"/>
          <w:sz w:val="28"/>
          <w:szCs w:val="28"/>
        </w:rPr>
        <w:t>,</w:t>
      </w:r>
      <w:r>
        <w:rPr>
          <w:rFonts w:hint="eastAsia" w:ascii="仿宋_GB2312" w:hAnsi="仿宋" w:eastAsia="仿宋_GB2312" w:cs="仿宋"/>
          <w:sz w:val="28"/>
          <w:szCs w:val="28"/>
        </w:rPr>
        <w:t>占支出预算总额的</w:t>
      </w:r>
      <w:r>
        <w:rPr>
          <w:rFonts w:ascii="仿宋_GB2312" w:hAnsi="仿宋" w:eastAsia="仿宋_GB2312" w:cs="仿宋"/>
          <w:sz w:val="28"/>
          <w:szCs w:val="28"/>
        </w:rPr>
        <w:t>100%</w:t>
      </w:r>
    </w:p>
    <w:p>
      <w:pPr>
        <w:spacing w:line="6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其中：工资福利支出</w:t>
      </w:r>
      <w:r>
        <w:rPr>
          <w:rFonts w:hint="eastAsia" w:ascii="仿宋_GB2312" w:hAnsi="仿宋" w:eastAsia="仿宋_GB2312" w:cs="仿宋"/>
          <w:sz w:val="28"/>
          <w:szCs w:val="28"/>
          <w:lang w:val="en-US" w:eastAsia="zh-CN"/>
        </w:rPr>
        <w:t>254.7</w:t>
      </w:r>
      <w:r>
        <w:rPr>
          <w:rFonts w:hint="eastAsia" w:ascii="仿宋_GB2312" w:hAnsi="仿宋" w:eastAsia="仿宋_GB2312" w:cs="仿宋"/>
          <w:sz w:val="28"/>
          <w:szCs w:val="28"/>
        </w:rPr>
        <w:t>万元；</w:t>
      </w:r>
    </w:p>
    <w:p>
      <w:pPr>
        <w:spacing w:line="660" w:lineRule="exact"/>
        <w:ind w:firstLine="560" w:firstLineChars="200"/>
        <w:rPr>
          <w:rFonts w:hint="eastAsia" w:ascii="仿宋_GB2312" w:hAnsi="仿宋" w:eastAsia="仿宋_GB2312" w:cs="仿宋"/>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rPr>
        <w:t>商品和服务支出</w:t>
      </w:r>
      <w:r>
        <w:rPr>
          <w:rFonts w:hint="eastAsia" w:ascii="仿宋_GB2312" w:hAnsi="仿宋" w:eastAsia="仿宋_GB2312" w:cs="仿宋"/>
          <w:sz w:val="28"/>
          <w:szCs w:val="28"/>
          <w:lang w:val="en-US" w:eastAsia="zh-CN"/>
        </w:rPr>
        <w:t>316</w:t>
      </w:r>
      <w:r>
        <w:rPr>
          <w:rFonts w:hint="eastAsia" w:ascii="仿宋_GB2312" w:hAnsi="仿宋" w:eastAsia="仿宋_GB2312" w:cs="仿宋"/>
          <w:sz w:val="28"/>
          <w:szCs w:val="28"/>
        </w:rPr>
        <w:t>万元；</w:t>
      </w:r>
    </w:p>
    <w:p>
      <w:pPr>
        <w:spacing w:line="660" w:lineRule="exact"/>
        <w:ind w:firstLine="560" w:firstLineChars="20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      对个人和家庭补助支出1万元。</w:t>
      </w:r>
    </w:p>
    <w:p>
      <w:pPr>
        <w:spacing w:line="660" w:lineRule="exact"/>
        <w:ind w:firstLine="551" w:firstLineChars="196"/>
        <w:rPr>
          <w:rFonts w:ascii="仿宋_GB2312" w:hAnsi="仿宋" w:eastAsia="仿宋_GB2312" w:cs="仿宋"/>
          <w:b/>
          <w:sz w:val="28"/>
          <w:szCs w:val="28"/>
        </w:rPr>
      </w:pPr>
      <w:r>
        <w:rPr>
          <w:rFonts w:hint="eastAsia" w:ascii="仿宋_GB2312" w:hAnsi="仿宋" w:eastAsia="仿宋_GB2312" w:cs="仿宋"/>
          <w:b/>
          <w:sz w:val="28"/>
          <w:szCs w:val="28"/>
        </w:rPr>
        <w:t>（</w:t>
      </w:r>
      <w:r>
        <w:rPr>
          <w:rFonts w:hint="eastAsia" w:ascii="仿宋_GB2312" w:hAnsi="仿宋" w:eastAsia="仿宋_GB2312" w:cs="仿宋"/>
          <w:b/>
          <w:sz w:val="28"/>
          <w:szCs w:val="28"/>
          <w:lang w:val="en-US" w:eastAsia="zh-CN"/>
        </w:rPr>
        <w:t>三</w:t>
      </w:r>
      <w:r>
        <w:rPr>
          <w:rFonts w:hint="eastAsia" w:ascii="仿宋_GB2312" w:hAnsi="仿宋" w:eastAsia="仿宋_GB2312" w:cs="仿宋"/>
          <w:b/>
          <w:sz w:val="28"/>
          <w:szCs w:val="28"/>
        </w:rPr>
        <w:t>）政府采购预算</w:t>
      </w:r>
    </w:p>
    <w:p>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年政府采购预算为</w:t>
      </w:r>
      <w:r>
        <w:rPr>
          <w:rFonts w:ascii="仿宋_GB2312" w:hAnsi="仿宋" w:eastAsia="仿宋_GB2312" w:cs="仿宋"/>
          <w:sz w:val="28"/>
          <w:szCs w:val="28"/>
        </w:rPr>
        <w:t>27</w:t>
      </w:r>
      <w:r>
        <w:rPr>
          <w:rFonts w:hint="eastAsia" w:ascii="仿宋_GB2312" w:hAnsi="仿宋" w:eastAsia="仿宋_GB2312" w:cs="仿宋"/>
          <w:sz w:val="28"/>
          <w:szCs w:val="28"/>
        </w:rPr>
        <w:t>万元，其中：部门集中采购</w:t>
      </w:r>
      <w:r>
        <w:rPr>
          <w:rFonts w:ascii="仿宋_GB2312" w:hAnsi="仿宋" w:eastAsia="仿宋_GB2312" w:cs="仿宋"/>
          <w:sz w:val="28"/>
          <w:szCs w:val="28"/>
        </w:rPr>
        <w:t>27</w:t>
      </w:r>
      <w:r>
        <w:rPr>
          <w:rFonts w:hint="eastAsia" w:ascii="仿宋_GB2312" w:hAnsi="仿宋" w:eastAsia="仿宋_GB2312" w:cs="仿宋"/>
          <w:sz w:val="28"/>
          <w:szCs w:val="28"/>
        </w:rPr>
        <w:t>万元。</w:t>
      </w:r>
    </w:p>
    <w:p>
      <w:pPr>
        <w:spacing w:line="660" w:lineRule="exact"/>
        <w:ind w:firstLine="551" w:firstLineChars="196"/>
        <w:rPr>
          <w:rFonts w:ascii="仿宋_GB2312" w:hAnsi="仿宋" w:eastAsia="仿宋_GB2312" w:cs="仿宋"/>
          <w:b/>
          <w:sz w:val="28"/>
          <w:szCs w:val="28"/>
        </w:rPr>
      </w:pPr>
      <w:r>
        <w:rPr>
          <w:rFonts w:hint="eastAsia" w:ascii="仿宋_GB2312" w:hAnsi="仿宋" w:eastAsia="仿宋_GB2312" w:cs="仿宋"/>
          <w:b/>
          <w:sz w:val="28"/>
          <w:szCs w:val="28"/>
        </w:rPr>
        <w:t>（</w:t>
      </w:r>
      <w:r>
        <w:rPr>
          <w:rFonts w:hint="eastAsia" w:ascii="仿宋_GB2312" w:hAnsi="仿宋" w:eastAsia="仿宋_GB2312" w:cs="仿宋"/>
          <w:b/>
          <w:sz w:val="28"/>
          <w:szCs w:val="28"/>
          <w:lang w:val="en-US" w:eastAsia="zh-CN"/>
        </w:rPr>
        <w:t>四</w:t>
      </w:r>
      <w:r>
        <w:rPr>
          <w:rFonts w:hint="eastAsia" w:ascii="仿宋_GB2312" w:hAnsi="仿宋" w:eastAsia="仿宋_GB2312" w:cs="仿宋"/>
          <w:b/>
          <w:sz w:val="28"/>
          <w:szCs w:val="28"/>
        </w:rPr>
        <w:t>）“三公”经费支出预算</w:t>
      </w:r>
    </w:p>
    <w:p>
      <w:pPr>
        <w:ind w:firstLine="640"/>
        <w:rPr>
          <w:rFonts w:ascii="仿宋_GB2312" w:hAnsi="仿宋" w:eastAsia="仿宋_GB2312" w:cs="仿宋"/>
          <w:sz w:val="28"/>
          <w:szCs w:val="28"/>
        </w:rPr>
      </w:pPr>
      <w:r>
        <w:rPr>
          <w:rFonts w:ascii="仿宋_GB2312" w:hAnsi="仿宋" w:eastAsia="仿宋_GB2312" w:cs="仿宋"/>
          <w:sz w:val="28"/>
          <w:szCs w:val="28"/>
        </w:rPr>
        <w:t>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年安排的“三公”经费支出预算为</w:t>
      </w:r>
      <w:r>
        <w:rPr>
          <w:rFonts w:hint="eastAsia" w:ascii="仿宋_GB2312" w:hAnsi="仿宋" w:eastAsia="仿宋_GB2312" w:cs="仿宋"/>
          <w:sz w:val="28"/>
          <w:szCs w:val="28"/>
          <w:lang w:val="en-US" w:eastAsia="zh-CN"/>
        </w:rPr>
        <w:t>4.71</w:t>
      </w:r>
      <w:r>
        <w:rPr>
          <w:rFonts w:hint="eastAsia" w:ascii="仿宋_GB2312" w:hAnsi="仿宋" w:eastAsia="仿宋_GB2312" w:cs="仿宋"/>
          <w:sz w:val="28"/>
          <w:szCs w:val="28"/>
        </w:rPr>
        <w:t>万元，其中：因公出国（境）费用</w:t>
      </w:r>
      <w:r>
        <w:rPr>
          <w:rFonts w:ascii="仿宋_GB2312" w:hAnsi="仿宋" w:eastAsia="仿宋_GB2312" w:cs="仿宋"/>
          <w:sz w:val="28"/>
          <w:szCs w:val="28"/>
        </w:rPr>
        <w:t>0</w:t>
      </w:r>
      <w:r>
        <w:rPr>
          <w:rFonts w:hint="eastAsia" w:ascii="仿宋_GB2312" w:hAnsi="仿宋" w:eastAsia="仿宋_GB2312" w:cs="仿宋"/>
          <w:sz w:val="28"/>
          <w:szCs w:val="28"/>
        </w:rPr>
        <w:t>万元、公务接待费</w:t>
      </w:r>
      <w:r>
        <w:rPr>
          <w:rFonts w:hint="eastAsia" w:ascii="仿宋_GB2312" w:hAnsi="仿宋" w:eastAsia="仿宋_GB2312" w:cs="仿宋"/>
          <w:sz w:val="28"/>
          <w:szCs w:val="28"/>
          <w:lang w:val="en-US" w:eastAsia="zh-CN"/>
        </w:rPr>
        <w:t>4.71</w:t>
      </w:r>
      <w:r>
        <w:rPr>
          <w:rFonts w:hint="eastAsia" w:ascii="仿宋_GB2312" w:hAnsi="仿宋" w:eastAsia="仿宋_GB2312" w:cs="仿宋"/>
          <w:sz w:val="28"/>
          <w:szCs w:val="28"/>
        </w:rPr>
        <w:t>万元、公务用车购置及运行费</w:t>
      </w:r>
      <w:r>
        <w:rPr>
          <w:rFonts w:ascii="仿宋_GB2312" w:hAnsi="仿宋" w:eastAsia="仿宋_GB2312" w:cs="仿宋"/>
          <w:sz w:val="28"/>
          <w:szCs w:val="28"/>
        </w:rPr>
        <w:t>0</w:t>
      </w:r>
      <w:r>
        <w:rPr>
          <w:rFonts w:hint="eastAsia" w:ascii="仿宋_GB2312" w:hAnsi="仿宋" w:eastAsia="仿宋_GB2312" w:cs="仿宋"/>
          <w:sz w:val="28"/>
          <w:szCs w:val="28"/>
        </w:rPr>
        <w:t>万元。</w:t>
      </w:r>
      <w:r>
        <w:rPr>
          <w:rFonts w:hint="eastAsia" w:ascii="仿宋_GB2312" w:hAnsi="仿宋_GB2312" w:eastAsia="仿宋_GB2312" w:cs="仿宋_GB2312"/>
          <w:sz w:val="28"/>
          <w:szCs w:val="28"/>
        </w:rPr>
        <w:t>公务接待费</w:t>
      </w:r>
      <w:r>
        <w:rPr>
          <w:rFonts w:hint="eastAsia" w:ascii="仿宋_GB2312" w:hAnsi="仿宋_GB2312" w:eastAsia="仿宋_GB2312" w:cs="仿宋_GB2312"/>
          <w:sz w:val="28"/>
          <w:szCs w:val="28"/>
          <w:lang w:val="en-US" w:eastAsia="zh-CN"/>
        </w:rPr>
        <w:t>减少</w:t>
      </w:r>
      <w:r>
        <w:rPr>
          <w:rFonts w:hint="eastAsia" w:ascii="仿宋_GB2312" w:hAnsi="仿宋_GB2312" w:eastAsia="仿宋_GB2312" w:cs="仿宋_GB2312"/>
          <w:sz w:val="28"/>
          <w:szCs w:val="28"/>
        </w:rPr>
        <w:t>了</w:t>
      </w:r>
      <w:r>
        <w:rPr>
          <w:rFonts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1</w:t>
      </w:r>
      <w:bookmarkStart w:id="0" w:name="_GoBack"/>
      <w:bookmarkEnd w:id="0"/>
      <w:r>
        <w:rPr>
          <w:rFonts w:hint="eastAsia" w:ascii="仿宋_GB2312" w:hAnsi="仿宋_GB2312" w:eastAsia="仿宋_GB2312" w:cs="仿宋_GB2312"/>
          <w:sz w:val="28"/>
          <w:szCs w:val="28"/>
        </w:rPr>
        <w:t>万元，较上年</w:t>
      </w:r>
      <w:r>
        <w:rPr>
          <w:rFonts w:hint="eastAsia" w:ascii="仿宋_GB2312" w:hAnsi="仿宋_GB2312" w:eastAsia="仿宋_GB2312" w:cs="仿宋_GB2312"/>
          <w:sz w:val="28"/>
          <w:szCs w:val="28"/>
          <w:lang w:val="en-US" w:eastAsia="zh-CN"/>
        </w:rPr>
        <w:t>减少2</w:t>
      </w:r>
      <w:r>
        <w:rPr>
          <w:rFonts w:hint="eastAsia" w:ascii="仿宋_GB2312" w:hAnsi="仿宋_GB2312" w:eastAsia="仿宋_GB2312" w:cs="仿宋_GB2312"/>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826A4"/>
    <w:rsid w:val="20A826A4"/>
    <w:rsid w:val="5EEA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2020-12-02T01:09:00Z</dcterms:created>
  <dc:creator>杨宜斌</dc:creator>
  <cp:lastModifiedBy>杨宜斌</cp:lastModifiedBy>
  <dcterms:modified xsi:type="dcterms:W3CDTF">2021-03-09T07:51:19Z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