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景德镇市</w:t>
      </w:r>
      <w:r>
        <w:rPr>
          <w:rFonts w:hint="eastAsia" w:ascii="方正小标宋简体" w:hAnsi="方正小标宋简体" w:eastAsia="方正小标宋简体" w:cs="方正小标宋简体"/>
          <w:b w:val="0"/>
          <w:bCs/>
          <w:sz w:val="44"/>
          <w:szCs w:val="44"/>
          <w:lang w:eastAsia="zh-CN"/>
        </w:rPr>
        <w:t>珠山区委办公室</w:t>
      </w:r>
      <w:r>
        <w:rPr>
          <w:rFonts w:hint="eastAsia" w:ascii="方正小标宋简体" w:hAnsi="方正小标宋简体" w:eastAsia="方正小标宋简体" w:cs="方正小标宋简体"/>
          <w:b w:val="0"/>
          <w:bCs/>
          <w:sz w:val="44"/>
          <w:szCs w:val="44"/>
          <w:lang w:val="en-US" w:eastAsia="zh-CN"/>
        </w:rPr>
        <w:t>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一、部门主要职责</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eastAsia="zh-CN"/>
        </w:rPr>
        <w:t>景德镇市珠山区委办公室</w:t>
      </w:r>
      <w:r>
        <w:rPr>
          <w:rFonts w:hint="eastAsia" w:ascii="仿宋_GB2312" w:hAnsi="仿宋_GB2312" w:eastAsia="仿宋_GB2312" w:cs="仿宋_GB2312"/>
          <w:color w:val="auto"/>
          <w:sz w:val="28"/>
          <w:szCs w:val="28"/>
          <w:highlight w:val="none"/>
          <w:shd w:val="clear" w:color="auto" w:fill="auto"/>
        </w:rPr>
        <w:t>主要职责是：</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bookmarkStart w:id="2" w:name="_GoBack"/>
      <w:bookmarkEnd w:id="2"/>
      <w:r>
        <w:rPr>
          <w:rFonts w:hint="eastAsia" w:ascii="仿宋_GB2312" w:hAnsi="仿宋_GB2312" w:eastAsia="仿宋_GB2312" w:cs="仿宋_GB2312"/>
          <w:color w:val="auto"/>
          <w:sz w:val="28"/>
          <w:szCs w:val="28"/>
          <w:highlight w:val="none"/>
          <w:shd w:val="clear" w:color="auto" w:fill="auto"/>
        </w:rPr>
        <w:t>（一）协助区委领导处理日常工作，完成好领导交办的事，为区委领导决策和决策的贯彻实施当好参谋助手。</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（二）做好日常文书处理，公文拟稿、审核、制发和档案管理工作，负责或参与区委重要会议材料、领导讲话和区委重要文件的起草工作。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（三）承办上级规定汇报贯彻落实和区委决定事项以及领导同志批示的查办、催办工作，做好党的路线、方针、政策和落实的督促和检查。</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（四）搞好调查研究，做好信息的收集、综合、编撰工作，向上级党委报送重要信息，为领导提供及时、准确、有效的信息和决策服务。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（五）承担区委国家安全委员会办公室日常工作。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（六）承担区委全面深化改革委员会办公室日常工作。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（七）负责全区对台工作，开展对台宣传、搞好台胞接待工作。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（八）履行全区档案工作行政管理职能，对全区行政区域内机关、团体、企事业单位和其他组织的档案工作实行监督和指导。</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（九）负责区委党委会、书记办公会、区委全委会、区委常委会等会议的会务工作；负责或参与区委接待的内外来客来访接待工作；负责区委办公室的财务等行政事务管理，做好服务工作。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（十）负责对全区党委办公部门有关业务工作的联系和指导。</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（十一）完成区委交办的其他工作任务。</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二、部门2021年主要工作任务</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景德镇市珠山区委办公室2021年的主要工作任务是：</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一）进一步提升文会质量。在区委的指导下在文字方面加强学习锻炼，重点在撰写、提炼、审核等方面把好关，不断提高文稿质量；严格规范办文程序，加快公文运转，提升办事效率；严格控制会议规模、次数和程序，提高会议实效，高质量服务完善信息报送考核办法，加快信息传递速度，拓宽信息报送渠道，提升信息工作质量。</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二）进一步发挥督查作用。在全面完成上级党委督查工作任务的同时，加强区级督查的次数，提高督查精准度，不断扩大成果运用。重点抓好区委常委会、区委全会等会议决定事项和区委主要领导批示交办事项办理情况的督查落实，抓好全区中心工作的专题督查、实地复核和重点办理事项的督促落实，进一步提高执行力，确保区委、区政府重大部署落到实处。</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三）进一步改进工作作风。结合办公室“中枢”特点，持之以恒抓好作风建设。一是强化学习。提高政治站位，不断强化党的理论学习，深入贯彻落实好党的十九大及十九届二次、三次、四次、五次全会精神，以习近平新时代中国特色社会主义思想为指导思想，做到上下同频共振，步调一致。二是敢于担当。敢于攻坚，勇于担责，以严谨务实、积极主动的工作作风和热情细致的服务态度，为全区各部门、各单位树立标杆。三是严守纪律。进一步强化纪律意识和规矩意识，严守党的规章制度和廉洁规定，为擦亮国际瓷都对话世界的窗口作出新的、更大的贡献。</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三、部门基本情况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景德镇市珠山区委办公室共有预算单位１个，包括部门本级。编制数为11人，其中行政编制11人、全额补助事业编制0人、部分补助事业编制0人；实有人数13人，其中在职人数为13人，包括行政人员13人、全额补助事业人员0人、部分补助事业编人员0人；离休人员0人；退休人员8人。</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w:t>
      </w:r>
      <w:r>
        <w:rPr>
          <w:rFonts w:hint="eastAsia" w:ascii="黑体" w:hAnsi="黑体" w:eastAsia="黑体" w:cs="黑体"/>
          <w:b/>
          <w:color w:val="auto"/>
          <w:sz w:val="28"/>
          <w:szCs w:val="28"/>
          <w:highlight w:val="none"/>
          <w:shd w:val="clear" w:color="auto" w:fill="auto"/>
          <w:lang w:val="en-US" w:eastAsia="zh-CN"/>
        </w:rPr>
        <w:t>2021年</w:t>
      </w:r>
      <w:r>
        <w:rPr>
          <w:rFonts w:hint="eastAsia" w:ascii="黑体" w:hAnsi="黑体" w:eastAsia="黑体" w:cs="黑体"/>
          <w:b/>
          <w:color w:val="auto"/>
          <w:sz w:val="28"/>
          <w:szCs w:val="28"/>
          <w:highlight w:val="none"/>
          <w:shd w:val="clear" w:color="auto" w:fill="auto"/>
        </w:rPr>
        <w:t>部门预算收支情况说明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年景德镇市珠山区委办公室</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342.1</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与上年预算相比增加了</w:t>
      </w:r>
      <w:r>
        <w:rPr>
          <w:rFonts w:hint="eastAsia" w:ascii="仿宋_GB2312" w:hAnsi="仿宋_GB2312" w:eastAsia="仿宋_GB2312" w:cs="仿宋_GB2312"/>
          <w:color w:val="auto"/>
          <w:sz w:val="28"/>
          <w:szCs w:val="28"/>
          <w:highlight w:val="none"/>
          <w:shd w:val="clear" w:color="auto" w:fill="auto"/>
          <w:lang w:val="en-US" w:eastAsia="zh-CN"/>
        </w:rPr>
        <w:t>25.91 %，主要原因：人员增加。</w:t>
      </w:r>
      <w:r>
        <w:rPr>
          <w:rFonts w:hint="eastAsia" w:ascii="仿宋_GB2312" w:hAnsi="仿宋_GB2312" w:eastAsia="仿宋_GB2312" w:cs="仿宋_GB2312"/>
          <w:color w:val="auto"/>
          <w:sz w:val="28"/>
          <w:szCs w:val="28"/>
          <w:highlight w:val="none"/>
          <w:shd w:val="clear" w:color="auto" w:fill="auto"/>
        </w:rPr>
        <w:t>其中：当年财政拨款收入</w:t>
      </w:r>
      <w:r>
        <w:rPr>
          <w:rFonts w:hint="eastAsia" w:ascii="仿宋_GB2312" w:hAnsi="仿宋_GB2312" w:eastAsia="仿宋_GB2312" w:cs="仿宋_GB2312"/>
          <w:color w:val="auto"/>
          <w:sz w:val="28"/>
          <w:szCs w:val="28"/>
          <w:highlight w:val="none"/>
          <w:shd w:val="clear" w:color="auto" w:fill="auto"/>
          <w:lang w:val="en-US" w:eastAsia="zh-CN"/>
        </w:rPr>
        <w:t>342.1</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eastAsia="zh-CN"/>
        </w:rPr>
        <w:t>０</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eastAsia="zh-CN"/>
        </w:rPr>
        <w:t>０</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年景德镇市珠山区委办公室</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342.1</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与上年预算相比增加了</w:t>
      </w:r>
      <w:r>
        <w:rPr>
          <w:rFonts w:hint="eastAsia" w:ascii="仿宋_GB2312" w:hAnsi="仿宋_GB2312" w:eastAsia="仿宋_GB2312" w:cs="仿宋_GB2312"/>
          <w:color w:val="auto"/>
          <w:sz w:val="28"/>
          <w:szCs w:val="28"/>
          <w:highlight w:val="none"/>
          <w:shd w:val="clear" w:color="auto" w:fill="auto"/>
          <w:lang w:val="en-US" w:eastAsia="zh-CN"/>
        </w:rPr>
        <w:t>25.91%，主要原因：人员增加。</w:t>
      </w:r>
      <w:r>
        <w:rPr>
          <w:rFonts w:hint="eastAsia" w:ascii="仿宋_GB2312" w:hAnsi="仿宋_GB2312" w:eastAsia="仿宋_GB2312" w:cs="仿宋_GB2312"/>
          <w:color w:val="auto"/>
          <w:sz w:val="28"/>
          <w:szCs w:val="28"/>
          <w:highlight w:val="none"/>
          <w:shd w:val="clear" w:color="auto" w:fill="auto"/>
        </w:rPr>
        <w:t>其中：按支出项目类别划分：基本支出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342.1</w:t>
      </w:r>
      <w:r>
        <w:rPr>
          <w:rFonts w:hint="eastAsia" w:ascii="仿宋_GB2312" w:hAnsi="仿宋_GB2312" w:eastAsia="仿宋_GB2312" w:cs="仿宋_GB2312"/>
          <w:color w:val="auto"/>
          <w:sz w:val="28"/>
          <w:szCs w:val="28"/>
          <w:highlight w:val="none"/>
          <w:shd w:val="clear" w:color="auto" w:fill="auto"/>
        </w:rPr>
        <w:t>万元，</w:t>
      </w:r>
      <w:bookmarkStart w:id="0" w:name="OLE_LINK1"/>
      <w:r>
        <w:rPr>
          <w:rFonts w:hint="eastAsia" w:ascii="仿宋_GB2312" w:hAnsi="仿宋_GB2312" w:eastAsia="仿宋_GB2312" w:cs="仿宋_GB2312"/>
          <w:color w:val="auto"/>
          <w:sz w:val="28"/>
          <w:szCs w:val="28"/>
          <w:highlight w:val="none"/>
          <w:shd w:val="clear" w:color="auto" w:fill="auto"/>
        </w:rPr>
        <w:t>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bookmarkEnd w:id="0"/>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157.4</w:t>
      </w:r>
      <w:r>
        <w:rPr>
          <w:rFonts w:hint="eastAsia" w:ascii="仿宋_GB2312" w:hAnsi="仿宋_GB2312" w:eastAsia="仿宋_GB2312" w:cs="仿宋_GB2312"/>
          <w:color w:val="auto"/>
          <w:sz w:val="28"/>
          <w:szCs w:val="28"/>
          <w:highlight w:val="none"/>
          <w:shd w:val="clear" w:color="auto" w:fill="auto"/>
        </w:rPr>
        <w:t>万元、</w:t>
      </w:r>
      <w:bookmarkStart w:id="1" w:name="OLE_LINK2"/>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184.6</w:t>
      </w:r>
      <w:r>
        <w:rPr>
          <w:rFonts w:hint="eastAsia" w:ascii="仿宋_GB2312" w:hAnsi="仿宋_GB2312" w:eastAsia="仿宋_GB2312" w:cs="仿宋_GB2312"/>
          <w:color w:val="auto"/>
          <w:sz w:val="28"/>
          <w:szCs w:val="28"/>
          <w:highlight w:val="none"/>
          <w:shd w:val="clear" w:color="auto" w:fill="auto"/>
        </w:rPr>
        <w:t>万元</w:t>
      </w:r>
      <w:bookmarkEnd w:id="1"/>
      <w:r>
        <w:rPr>
          <w:rFonts w:hint="eastAsia" w:ascii="仿宋_GB2312" w:hAnsi="仿宋_GB2312" w:eastAsia="仿宋_GB2312" w:cs="仿宋_GB2312"/>
          <w:color w:val="auto"/>
          <w:sz w:val="28"/>
          <w:szCs w:val="28"/>
          <w:highlight w:val="none"/>
          <w:shd w:val="clear" w:color="auto" w:fill="auto"/>
        </w:rPr>
        <w:t>，对个人和家庭补助支出</w:t>
      </w:r>
      <w:r>
        <w:rPr>
          <w:rFonts w:hint="eastAsia" w:ascii="仿宋_GB2312" w:hAnsi="仿宋_GB2312" w:eastAsia="仿宋_GB2312" w:cs="仿宋_GB2312"/>
          <w:color w:val="auto"/>
          <w:sz w:val="28"/>
          <w:szCs w:val="28"/>
          <w:highlight w:val="none"/>
          <w:shd w:val="clear" w:color="auto" w:fill="auto"/>
          <w:lang w:val="en-US" w:eastAsia="zh-CN"/>
        </w:rPr>
        <w:t>0.1万元。</w:t>
      </w:r>
    </w:p>
    <w:p>
      <w:pPr>
        <w:spacing w:line="570" w:lineRule="exact"/>
        <w:ind w:firstLine="560" w:firstLineChars="200"/>
        <w:rPr>
          <w:rFonts w:hint="default"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按支出功能项目科目划分：一般公共服务</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306.15</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万元，占支出预算总额的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89.49</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%；社会保障和就业支出</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19.38</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万元，占支出预算总额的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5.67</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%；医疗卫生与计划生育支出</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5.41</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万元，占支出预算总额的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1.58</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%；住房保障支出</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11.16万元，占支出预算总额的3.26%。</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157.4</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46.01</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商品和服务支出184.6万元，占支出预算总额的53.96%,对个有和家庭补助支出0.1万元，占支出预算总额的0.03%。</w:t>
      </w:r>
    </w:p>
    <w:p>
      <w:pPr>
        <w:ind w:firstLine="422" w:firstLineChars="150"/>
        <w:rPr>
          <w:rFonts w:hint="default" w:ascii="楷体_GB2312" w:hAnsi="楷体_GB2312" w:eastAsia="楷体_GB2312" w:cs="楷体_GB2312"/>
          <w:b/>
          <w:color w:val="auto"/>
          <w:sz w:val="28"/>
          <w:szCs w:val="28"/>
          <w:highlight w:val="none"/>
          <w:shd w:val="clear" w:color="auto" w:fill="auto"/>
          <w:lang w:val="en-US"/>
        </w:rPr>
      </w:pPr>
      <w:r>
        <w:rPr>
          <w:rFonts w:hint="eastAsia" w:ascii="楷体_GB2312" w:hAnsi="楷体_GB2312" w:eastAsia="楷体_GB2312" w:cs="楷体_GB2312"/>
          <w:b/>
          <w:color w:val="auto"/>
          <w:sz w:val="28"/>
          <w:szCs w:val="28"/>
          <w:highlight w:val="none"/>
          <w:shd w:val="clear" w:color="auto" w:fill="auto"/>
          <w:lang w:val="en-US" w:eastAsia="zh-CN"/>
        </w:rPr>
        <w:t>(</w:t>
      </w:r>
      <w:r>
        <w:rPr>
          <w:rFonts w:hint="eastAsia" w:ascii="楷体_GB2312" w:hAnsi="楷体_GB2312" w:eastAsia="楷体_GB2312" w:cs="楷体_GB2312"/>
          <w:b/>
          <w:color w:val="auto"/>
          <w:sz w:val="28"/>
          <w:szCs w:val="28"/>
          <w:highlight w:val="none"/>
          <w:shd w:val="clear" w:color="auto" w:fill="auto"/>
          <w:lang w:eastAsia="zh-CN"/>
        </w:rPr>
        <w:t>三）经费拨款支出情况</w:t>
      </w: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spacing w:line="57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年景德镇市珠山区委办公室</w:t>
      </w:r>
      <w:r>
        <w:rPr>
          <w:rFonts w:hint="eastAsia" w:ascii="仿宋_GB2312" w:hAnsi="仿宋_GB2312" w:eastAsia="仿宋_GB2312" w:cs="仿宋_GB2312"/>
          <w:color w:val="auto"/>
          <w:sz w:val="28"/>
          <w:szCs w:val="28"/>
          <w:highlight w:val="none"/>
          <w:shd w:val="clear" w:color="auto" w:fill="auto"/>
        </w:rPr>
        <w:t>经费拨款支出预算</w:t>
      </w:r>
      <w:r>
        <w:rPr>
          <w:rFonts w:hint="eastAsia" w:ascii="仿宋_GB2312" w:hAnsi="仿宋_GB2312" w:eastAsia="仿宋_GB2312" w:cs="仿宋_GB2312"/>
          <w:color w:val="auto"/>
          <w:sz w:val="28"/>
          <w:szCs w:val="28"/>
          <w:highlight w:val="none"/>
          <w:shd w:val="clear" w:color="auto" w:fill="auto"/>
          <w:lang w:val="en-US" w:eastAsia="zh-CN"/>
        </w:rPr>
        <w:t>342.1</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与上年预算相比增加了</w:t>
      </w:r>
      <w:r>
        <w:rPr>
          <w:rFonts w:hint="eastAsia" w:ascii="仿宋_GB2312" w:hAnsi="仿宋_GB2312" w:eastAsia="仿宋_GB2312" w:cs="仿宋_GB2312"/>
          <w:color w:val="auto"/>
          <w:sz w:val="28"/>
          <w:szCs w:val="28"/>
          <w:highlight w:val="none"/>
          <w:shd w:val="clear" w:color="auto" w:fill="auto"/>
          <w:lang w:val="en-US" w:eastAsia="zh-CN"/>
        </w:rPr>
        <w:t>25.91 %，主要原因：人员增加。</w:t>
      </w:r>
      <w:r>
        <w:rPr>
          <w:rFonts w:hint="eastAsia" w:ascii="仿宋_GB2312" w:hAnsi="仿宋_GB2312" w:eastAsia="仿宋_GB2312" w:cs="仿宋_GB2312"/>
          <w:color w:val="auto"/>
          <w:sz w:val="28"/>
          <w:szCs w:val="28"/>
          <w:highlight w:val="none"/>
          <w:shd w:val="clear" w:color="auto" w:fill="auto"/>
        </w:rPr>
        <w:t>具体支出情况是：</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党委办公厅（室）及相关机构事务</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306.15</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万元，占经费拨款支出的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89.49</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对机关事业单位基本养老保险基金的补助</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19.38</w:t>
      </w:r>
      <w:r>
        <w:rPr>
          <w:rFonts w:hint="eastAsia" w:ascii="仿宋_GB2312" w:hAnsi="仿宋_GB2312" w:eastAsia="仿宋_GB2312" w:cs="仿宋_GB2312"/>
          <w:color w:val="000000" w:themeColor="text1"/>
          <w:sz w:val="28"/>
          <w:szCs w:val="28"/>
          <w14:textFill>
            <w14:solidFill>
              <w14:schemeClr w14:val="tx1"/>
            </w14:solidFill>
          </w14:textFill>
        </w:rPr>
        <w:t>万元，占经费拨款支出的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5.67</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；行政单位医疗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5.41</w:t>
      </w:r>
      <w:r>
        <w:rPr>
          <w:rFonts w:hint="eastAsia" w:ascii="仿宋_GB2312" w:hAnsi="仿宋_GB2312" w:eastAsia="仿宋_GB2312" w:cs="仿宋_GB2312"/>
          <w:color w:val="000000" w:themeColor="text1"/>
          <w:sz w:val="28"/>
          <w:szCs w:val="28"/>
          <w14:textFill>
            <w14:solidFill>
              <w14:schemeClr w14:val="tx1"/>
            </w14:solidFill>
          </w14:textFill>
        </w:rPr>
        <w:t>万元，占经费拨款支出</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1.58</w:t>
      </w:r>
      <w:r>
        <w:rPr>
          <w:rFonts w:hint="eastAsia" w:ascii="仿宋_GB2312" w:hAnsi="仿宋_GB2312" w:eastAsia="仿宋_GB2312" w:cs="仿宋_GB2312"/>
          <w:color w:val="000000" w:themeColor="text1"/>
          <w:sz w:val="28"/>
          <w:szCs w:val="28"/>
          <w14:textFill>
            <w14:solidFill>
              <w14:schemeClr w14:val="tx1"/>
            </w14:solidFill>
          </w14:textFill>
        </w:rPr>
        <w:t>%； 住房公积金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11.16</w:t>
      </w:r>
      <w:r>
        <w:rPr>
          <w:rFonts w:hint="eastAsia" w:ascii="仿宋_GB2312" w:hAnsi="仿宋_GB2312" w:eastAsia="仿宋_GB2312" w:cs="仿宋_GB2312"/>
          <w:color w:val="000000" w:themeColor="text1"/>
          <w:sz w:val="28"/>
          <w:szCs w:val="28"/>
          <w14:textFill>
            <w14:solidFill>
              <w14:schemeClr w14:val="tx1"/>
            </w14:solidFill>
          </w14:textFill>
        </w:rPr>
        <w:t>万元，占经费拨款支出</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3.26</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（四）政府采购预算情况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年政府采购预算支出</w:t>
      </w:r>
      <w:r>
        <w:rPr>
          <w:rFonts w:hint="eastAsia" w:ascii="仿宋_GB2312" w:hAnsi="仿宋_GB2312" w:eastAsia="仿宋_GB2312" w:cs="仿宋_GB2312"/>
          <w:sz w:val="28"/>
          <w:szCs w:val="28"/>
          <w:lang w:val="en-US" w:eastAsia="zh-CN"/>
        </w:rPr>
        <w:t>107.2</w:t>
      </w:r>
      <w:r>
        <w:rPr>
          <w:rFonts w:hint="eastAsia" w:ascii="仿宋_GB2312" w:hAnsi="仿宋_GB2312" w:eastAsia="仿宋_GB2312" w:cs="仿宋_GB2312"/>
          <w:sz w:val="28"/>
          <w:szCs w:val="28"/>
        </w:rPr>
        <w:t>万元，比上年预算相比</w:t>
      </w:r>
      <w:r>
        <w:rPr>
          <w:rFonts w:hint="eastAsia" w:ascii="仿宋_GB2312" w:hAnsi="仿宋_GB2312" w:eastAsia="仿宋_GB2312" w:cs="仿宋_GB2312"/>
          <w:sz w:val="28"/>
          <w:szCs w:val="28"/>
          <w:lang w:eastAsia="zh-CN"/>
        </w:rPr>
        <w:t>增加</w:t>
      </w:r>
      <w:r>
        <w:rPr>
          <w:rFonts w:hint="eastAsia" w:ascii="仿宋_GB2312" w:hAnsi="仿宋_GB2312" w:eastAsia="仿宋_GB2312" w:cs="仿宋_GB2312"/>
          <w:sz w:val="28"/>
          <w:szCs w:val="28"/>
        </w:rPr>
        <w:t>了</w:t>
      </w:r>
      <w:r>
        <w:rPr>
          <w:rFonts w:hint="eastAsia" w:ascii="仿宋_GB2312" w:hAnsi="仿宋_GB2312" w:eastAsia="仿宋_GB2312" w:cs="仿宋_GB2312"/>
          <w:sz w:val="28"/>
          <w:szCs w:val="28"/>
          <w:lang w:val="en-US" w:eastAsia="zh-CN"/>
        </w:rPr>
        <w:t>14.9</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eastAsia="zh-CN"/>
        </w:rPr>
        <w:t>工作需要</w:t>
      </w:r>
      <w:r>
        <w:rPr>
          <w:rFonts w:hint="eastAsia" w:ascii="仿宋_GB2312" w:hAnsi="仿宋_GB2312" w:eastAsia="仿宋_GB2312" w:cs="仿宋_GB2312"/>
          <w:sz w:val="28"/>
          <w:szCs w:val="28"/>
        </w:rPr>
        <w:t>。政府购买服务无预算。</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numPr>
          <w:ilvl w:val="0"/>
          <w:numId w:val="1"/>
        </w:num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机关运行经费安排情况</w:t>
      </w:r>
    </w:p>
    <w:p>
      <w:pPr>
        <w:spacing w:line="57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年机关运行经费预算支出</w:t>
      </w:r>
      <w:r>
        <w:rPr>
          <w:rFonts w:hint="eastAsia" w:ascii="仿宋_GB2312" w:hAnsi="仿宋_GB2312" w:eastAsia="仿宋_GB2312" w:cs="仿宋_GB2312"/>
          <w:bCs/>
          <w:sz w:val="28"/>
          <w:szCs w:val="28"/>
          <w:lang w:val="en-US" w:eastAsia="zh-CN"/>
        </w:rPr>
        <w:t>158.78</w:t>
      </w:r>
      <w:r>
        <w:rPr>
          <w:rFonts w:hint="eastAsia" w:ascii="仿宋_GB2312" w:hAnsi="仿宋_GB2312" w:eastAsia="仿宋_GB2312" w:cs="仿宋_GB2312"/>
          <w:bCs/>
          <w:sz w:val="28"/>
          <w:szCs w:val="28"/>
        </w:rPr>
        <w:t>万元，与上年预算数相比</w:t>
      </w:r>
      <w:r>
        <w:rPr>
          <w:rFonts w:hint="eastAsia" w:ascii="仿宋_GB2312" w:hAnsi="仿宋_GB2312" w:eastAsia="仿宋_GB2312" w:cs="仿宋_GB2312"/>
          <w:bCs/>
          <w:sz w:val="28"/>
          <w:szCs w:val="28"/>
          <w:lang w:eastAsia="zh-CN"/>
        </w:rPr>
        <w:t>减少了</w:t>
      </w:r>
      <w:r>
        <w:rPr>
          <w:rFonts w:hint="eastAsia" w:ascii="仿宋_GB2312" w:hAnsi="仿宋_GB2312" w:eastAsia="仿宋_GB2312" w:cs="仿宋_GB2312"/>
          <w:bCs/>
          <w:sz w:val="28"/>
          <w:szCs w:val="28"/>
          <w:lang w:val="en-US" w:eastAsia="zh-CN"/>
        </w:rPr>
        <w:t>0.77</w:t>
      </w:r>
      <w:r>
        <w:rPr>
          <w:rFonts w:hint="eastAsia" w:ascii="仿宋_GB2312" w:hAnsi="仿宋_GB2312" w:eastAsia="仿宋_GB2312" w:cs="仿宋_GB2312"/>
          <w:bCs/>
          <w:sz w:val="28"/>
          <w:szCs w:val="28"/>
        </w:rPr>
        <w:t>%，主要原因是</w:t>
      </w:r>
      <w:r>
        <w:rPr>
          <w:rFonts w:hint="eastAsia" w:ascii="仿宋_GB2312" w:hAnsi="仿宋_GB2312" w:eastAsia="仿宋_GB2312" w:cs="仿宋_GB2312"/>
          <w:bCs/>
          <w:sz w:val="28"/>
          <w:szCs w:val="28"/>
          <w:lang w:eastAsia="zh-CN"/>
        </w:rPr>
        <w:t>节约开支</w:t>
      </w:r>
      <w:r>
        <w:rPr>
          <w:rFonts w:hint="eastAsia" w:ascii="仿宋_GB2312" w:hAnsi="仿宋_GB2312" w:eastAsia="仿宋_GB2312" w:cs="仿宋_GB2312"/>
          <w:bCs/>
          <w:sz w:val="28"/>
          <w:szCs w:val="28"/>
        </w:rPr>
        <w:t>。</w:t>
      </w:r>
    </w:p>
    <w:p>
      <w:pPr>
        <w:tabs>
          <w:tab w:val="left" w:pos="1113"/>
        </w:tabs>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（七）“三公”经费预算安排情况</w:t>
      </w:r>
    </w:p>
    <w:p>
      <w:pPr>
        <w:spacing w:line="57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三公</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经费预算支出为</w:t>
      </w:r>
      <w:r>
        <w:rPr>
          <w:rFonts w:hint="eastAsia" w:ascii="仿宋_GB2312" w:hAnsi="仿宋_GB2312" w:eastAsia="仿宋_GB2312" w:cs="仿宋_GB2312"/>
          <w:bCs/>
          <w:sz w:val="28"/>
          <w:szCs w:val="28"/>
          <w:lang w:val="en-US" w:eastAsia="zh-CN"/>
        </w:rPr>
        <w:t>5.24</w:t>
      </w:r>
      <w:r>
        <w:rPr>
          <w:rFonts w:hint="eastAsia" w:ascii="仿宋_GB2312" w:hAnsi="仿宋_GB2312" w:eastAsia="仿宋_GB2312" w:cs="仿宋_GB2312"/>
          <w:bCs/>
          <w:sz w:val="28"/>
          <w:szCs w:val="28"/>
        </w:rPr>
        <w:t>万元，与上年预算数相比减少了</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%，主要原因是严控控制“三公”经费支出。其中：公务接待费预算支出</w:t>
      </w:r>
      <w:r>
        <w:rPr>
          <w:rFonts w:hint="eastAsia" w:ascii="仿宋_GB2312" w:hAnsi="仿宋_GB2312" w:eastAsia="仿宋_GB2312" w:cs="仿宋_GB2312"/>
          <w:bCs/>
          <w:sz w:val="28"/>
          <w:szCs w:val="28"/>
          <w:lang w:val="en-US" w:eastAsia="zh-CN"/>
        </w:rPr>
        <w:t>5.24</w:t>
      </w:r>
      <w:r>
        <w:rPr>
          <w:rFonts w:hint="eastAsia" w:ascii="仿宋_GB2312" w:hAnsi="仿宋_GB2312" w:eastAsia="仿宋_GB2312" w:cs="仿宋_GB2312"/>
          <w:bCs/>
          <w:sz w:val="28"/>
          <w:szCs w:val="28"/>
        </w:rPr>
        <w:t>万元。</w:t>
      </w:r>
    </w:p>
    <w:p>
      <w:pPr>
        <w:spacing w:line="570" w:lineRule="exact"/>
        <w:ind w:firstLine="560" w:firstLineChars="200"/>
        <w:rPr>
          <w:rFonts w:ascii="仿宋_GB2312" w:hAnsi="仿宋_GB2312" w:eastAsia="仿宋_GB2312" w:cs="仿宋_GB2312"/>
          <w:bCs/>
          <w:sz w:val="28"/>
          <w:szCs w:val="28"/>
        </w:rPr>
      </w:pPr>
    </w:p>
    <w:p>
      <w:pPr>
        <w:spacing w:line="570" w:lineRule="exact"/>
        <w:ind w:left="560"/>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A758E2"/>
    <w:rsid w:val="02D11B25"/>
    <w:rsid w:val="03A95701"/>
    <w:rsid w:val="058C1106"/>
    <w:rsid w:val="07493A45"/>
    <w:rsid w:val="08E150F2"/>
    <w:rsid w:val="0D98781F"/>
    <w:rsid w:val="0EBD57FF"/>
    <w:rsid w:val="11F032BD"/>
    <w:rsid w:val="13532C4C"/>
    <w:rsid w:val="1FBA0CE1"/>
    <w:rsid w:val="21610368"/>
    <w:rsid w:val="25BC354F"/>
    <w:rsid w:val="278245EB"/>
    <w:rsid w:val="2E201EB5"/>
    <w:rsid w:val="2EFE2325"/>
    <w:rsid w:val="37A13162"/>
    <w:rsid w:val="3A5767BB"/>
    <w:rsid w:val="3AD3795F"/>
    <w:rsid w:val="3EB04D07"/>
    <w:rsid w:val="3F342416"/>
    <w:rsid w:val="44643B7C"/>
    <w:rsid w:val="449C3295"/>
    <w:rsid w:val="44B26E56"/>
    <w:rsid w:val="44F6361A"/>
    <w:rsid w:val="47ED7FBF"/>
    <w:rsid w:val="48196FB8"/>
    <w:rsid w:val="48DA02A5"/>
    <w:rsid w:val="4B441658"/>
    <w:rsid w:val="4C0B51A1"/>
    <w:rsid w:val="558108A2"/>
    <w:rsid w:val="5A511AFF"/>
    <w:rsid w:val="5CCE7FC2"/>
    <w:rsid w:val="5D5B07CD"/>
    <w:rsid w:val="5F6244F3"/>
    <w:rsid w:val="61441586"/>
    <w:rsid w:val="64D37477"/>
    <w:rsid w:val="65CB390C"/>
    <w:rsid w:val="6CDE6FDF"/>
    <w:rsid w:val="6D535020"/>
    <w:rsid w:val="731D47D3"/>
    <w:rsid w:val="78AB6D42"/>
    <w:rsid w:val="7A5A680F"/>
    <w:rsid w:val="7C0B41D4"/>
    <w:rsid w:val="7C1321E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1</TotalTime>
  <ScaleCrop>false</ScaleCrop>
  <LinksUpToDate>false</LinksUpToDate>
  <CharactersWithSpaces>2112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华华</cp:lastModifiedBy>
  <cp:lastPrinted>2020-01-20T01:55:00Z</cp:lastPrinted>
  <dcterms:modified xsi:type="dcterms:W3CDTF">2021-04-06T07:08:11Z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