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珠山区城市管理行政执法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局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部门预算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草案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51" w:firstLineChars="196"/>
        <w:textAlignment w:val="auto"/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一、部门主要职责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1、行使城市市容环境卫生管理方面法律、法规、规章规定的行政管理和行政处罚权；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2、行使城市园林绿化管理方面法律、法规、规章规定的行政管理和行政处罚权；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3、行使城市市政管理方面法律、法规、规章规定的行政处罚权；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4、行使城市建筑管理方面法律、法规、规章规定的未取得施工许可证和施工现场管理方面（不安全）的行政处罚权；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5、行使城市管理规划管理方面法律、法规、规章规定的行政处罚权；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6、行使工商行政管理方面法律、法规、规章规定的对占道无照经营的行政处罚权；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7、行使环境保护管理方面法律、法规、规章规定的行政管理和行政处罚权；</w:t>
      </w:r>
    </w:p>
    <w:p>
      <w:pPr>
        <w:pStyle w:val="6"/>
        <w:shd w:val="clear" w:color="auto" w:fill="FFFFFF"/>
        <w:spacing w:before="225" w:line="400" w:lineRule="exact"/>
        <w:ind w:firstLine="646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8、履行法律、法规、规章规定的其他职责；</w:t>
      </w:r>
    </w:p>
    <w:p>
      <w:pPr>
        <w:snapToGrid w:val="0"/>
        <w:spacing w:line="4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9、承办市(区)人民政府交办的其他事项。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51" w:firstLineChars="196"/>
        <w:textAlignment w:val="auto"/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二、部门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20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年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主要工作任务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珠山区城市管理行政执法局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的主要工作任务是：</w:t>
      </w:r>
      <w:r>
        <w:rPr>
          <w:rFonts w:hint="eastAsia" w:ascii="仿宋_GB2312" w:hAnsi="仿宋_GB2312" w:eastAsia="仿宋_GB2312" w:cs="仿宋_GB2312"/>
          <w:sz w:val="30"/>
          <w:szCs w:val="30"/>
        </w:rPr>
        <w:t>认真贯彻、执行国家和地方关于城市管理和城市管理行政执法的政策、法规；依法实施行政处罚，进一步推进依法行政，城管行政执法工作逐步规范化、常态化。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全面落实“双创双修”工作，</w:t>
      </w:r>
      <w:r>
        <w:rPr>
          <w:rFonts w:hint="eastAsia" w:ascii="仿宋_GB2312" w:hAnsi="仿宋_GB2312" w:eastAsia="仿宋_GB2312" w:cs="仿宋_GB2312"/>
          <w:sz w:val="30"/>
          <w:szCs w:val="30"/>
        </w:rPr>
        <w:t>加强城区“牛皮癣“治理、城区夜市的规范经营和整顿管理、禁止燃放烟花爆竹执法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、环卫一体化</w:t>
      </w:r>
      <w:r>
        <w:rPr>
          <w:rFonts w:hint="eastAsia" w:ascii="仿宋_GB2312" w:hAnsi="仿宋_GB2312" w:eastAsia="仿宋_GB2312" w:cs="仿宋_GB2312"/>
          <w:sz w:val="30"/>
          <w:szCs w:val="30"/>
        </w:rPr>
        <w:t>等工作，为我市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创建文明城市</w:t>
      </w:r>
      <w:r>
        <w:rPr>
          <w:rFonts w:hint="eastAsia" w:ascii="仿宋_GB2312" w:hAnsi="仿宋_GB2312" w:eastAsia="仿宋_GB2312" w:cs="仿宋_GB2312"/>
          <w:sz w:val="30"/>
          <w:szCs w:val="30"/>
        </w:rPr>
        <w:t>创造良好的市容秩序。日常管理常抓不懈，路段管理提标提质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，继续抓好</w:t>
      </w:r>
      <w:r>
        <w:rPr>
          <w:rFonts w:hint="eastAsia" w:ascii="仿宋_GB2312" w:hAnsi="仿宋_GB2312" w:eastAsia="仿宋_GB2312" w:cs="仿宋_GB2312"/>
          <w:sz w:val="30"/>
          <w:szCs w:val="30"/>
        </w:rPr>
        <w:t>禁止燃放烟花爆竹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、坚决有力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做好</w:t>
      </w:r>
      <w:r>
        <w:rPr>
          <w:rFonts w:hint="eastAsia" w:ascii="仿宋_GB2312" w:hAnsi="仿宋_GB2312" w:eastAsia="仿宋_GB2312" w:cs="仿宋_GB2312"/>
          <w:sz w:val="30"/>
          <w:szCs w:val="30"/>
        </w:rPr>
        <w:t>控违拆违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51" w:firstLineChars="196"/>
        <w:textAlignment w:val="auto"/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三、部门基本情况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珠山区城市管理行政执法局</w:t>
      </w:r>
      <w:r>
        <w:rPr>
          <w:rFonts w:hint="eastAsia" w:ascii="仿宋_GB2312" w:hAnsi="宋体" w:eastAsia="仿宋_GB2312" w:cs="宋体"/>
          <w:color w:val="2B2B2B"/>
          <w:kern w:val="0"/>
          <w:sz w:val="28"/>
          <w:szCs w:val="28"/>
        </w:rPr>
        <w:t>是隶属于珠区人民政府管理的</w:t>
      </w:r>
      <w:r>
        <w:rPr>
          <w:rFonts w:hint="eastAsia" w:ascii="仿宋_GB2312" w:hAnsi="宋体" w:eastAsia="仿宋_GB2312"/>
          <w:color w:val="333333"/>
          <w:sz w:val="28"/>
          <w:szCs w:val="28"/>
        </w:rPr>
        <w:t>正科级全额拨款</w:t>
      </w:r>
      <w:r>
        <w:rPr>
          <w:rFonts w:hint="eastAsia" w:ascii="仿宋_GB2312" w:hAnsi="宋体" w:eastAsia="仿宋_GB2312" w:cs="宋体"/>
          <w:color w:val="2B2B2B"/>
          <w:kern w:val="0"/>
          <w:sz w:val="28"/>
          <w:szCs w:val="28"/>
        </w:rPr>
        <w:t>事业单位</w:t>
      </w:r>
      <w:r>
        <w:rPr>
          <w:rFonts w:hint="eastAsia" w:ascii="仿宋_GB2312" w:hAnsi="宋体" w:eastAsia="仿宋_GB2312" w:cs="宋体"/>
          <w:color w:val="2B2B2B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共有预算单位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个，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单位总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编制数为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233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全额补助事业编制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233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人；实有人数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人，其中在职人数为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包括全额补助事业人员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</w:rPr>
        <w:t>参照公务员管理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</w:rPr>
        <w:t>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；退休人员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51" w:firstLineChars="196"/>
        <w:textAlignment w:val="auto"/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四、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2020年</w:t>
      </w:r>
      <w:r>
        <w:rPr>
          <w:rFonts w:hint="eastAsia" w:ascii="黑体" w:hAnsi="黑体" w:eastAsia="黑体" w:cs="黑体"/>
          <w:b/>
          <w:color w:val="auto"/>
          <w:sz w:val="28"/>
          <w:szCs w:val="28"/>
          <w:highlight w:val="none"/>
          <w:shd w:val="clear" w:color="auto" w:fill="auto"/>
        </w:rPr>
        <w:t>部门预算收支情况说明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2" w:firstLineChars="15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（一）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收入预算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年珠山区城市管理行政执法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局收入预算总额为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3811.2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与上年预算相比增加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2.85%。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其中：当年财政拨款收入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3731.2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97.9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%；政府性基金拨款收入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%；事业收入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%；事业单位经营收入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%；当年其他各项收入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%；上年结余结转收入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万元，占收入预算总额的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2" w:firstLineChars="15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（二）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支出预算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年珠山区城市管理行政执法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局支出预算总额为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3811.2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，与上年预算相比增加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2.85%，说明情况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。其中：按支出项目类别划分：基本支出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1843.75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48.38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%，包括工资福利支出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1607.68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万元、商品和服务支出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89.32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万元、对个人和家庭的补助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146.75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万元、其他资本性支出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万元；项目支出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1967.45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51.62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%，包括工资福利支出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1104.45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万元、商品和服务支出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863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.</w:t>
      </w:r>
    </w:p>
    <w:p>
      <w:pPr>
        <w:ind w:firstLine="63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按支出功能项目科目划分：</w:t>
      </w:r>
      <w:r>
        <w:rPr>
          <w:rFonts w:hint="eastAsia" w:ascii="仿宋_GB2312" w:hAnsi="仿宋_GB2312" w:eastAsia="仿宋_GB2312" w:cs="仿宋_GB2312"/>
          <w:sz w:val="28"/>
          <w:szCs w:val="28"/>
        </w:rPr>
        <w:t>城乡社区支出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3335.39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87.51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</w:t>
      </w:r>
      <w:r>
        <w:rPr>
          <w:rFonts w:hint="eastAsia" w:ascii="仿宋_GB2312" w:hAnsi="仿宋_GB2312" w:eastAsia="仿宋_GB2312" w:cs="仿宋_GB2312"/>
          <w:sz w:val="28"/>
          <w:szCs w:val="28"/>
        </w:rPr>
        <w:t>社会保障和就业支出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244.59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6.41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</w:t>
      </w:r>
      <w:r>
        <w:rPr>
          <w:rFonts w:hint="eastAsia" w:ascii="仿宋_GB2312" w:hAnsi="仿宋_GB2312" w:eastAsia="仿宋_GB2312" w:cs="仿宋_GB2312"/>
          <w:sz w:val="28"/>
          <w:szCs w:val="28"/>
        </w:rPr>
        <w:t>医疗卫生与计划生育支出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84.47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2.21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住房保障支出146.75万元，占支出预算总额的3.87%。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按支出经济分类划分：工资福利支出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2712.13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71.16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%；商品和服务支出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952.32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24.98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%；对个人和家庭的补助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146.75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3.86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（三）经费拨款支出情况</w:t>
      </w:r>
    </w:p>
    <w:p>
      <w:pPr>
        <w:ind w:firstLine="63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年珠山区城市管理行政执法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局经费拨款支出预算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 xml:space="preserve">3731.2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97.9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与上年预算相比增加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0.68%。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具体支出情况是：</w:t>
      </w:r>
      <w:r>
        <w:rPr>
          <w:rFonts w:hint="eastAsia" w:ascii="仿宋_GB2312" w:hAnsi="仿宋_GB2312" w:eastAsia="仿宋_GB2312" w:cs="仿宋_GB2312"/>
          <w:sz w:val="28"/>
          <w:szCs w:val="28"/>
        </w:rPr>
        <w:t>城乡社区支出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3255.39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87.24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</w:t>
      </w:r>
      <w:r>
        <w:rPr>
          <w:rFonts w:hint="eastAsia" w:ascii="仿宋_GB2312" w:hAnsi="仿宋_GB2312" w:eastAsia="仿宋_GB2312" w:cs="仿宋_GB2312"/>
          <w:sz w:val="28"/>
          <w:szCs w:val="28"/>
        </w:rPr>
        <w:t>社会保障和就业支出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244.59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6.55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%；</w:t>
      </w:r>
      <w:r>
        <w:rPr>
          <w:rFonts w:hint="eastAsia" w:ascii="仿宋_GB2312" w:hAnsi="仿宋_GB2312" w:eastAsia="仿宋_GB2312" w:cs="仿宋_GB2312"/>
          <w:sz w:val="28"/>
          <w:szCs w:val="28"/>
        </w:rPr>
        <w:t>医疗卫生与计划生育支出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84.47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万元，占支出预算总额的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2.26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</w:rPr>
        <w:t>%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住房保障支出146.75万元，占支出预算总额的3.95%。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政府采购预算情况</w:t>
      </w:r>
    </w:p>
    <w:p>
      <w:pPr>
        <w:wordWrap w:val="0"/>
        <w:spacing w:line="440" w:lineRule="exact"/>
        <w:ind w:firstLine="800"/>
        <w:jc w:val="left"/>
        <w:rPr>
          <w:rFonts w:ascii="??_GB2312" w:hAnsi="??_GB2312"/>
          <w:sz w:val="28"/>
          <w:szCs w:val="28"/>
          <w:shd w:val="clear" w:color="000000" w:fill="auto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珠山区城市管理行政执法局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支出总额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622.7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较上年下降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1.26%，主要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</w:rPr>
        <w:t>主要用于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  <w:lang w:eastAsia="zh-CN"/>
        </w:rPr>
        <w:t>城市管理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000000" w:fill="auto"/>
        </w:rPr>
        <w:t>行政执法装备、设备采购等。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（五）政府基金收支情况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200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shd w:val="clear" w:color="auto" w:fill="auto"/>
          <w:lang w:eastAsia="zh-CN"/>
        </w:rPr>
        <w:t>无政府基金收支预算。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 w:val="0"/>
          <w:color w:val="auto"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z w:val="28"/>
          <w:szCs w:val="28"/>
          <w:highlight w:val="none"/>
          <w:shd w:val="clear" w:color="auto" w:fill="auto"/>
          <w:lang w:eastAsia="zh-CN"/>
        </w:rPr>
        <w:t>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年珠山区城市管理行政执法局机关运行经费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952.32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eastAsia="zh-CN"/>
        </w:rPr>
        <w:t>与上年预算相比减少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0.46 %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（七）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“三公”经费预算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  <w:lang w:eastAsia="zh-CN"/>
        </w:rPr>
        <w:t>安排</w:t>
      </w:r>
      <w:r>
        <w:rPr>
          <w:rFonts w:hint="eastAsia" w:ascii="楷体_GB2312" w:hAnsi="楷体_GB2312" w:eastAsia="楷体_GB2312" w:cs="楷体_GB2312"/>
          <w:b/>
          <w:color w:val="auto"/>
          <w:sz w:val="28"/>
          <w:szCs w:val="28"/>
          <w:highlight w:val="none"/>
          <w:shd w:val="clear" w:color="auto" w:fill="auto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珠山区城市管理行政执法局</w:t>
      </w:r>
      <w:r>
        <w:rPr>
          <w:rFonts w:hint="eastAsia" w:ascii="仿宋_GB2312" w:hAnsi="仿宋_GB2312" w:eastAsia="仿宋_GB2312" w:cs="仿宋_GB2312"/>
          <w:sz w:val="28"/>
          <w:szCs w:val="28"/>
        </w:rPr>
        <w:t>“三公”经费年初预算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建议</w:t>
      </w:r>
      <w:r>
        <w:rPr>
          <w:rFonts w:hint="eastAsia" w:ascii="仿宋_GB2312" w:hAnsi="仿宋_GB2312" w:eastAsia="仿宋_GB2312" w:cs="仿宋_GB2312"/>
          <w:sz w:val="28"/>
          <w:szCs w:val="28"/>
        </w:rPr>
        <w:t>安排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31.37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公务接待费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2.88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与上年持平。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公务用车运行维护费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28.49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与上年持平。</w:t>
      </w:r>
    </w:p>
    <w:p>
      <w:pPr>
        <w:widowControl/>
        <w:spacing w:line="580" w:lineRule="exact"/>
        <w:ind w:firstLine="703" w:firstLineChars="250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）国有资产占有使用情况</w:t>
      </w:r>
    </w:p>
    <w:p>
      <w:pPr>
        <w:widowControl/>
        <w:spacing w:line="58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截至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28"/>
          <w:szCs w:val="28"/>
        </w:rPr>
        <w:t>年12月31日，部门共有车辆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辆，其中，一般公务用车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辆，执法执勤用车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辆。</w:t>
      </w:r>
    </w:p>
    <w:p>
      <w:pPr>
        <w:widowControl/>
        <w:spacing w:line="58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年部门预算安排购置车辆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辆，无安排购置单位价值200万元以上大型设备。</w:t>
      </w:r>
    </w:p>
    <w:p>
      <w:pPr>
        <w:widowControl/>
        <w:spacing w:line="580" w:lineRule="exact"/>
        <w:ind w:firstLine="703" w:firstLineChars="250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九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）绩效目标设置情况</w:t>
      </w:r>
      <w:bookmarkStart w:id="0" w:name="_GoBack"/>
      <w:bookmarkEnd w:id="0"/>
    </w:p>
    <w:p>
      <w:pPr>
        <w:widowControl/>
        <w:spacing w:line="58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年实行绩效目标管理的项目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个（部门预算中200万元以上的，且进行了绩效评审的项目），涉及资金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万元；纳入绩效目标批复试点的项目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个，涉及资金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0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五、珠山区城市管理行政执法局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2020</w:t>
      </w:r>
      <w:r>
        <w:rPr>
          <w:rFonts w:hint="eastAsia" w:ascii="黑体" w:hAnsi="黑体" w:eastAsia="黑体" w:cs="黑体"/>
          <w:sz w:val="28"/>
          <w:szCs w:val="28"/>
        </w:rPr>
        <w:t>年部门预算表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（详见附表）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</w:t>
      </w:r>
      <w:r>
        <w:rPr>
          <w:rFonts w:hint="eastAsia" w:ascii="黑体" w:hAnsi="黑体" w:eastAsia="黑体" w:cs="黑体"/>
          <w:sz w:val="28"/>
          <w:szCs w:val="28"/>
        </w:rPr>
        <w:t xml:space="preserve">  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（一）财政拨款：指市级财政当年拨付的资金。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（二）事业收入：指事业单位开展专业业务活动及辅助活动取得的收入。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（三）行政运行：反映行政单位（包括参公单位）的基本支出。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（五）机关运行经费：为保障行政单位（含参照公务员法管理的事业单位）运行用于购买货物和服务的各项资金，包括办公及印刷费、邮电费、差旅费、会议费、福利费、日常维修费、专用材料及一般购置费、办公用房水电费、办公用房取暖费、办公用房物业管理费及其他费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headerReference r:id="rId3" w:type="default"/>
      <w:footerReference r:id="rId4" w:type="even"/>
      <w:pgSz w:w="11906" w:h="16838"/>
      <w:pgMar w:top="1440" w:right="1800" w:bottom="1440" w:left="1800" w:header="851" w:footer="1418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仿宋_GB2312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95701"/>
    <w:rsid w:val="02A758E2"/>
    <w:rsid w:val="03A95701"/>
    <w:rsid w:val="05F54C5E"/>
    <w:rsid w:val="08E150F2"/>
    <w:rsid w:val="09513B1F"/>
    <w:rsid w:val="0B6811F8"/>
    <w:rsid w:val="0E12491E"/>
    <w:rsid w:val="0F1633F0"/>
    <w:rsid w:val="1CEE190B"/>
    <w:rsid w:val="1FBA0CE1"/>
    <w:rsid w:val="21610368"/>
    <w:rsid w:val="22270042"/>
    <w:rsid w:val="240E6A2C"/>
    <w:rsid w:val="25BC354F"/>
    <w:rsid w:val="2E201EB5"/>
    <w:rsid w:val="31F913CE"/>
    <w:rsid w:val="37A13162"/>
    <w:rsid w:val="39A95E31"/>
    <w:rsid w:val="3AD3795F"/>
    <w:rsid w:val="3B3C7803"/>
    <w:rsid w:val="3F342416"/>
    <w:rsid w:val="449C3295"/>
    <w:rsid w:val="44B26E56"/>
    <w:rsid w:val="48DA02A5"/>
    <w:rsid w:val="4C0B51A1"/>
    <w:rsid w:val="55615CEB"/>
    <w:rsid w:val="5CCE7FC2"/>
    <w:rsid w:val="5D5B07CD"/>
    <w:rsid w:val="61441586"/>
    <w:rsid w:val="64D37477"/>
    <w:rsid w:val="673A11E1"/>
    <w:rsid w:val="6CFD5289"/>
    <w:rsid w:val="6D535020"/>
    <w:rsid w:val="73BF2869"/>
    <w:rsid w:val="7B5065ED"/>
    <w:rsid w:val="7C0B41D4"/>
    <w:rsid w:val="7C387F5F"/>
    <w:rsid w:val="7E98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ascii="微软雅黑" w:hAnsi="微软雅黑" w:eastAsia="微软雅黑"/>
      <w:kern w:val="0"/>
      <w:szCs w:val="21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1959</Words>
  <Characters>2103</Characters>
  <Lines>0</Lines>
  <Paragraphs>0</Paragraphs>
  <TotalTime>0</TotalTime>
  <ScaleCrop>false</ScaleCrop>
  <LinksUpToDate>false</LinksUpToDate>
  <CharactersWithSpaces>2112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2018-09-11T11:54:00Z</dcterms:created>
  <dc:creator>四眼妞</dc:creator>
  <cp:lastModifiedBy>Administrator</cp:lastModifiedBy>
  <cp:lastPrinted>2018-09-13T02:05:00Z</cp:lastPrinted>
  <dcterms:modified xsi:type="dcterms:W3CDTF">2021-05-28T08:12:46Z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