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700" w:lineRule="exact"/>
        <w:jc w:val="center"/>
        <w:rPr>
          <w:rFonts w:hint="eastAsia" w:ascii="黑体" w:hAnsi="黑体" w:eastAsia="黑体" w:cs="黑体"/>
          <w:b w:val="0"/>
          <w:bCs/>
          <w:szCs w:val="44"/>
        </w:rPr>
      </w:pPr>
      <w:r>
        <w:rPr>
          <w:rFonts w:hint="eastAsia" w:ascii="黑体" w:hAnsi="黑体" w:eastAsia="黑体" w:cs="黑体"/>
          <w:b w:val="0"/>
          <w:bCs/>
          <w:szCs w:val="44"/>
        </w:rPr>
        <w:t>景德镇市工商联2020年部门</w:t>
      </w:r>
    </w:p>
    <w:p>
      <w:pPr>
        <w:pStyle w:val="2"/>
        <w:spacing w:before="0" w:after="0" w:line="700" w:lineRule="exact"/>
        <w:jc w:val="center"/>
        <w:rPr>
          <w:rFonts w:hint="eastAsia" w:ascii="黑体" w:hAnsi="黑体" w:eastAsia="黑体" w:cs="黑体"/>
          <w:b w:val="0"/>
          <w:bCs/>
          <w:szCs w:val="44"/>
        </w:rPr>
      </w:pPr>
      <w:r>
        <w:rPr>
          <w:rFonts w:hint="eastAsia" w:ascii="黑体" w:hAnsi="黑体" w:eastAsia="黑体" w:cs="黑体"/>
          <w:b w:val="0"/>
          <w:bCs/>
          <w:szCs w:val="44"/>
        </w:rPr>
        <w:t>预算草案编制说明</w:t>
      </w:r>
    </w:p>
    <w:p>
      <w:pPr>
        <w:ind w:firstLine="3373" w:firstLineChars="1200"/>
        <w:rPr>
          <w:rFonts w:ascii="楷体_GB2312" w:hAnsi="楷体_GB2312" w:eastAsia="楷体_GB2312" w:cs="楷体_GB2312"/>
          <w:b/>
          <w:sz w:val="28"/>
          <w:szCs w:val="28"/>
        </w:rPr>
      </w:pPr>
    </w:p>
    <w:p>
      <w:pPr>
        <w:spacing w:line="570" w:lineRule="exact"/>
        <w:ind w:firstLine="630" w:firstLineChars="196"/>
        <w:rPr>
          <w:rFonts w:ascii="黑体" w:hAnsi="黑体" w:eastAsia="黑体" w:cs="黑体"/>
          <w:b/>
          <w:sz w:val="32"/>
          <w:szCs w:val="32"/>
        </w:rPr>
      </w:pPr>
      <w:r>
        <w:rPr>
          <w:rFonts w:hint="eastAsia" w:ascii="黑体" w:hAnsi="黑体" w:eastAsia="黑体" w:cs="黑体"/>
          <w:b/>
          <w:sz w:val="32"/>
          <w:szCs w:val="32"/>
        </w:rPr>
        <w:t>一、部门主要职责</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1、参政议政。参与全区政治、经济、社会生活中的主要问题的政治协商，发挥民主监督的作用。</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2、做好工商界代表人士政治安排的推荐工作。</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3、发扬自我教育的优良传统，宣传、贯彻党和国家的方针、政策，加强和改进思想政治工作，坚持对广大会员进行团结、帮助、引导、教育，促进非公有制经济健康发展，提倡爱国、敬业、守法，提高会员素质，培养积极分子队伍。</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4、引导会员积极参加国家经济建设，推进社会主义市场经济体制逐步完善，促进社会全面发展。</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5、指导同业公会和行业商会等专业组织的工作。</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6、代表并维护会员的合法权益，反映会员的意见、要求和建议；为会员提供有关证明，协调关系，参与调解经济纠纷。</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7、引导会员把自身企业的发展与国家发展结合起来，把个人富裕与全体人民的共同富裕结合起来，弘扬中华民族传统美德，先富帮后富，走共同富裕的道路，热心社会公益事业，积极参加扶贫光彩事业。</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8、为会员提供信息、培训、科技、管理、法律、会计、审计融资、咨询等服务，帮助会员改进经营管理，完善财会制度，照章纳税，提高自身素质和生产技术、产品质量。</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9、组织会员出国、出境考察，举办和参加各种对内对外展销会、交易会，帮助会员开拓国内、国外市场，增进与香港、澳门特别行政区、台湾地区和世界各国工商社团及工商经济界人士的联系和友谊，促进经济、技术和贸易合作的发展，协助引进资金、技术、人才。</w:t>
      </w:r>
      <w:r>
        <w:rPr>
          <w:rFonts w:hint="eastAsia" w:ascii="宋体" w:hAnsi="宋体" w:cs="宋体"/>
          <w:bCs/>
          <w:sz w:val="32"/>
          <w:szCs w:val="32"/>
        </w:rPr>
        <w:t> </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10、经政府委托或批准，参与某些具体经济活动。如：协助政府及有关部门，组织企业会员举办和参加各种对内、对外展销会、交易会；对企业会员的生产经营情况及财务、税收等进行检査、监督；为会员企业办理有关证明等。</w:t>
      </w:r>
    </w:p>
    <w:p>
      <w:pPr>
        <w:ind w:firstLine="640" w:firstLineChars="200"/>
        <w:rPr>
          <w:rFonts w:ascii="仿宋" w:hAnsi="仿宋" w:eastAsia="仿宋" w:cs="仿宋_GB2312"/>
          <w:bCs/>
          <w:sz w:val="32"/>
          <w:szCs w:val="32"/>
        </w:rPr>
      </w:pPr>
      <w:r>
        <w:rPr>
          <w:rFonts w:hint="eastAsia" w:ascii="仿宋" w:hAnsi="仿宋" w:eastAsia="仿宋" w:cs="仿宋_GB2312"/>
          <w:bCs/>
          <w:sz w:val="32"/>
          <w:szCs w:val="32"/>
        </w:rPr>
        <w:t>11、承办政府交办和有关部门委托事项。</w:t>
      </w:r>
    </w:p>
    <w:p>
      <w:pPr>
        <w:spacing w:line="570" w:lineRule="exact"/>
        <w:ind w:firstLine="630" w:firstLineChars="196"/>
        <w:rPr>
          <w:rFonts w:ascii="黑体" w:hAnsi="黑体" w:eastAsia="黑体" w:cs="黑体"/>
          <w:b/>
          <w:sz w:val="32"/>
          <w:szCs w:val="32"/>
        </w:rPr>
      </w:pPr>
      <w:r>
        <w:rPr>
          <w:rFonts w:hint="eastAsia" w:ascii="黑体" w:hAnsi="黑体" w:eastAsia="黑体" w:cs="黑体"/>
          <w:b/>
          <w:sz w:val="32"/>
          <w:szCs w:val="32"/>
        </w:rPr>
        <w:t>二、部门2020年主要工作任务</w:t>
      </w:r>
    </w:p>
    <w:p>
      <w:pPr>
        <w:ind w:firstLine="800" w:firstLineChars="250"/>
        <w:rPr>
          <w:rFonts w:ascii="仿宋" w:hAnsi="仿宋" w:eastAsia="仿宋" w:cs="仿宋_GB2312"/>
          <w:bCs/>
          <w:sz w:val="32"/>
          <w:szCs w:val="32"/>
        </w:rPr>
      </w:pPr>
      <w:r>
        <w:rPr>
          <w:rFonts w:hint="eastAsia" w:ascii="仿宋" w:hAnsi="仿宋" w:eastAsia="仿宋" w:cs="仿宋_GB2312"/>
          <w:bCs/>
          <w:sz w:val="32"/>
          <w:szCs w:val="32"/>
        </w:rPr>
        <w:t>珠山区工商联是中国共产党领导的人民团体和民间商会，是区委和区政府联系非公有制经济的桥梁和纽带，是政府管理非公有制经济的助手，承担着引导私营经济发展的职能。</w:t>
      </w:r>
    </w:p>
    <w:p>
      <w:pPr>
        <w:spacing w:line="570" w:lineRule="exact"/>
        <w:ind w:firstLine="630" w:firstLineChars="196"/>
        <w:rPr>
          <w:rFonts w:ascii="黑体" w:hAnsi="黑体" w:eastAsia="黑体" w:cs="黑体"/>
          <w:b/>
          <w:sz w:val="32"/>
          <w:szCs w:val="32"/>
        </w:rPr>
      </w:pPr>
      <w:r>
        <w:rPr>
          <w:rFonts w:hint="eastAsia" w:ascii="黑体" w:hAnsi="黑体" w:eastAsia="黑体" w:cs="黑体"/>
          <w:b/>
          <w:sz w:val="32"/>
          <w:szCs w:val="32"/>
        </w:rPr>
        <w:t>三、部门基本情况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本部门共有预算单位1个，即部门本级。编制数为3人，其中行政编制3人。实有人数3人，其中在职3人，包括行政3人。</w:t>
      </w:r>
    </w:p>
    <w:p>
      <w:pPr>
        <w:spacing w:line="570" w:lineRule="exact"/>
        <w:ind w:firstLine="630" w:firstLineChars="196"/>
        <w:rPr>
          <w:rFonts w:ascii="黑体" w:hAnsi="黑体" w:eastAsia="黑体" w:cs="黑体"/>
          <w:b/>
          <w:sz w:val="32"/>
          <w:szCs w:val="32"/>
        </w:rPr>
      </w:pPr>
      <w:r>
        <w:rPr>
          <w:rFonts w:hint="eastAsia" w:ascii="黑体" w:hAnsi="黑体" w:eastAsia="黑体" w:cs="黑体"/>
          <w:b/>
          <w:sz w:val="32"/>
          <w:szCs w:val="32"/>
        </w:rPr>
        <w:t>四、2020年部门预算收支情况说明</w:t>
      </w:r>
    </w:p>
    <w:p>
      <w:pPr>
        <w:spacing w:line="570" w:lineRule="exact"/>
        <w:ind w:firstLine="482" w:firstLineChars="150"/>
        <w:rPr>
          <w:rFonts w:ascii="黑体" w:hAnsi="黑体" w:eastAsia="黑体" w:cs="楷体_GB2312"/>
          <w:b/>
          <w:sz w:val="32"/>
          <w:szCs w:val="32"/>
        </w:rPr>
      </w:pPr>
      <w:r>
        <w:rPr>
          <w:rFonts w:hint="eastAsia" w:ascii="黑体" w:hAnsi="黑体" w:eastAsia="黑体" w:cs="楷体_GB2312"/>
          <w:b/>
          <w:sz w:val="32"/>
          <w:szCs w:val="32"/>
        </w:rPr>
        <w:t>（一）收入预算情况</w:t>
      </w:r>
    </w:p>
    <w:p>
      <w:pPr>
        <w:spacing w:line="570" w:lineRule="exact"/>
        <w:ind w:firstLine="600"/>
        <w:rPr>
          <w:rFonts w:ascii="仿宋" w:hAnsi="仿宋" w:eastAsia="仿宋" w:cs="仿宋_GB2312"/>
          <w:sz w:val="32"/>
          <w:szCs w:val="32"/>
        </w:rPr>
      </w:pPr>
      <w:r>
        <w:rPr>
          <w:rFonts w:hint="eastAsia" w:ascii="仿宋" w:hAnsi="仿宋" w:eastAsia="仿宋" w:cs="仿宋_GB2312"/>
          <w:sz w:val="32"/>
          <w:szCs w:val="32"/>
        </w:rPr>
        <w:t>2020年区工商联收入预算总额为39.36万元，与上年预算相比减22.67%，主要是减少在职人员1人。其中：当年财政拨款收入39.36万元，占收入预算总额的100%。</w:t>
      </w:r>
    </w:p>
    <w:p>
      <w:pPr>
        <w:spacing w:line="570" w:lineRule="exact"/>
        <w:ind w:firstLine="482" w:firstLineChars="150"/>
        <w:rPr>
          <w:rFonts w:ascii="黑体" w:hAnsi="黑体" w:eastAsia="黑体" w:cs="楷体_GB2312"/>
          <w:b/>
          <w:sz w:val="32"/>
          <w:szCs w:val="32"/>
        </w:rPr>
      </w:pPr>
      <w:r>
        <w:rPr>
          <w:rFonts w:hint="eastAsia" w:ascii="黑体" w:hAnsi="黑体" w:eastAsia="黑体" w:cs="楷体_GB2312"/>
          <w:b/>
          <w:sz w:val="32"/>
          <w:szCs w:val="32"/>
        </w:rPr>
        <w:t>（二）支出预算情况</w:t>
      </w:r>
    </w:p>
    <w:p>
      <w:pPr>
        <w:spacing w:line="57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2020年区工商联支出预算总额为39.36万元，与上年预算相比减少22.67%，主要是减少在职人员1人。其中：按支出项目类别划分：基本支出36.12万元，占支出预算总额的91.77%，包括工资福利支出31.56万元、商品和服务支出3.66万元、对个人和家庭的补助0.9万元、其他资本性支出0万元；项目支出3.24万元，占支出总额的8.23%，包括工资福利支出0万元、商品和服务支出3.24万元、对个人和家庭的补助0万元、债务利息支出0万元、基本建设支出0万元、其他资本性支出0万元、其他相关支出0万元；</w:t>
      </w:r>
    </w:p>
    <w:p>
      <w:pPr>
        <w:spacing w:line="57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按支出功能项目科目划分：一般公共服务39.36万元，占支出预算总额的100%； </w:t>
      </w:r>
    </w:p>
    <w:p>
      <w:pPr>
        <w:spacing w:line="57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按支出经济分类划分：工资福利支出31.56万元，占支出预算总额的91.77%；商品和服务支出3.66万元，占支出预算总额的9.3%；</w:t>
      </w:r>
      <w:r>
        <w:rPr>
          <w:rFonts w:ascii="仿宋" w:hAnsi="仿宋" w:eastAsia="仿宋" w:cs="仿宋_GB2312"/>
          <w:sz w:val="32"/>
          <w:szCs w:val="32"/>
        </w:rPr>
        <w:t xml:space="preserve"> </w:t>
      </w:r>
    </w:p>
    <w:p>
      <w:pPr>
        <w:spacing w:line="570" w:lineRule="exact"/>
        <w:ind w:firstLine="643" w:firstLineChars="200"/>
        <w:rPr>
          <w:rFonts w:ascii="黑体" w:hAnsi="黑体" w:eastAsia="黑体" w:cs="楷体_GB2312"/>
          <w:b/>
          <w:sz w:val="32"/>
          <w:szCs w:val="32"/>
        </w:rPr>
      </w:pPr>
      <w:r>
        <w:rPr>
          <w:rFonts w:hint="eastAsia" w:ascii="黑体" w:hAnsi="黑体" w:eastAsia="黑体" w:cs="楷体_GB2312"/>
          <w:b/>
          <w:sz w:val="32"/>
          <w:szCs w:val="32"/>
        </w:rPr>
        <w:t>（三）经费拨款支出情况</w:t>
      </w:r>
    </w:p>
    <w:p>
      <w:pPr>
        <w:spacing w:line="57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2020年区工商联经费拨款支出预算39.36万元，占支出预算总额的100%，与上年预算相比减22.67%，主要是减少在职人员1人。具体支出情况是：民主党派及工商联事务39.36万元，占经费拨款支出的100%.</w:t>
      </w:r>
    </w:p>
    <w:p>
      <w:pPr>
        <w:spacing w:line="570" w:lineRule="exact"/>
        <w:ind w:firstLine="643" w:firstLineChars="200"/>
        <w:rPr>
          <w:rFonts w:ascii="黑体" w:hAnsi="黑体" w:eastAsia="黑体" w:cs="楷体_GB2312"/>
          <w:b/>
          <w:sz w:val="32"/>
          <w:szCs w:val="32"/>
        </w:rPr>
      </w:pPr>
      <w:r>
        <w:rPr>
          <w:rFonts w:hint="eastAsia" w:ascii="黑体" w:hAnsi="黑体" w:eastAsia="黑体" w:cs="楷体_GB2312"/>
          <w:b/>
          <w:sz w:val="32"/>
          <w:szCs w:val="32"/>
        </w:rPr>
        <w:t>（四）政府采购预算情况</w:t>
      </w:r>
    </w:p>
    <w:p>
      <w:pPr>
        <w:spacing w:line="570" w:lineRule="exact"/>
        <w:ind w:firstLine="640" w:firstLineChars="200"/>
        <w:rPr>
          <w:rFonts w:hint="default" w:ascii="仿宋" w:hAnsi="仿宋" w:eastAsia="仿宋" w:cs="仿宋_GB2312"/>
          <w:bCs/>
          <w:sz w:val="32"/>
          <w:szCs w:val="32"/>
          <w:lang w:val="en-US" w:eastAsia="zh-CN"/>
        </w:rPr>
      </w:pPr>
      <w:r>
        <w:rPr>
          <w:rFonts w:hint="eastAsia" w:ascii="仿宋" w:hAnsi="仿宋" w:eastAsia="仿宋" w:cs="仿宋_GB2312"/>
          <w:bCs/>
          <w:sz w:val="32"/>
          <w:szCs w:val="32"/>
        </w:rPr>
        <w:t>部门政府采购3万元，为分散采购。</w:t>
      </w:r>
      <w:r>
        <w:rPr>
          <w:rFonts w:hint="eastAsia" w:ascii="仿宋" w:hAnsi="仿宋" w:eastAsia="仿宋" w:cs="仿宋_GB2312"/>
          <w:bCs/>
          <w:sz w:val="32"/>
          <w:szCs w:val="32"/>
          <w:lang w:eastAsia="zh-CN"/>
        </w:rPr>
        <w:t>比上年减少</w:t>
      </w:r>
      <w:r>
        <w:rPr>
          <w:rFonts w:hint="eastAsia" w:ascii="仿宋" w:hAnsi="仿宋" w:eastAsia="仿宋" w:cs="仿宋_GB2312"/>
          <w:bCs/>
          <w:sz w:val="32"/>
          <w:szCs w:val="32"/>
          <w:lang w:val="en-US" w:eastAsia="zh-CN"/>
        </w:rPr>
        <w:t>100%，主要原因公用经费支出无法安排计划。</w:t>
      </w:r>
    </w:p>
    <w:p>
      <w:pPr>
        <w:spacing w:line="570" w:lineRule="exact"/>
        <w:ind w:firstLine="643" w:firstLineChars="200"/>
        <w:rPr>
          <w:rFonts w:ascii="黑体" w:hAnsi="黑体" w:eastAsia="黑体" w:cs="楷体_GB2312"/>
          <w:b/>
          <w:sz w:val="32"/>
          <w:szCs w:val="32"/>
        </w:rPr>
      </w:pPr>
      <w:r>
        <w:rPr>
          <w:rFonts w:hint="eastAsia" w:ascii="黑体" w:hAnsi="黑体" w:eastAsia="黑体" w:cs="楷体_GB2312"/>
          <w:b/>
          <w:sz w:val="32"/>
          <w:szCs w:val="32"/>
        </w:rPr>
        <w:t>（五）政府基金收支情况</w:t>
      </w:r>
    </w:p>
    <w:p>
      <w:pPr>
        <w:spacing w:line="570" w:lineRule="exact"/>
        <w:ind w:firstLine="960" w:firstLineChars="300"/>
        <w:rPr>
          <w:rFonts w:ascii="仿宋" w:hAnsi="仿宋" w:eastAsia="仿宋" w:cs="仿宋_GB2312"/>
          <w:bCs/>
          <w:sz w:val="32"/>
          <w:szCs w:val="32"/>
        </w:rPr>
      </w:pPr>
      <w:r>
        <w:rPr>
          <w:rFonts w:hint="eastAsia" w:ascii="仿宋" w:hAnsi="仿宋" w:eastAsia="仿宋" w:cs="仿宋_GB2312"/>
          <w:bCs/>
          <w:sz w:val="32"/>
          <w:szCs w:val="32"/>
        </w:rPr>
        <w:t xml:space="preserve">无政府基金收支 </w:t>
      </w:r>
    </w:p>
    <w:p>
      <w:pPr>
        <w:numPr>
          <w:ilvl w:val="0"/>
          <w:numId w:val="1"/>
        </w:numPr>
        <w:spacing w:line="570" w:lineRule="exact"/>
        <w:ind w:firstLine="643" w:firstLineChars="200"/>
        <w:rPr>
          <w:rFonts w:ascii="黑体" w:hAnsi="黑体" w:eastAsia="黑体" w:cs="楷体_GB2312"/>
          <w:b/>
          <w:sz w:val="32"/>
          <w:szCs w:val="32"/>
        </w:rPr>
      </w:pPr>
      <w:r>
        <w:rPr>
          <w:rFonts w:hint="eastAsia" w:ascii="黑体" w:hAnsi="黑体" w:eastAsia="黑体" w:cs="楷体_GB2312"/>
          <w:b/>
          <w:sz w:val="32"/>
          <w:szCs w:val="32"/>
        </w:rPr>
        <w:t>机关运行经费安排情况</w:t>
      </w:r>
    </w:p>
    <w:p>
      <w:pPr>
        <w:spacing w:line="570" w:lineRule="exact"/>
        <w:ind w:firstLine="640" w:firstLineChars="200"/>
        <w:rPr>
          <w:rFonts w:ascii="仿宋" w:hAnsi="仿宋" w:eastAsia="仿宋" w:cs="仿宋_GB2312"/>
          <w:bCs/>
          <w:sz w:val="32"/>
          <w:szCs w:val="32"/>
        </w:rPr>
      </w:pPr>
      <w:r>
        <w:rPr>
          <w:rFonts w:hint="eastAsia" w:ascii="仿宋" w:hAnsi="仿宋" w:eastAsia="仿宋" w:cs="仿宋_GB2312"/>
          <w:bCs/>
          <w:sz w:val="32"/>
          <w:szCs w:val="32"/>
        </w:rPr>
        <w:t>单位机关运行经费预算安排情况，并与上年预算数对比不大。</w:t>
      </w:r>
      <w:r>
        <w:rPr>
          <w:rFonts w:hint="eastAsia" w:ascii="仿宋" w:hAnsi="仿宋" w:eastAsia="仿宋" w:cs="仿宋_GB2312"/>
          <w:sz w:val="32"/>
          <w:szCs w:val="32"/>
        </w:rPr>
        <w:t xml:space="preserve"> </w:t>
      </w:r>
    </w:p>
    <w:p>
      <w:pPr>
        <w:tabs>
          <w:tab w:val="left" w:pos="1113"/>
        </w:tabs>
        <w:spacing w:line="570" w:lineRule="exact"/>
        <w:ind w:firstLine="643" w:firstLineChars="200"/>
        <w:rPr>
          <w:rFonts w:ascii="黑体" w:hAnsi="黑体" w:eastAsia="黑体" w:cs="楷体_GB2312"/>
          <w:b/>
          <w:sz w:val="32"/>
          <w:szCs w:val="32"/>
        </w:rPr>
      </w:pPr>
      <w:r>
        <w:rPr>
          <w:rFonts w:hint="eastAsia" w:ascii="黑体" w:hAnsi="黑体" w:eastAsia="黑体" w:cs="楷体_GB2312"/>
          <w:b/>
          <w:sz w:val="32"/>
          <w:szCs w:val="32"/>
        </w:rPr>
        <w:t>（七）“三公”经费预算安排情况</w:t>
      </w:r>
    </w:p>
    <w:p>
      <w:pPr>
        <w:spacing w:line="570" w:lineRule="exact"/>
        <w:ind w:firstLine="640" w:firstLineChars="200"/>
        <w:rPr>
          <w:rFonts w:hint="eastAsia" w:ascii="仿宋" w:hAnsi="仿宋" w:eastAsia="仿宋" w:cs="仿宋_GB2312"/>
          <w:bCs/>
          <w:sz w:val="32"/>
          <w:szCs w:val="32"/>
          <w:lang w:eastAsia="zh-CN"/>
        </w:rPr>
      </w:pPr>
      <w:r>
        <w:rPr>
          <w:rFonts w:hint="eastAsia" w:ascii="仿宋" w:hAnsi="仿宋" w:eastAsia="仿宋" w:cs="仿宋_GB2312"/>
          <w:bCs/>
          <w:sz w:val="32"/>
          <w:szCs w:val="32"/>
        </w:rPr>
        <w:t>当年“三公”经费安排0.75万元，主要为公务接待0.75万元。</w:t>
      </w:r>
      <w:r>
        <w:rPr>
          <w:rFonts w:hint="eastAsia" w:ascii="仿宋" w:hAnsi="仿宋" w:eastAsia="仿宋" w:cs="仿宋_GB2312"/>
          <w:bCs/>
          <w:sz w:val="32"/>
          <w:szCs w:val="32"/>
          <w:lang w:eastAsia="zh-CN"/>
        </w:rPr>
        <w:t>主要原因按“三公”预算要求压缩开支。</w:t>
      </w:r>
    </w:p>
    <w:p>
      <w:pPr>
        <w:numPr>
          <w:ilvl w:val="0"/>
          <w:numId w:val="0"/>
        </w:numPr>
        <w:spacing w:line="570" w:lineRule="exact"/>
        <w:ind w:leftChars="200" w:firstLine="321" w:firstLineChars="100"/>
        <w:rPr>
          <w:rFonts w:hint="eastAsia" w:ascii="黑体" w:hAnsi="黑体" w:eastAsia="黑体" w:cs="黑体"/>
          <w:b/>
          <w:bCs w:val="0"/>
          <w:sz w:val="32"/>
          <w:szCs w:val="32"/>
          <w:lang w:eastAsia="zh-CN"/>
        </w:rPr>
      </w:pPr>
      <w:r>
        <w:rPr>
          <w:rFonts w:hint="eastAsia" w:ascii="黑体" w:hAnsi="黑体" w:eastAsia="黑体" w:cs="黑体"/>
          <w:b/>
          <w:bCs w:val="0"/>
          <w:sz w:val="32"/>
          <w:szCs w:val="32"/>
          <w:lang w:eastAsia="zh-CN"/>
        </w:rPr>
        <w:t>（八）国有资产占有情况</w:t>
      </w:r>
    </w:p>
    <w:p>
      <w:pPr>
        <w:tabs>
          <w:tab w:val="left" w:pos="1113"/>
        </w:tabs>
        <w:ind w:firstLine="643" w:firstLineChars="200"/>
        <w:rPr>
          <w:rFonts w:hint="eastAsia" w:ascii="仿宋_GB2312" w:hAnsi="宋体" w:eastAsia="仿宋_GB2312" w:cs="仿宋_GB2312"/>
          <w:sz w:val="32"/>
          <w:szCs w:val="32"/>
        </w:rPr>
      </w:pPr>
      <w:r>
        <w:rPr>
          <w:rFonts w:hint="eastAsia" w:ascii="黑体" w:hAnsi="黑体" w:eastAsia="黑体" w:cs="黑体"/>
          <w:b/>
          <w:bCs w:val="0"/>
          <w:sz w:val="32"/>
          <w:szCs w:val="32"/>
          <w:lang w:val="en-US" w:eastAsia="zh-CN"/>
        </w:rPr>
        <w:t xml:space="preserve">  </w:t>
      </w:r>
      <w:bookmarkStart w:id="0" w:name="_GoBack"/>
      <w:bookmarkEnd w:id="0"/>
      <w:r>
        <w:rPr>
          <w:rFonts w:hint="eastAsia" w:ascii="仿宋_GB2312" w:hAnsi="宋体" w:eastAsia="仿宋_GB2312" w:cs="仿宋_GB2312"/>
          <w:sz w:val="32"/>
          <w:szCs w:val="32"/>
        </w:rPr>
        <w:t>截至20</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年12月31日</w:t>
      </w:r>
      <w:r>
        <w:rPr>
          <w:rFonts w:hint="eastAsia" w:ascii="仿宋_GB2312" w:hAnsi="宋体" w:eastAsia="仿宋_GB2312" w:cs="仿宋_GB2312"/>
          <w:sz w:val="32"/>
          <w:szCs w:val="32"/>
          <w:lang w:val="en-US" w:eastAsia="zh-CN"/>
        </w:rPr>
        <w:t>,</w:t>
      </w:r>
      <w:r>
        <w:rPr>
          <w:rFonts w:hint="eastAsia" w:ascii="仿宋_GB2312" w:hAnsi="宋体" w:eastAsia="仿宋_GB2312" w:cs="仿宋_GB2312"/>
          <w:sz w:val="32"/>
          <w:szCs w:val="32"/>
        </w:rPr>
        <w:t>部门共有车辆</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辆，其中，一般公务用车</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辆，执法执勤用车</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辆。</w:t>
      </w:r>
    </w:p>
    <w:p>
      <w:pPr>
        <w:tabs>
          <w:tab w:val="left" w:pos="1113"/>
        </w:tabs>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年部门预算安排购置车辆</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辆，无安排购置单位价值200万元以上大型设备。</w:t>
      </w:r>
    </w:p>
    <w:p>
      <w:pPr>
        <w:numPr>
          <w:ilvl w:val="0"/>
          <w:numId w:val="0"/>
        </w:numPr>
        <w:spacing w:line="570" w:lineRule="exact"/>
        <w:ind w:firstLine="643" w:firstLineChars="200"/>
        <w:rPr>
          <w:rFonts w:hint="eastAsia" w:ascii="黑体" w:hAnsi="黑体" w:eastAsia="黑体" w:cs="黑体"/>
          <w:b/>
          <w:bCs w:val="0"/>
          <w:sz w:val="32"/>
          <w:szCs w:val="32"/>
          <w:lang w:val="en-US" w:eastAsia="zh-CN"/>
        </w:rPr>
      </w:pPr>
      <w:r>
        <w:rPr>
          <w:rFonts w:hint="eastAsia" w:ascii="黑体" w:hAnsi="黑体" w:eastAsia="黑体" w:cs="黑体"/>
          <w:b/>
          <w:bCs w:val="0"/>
          <w:sz w:val="32"/>
          <w:szCs w:val="32"/>
          <w:lang w:val="en-US" w:eastAsia="zh-CN"/>
        </w:rPr>
        <w:t>（九）重点项目预算绩效目标等预算绩效情况</w:t>
      </w:r>
    </w:p>
    <w:p>
      <w:pPr>
        <w:widowControl/>
        <w:spacing w:line="580" w:lineRule="exact"/>
        <w:ind w:firstLine="800" w:firstLineChars="250"/>
        <w:jc w:val="left"/>
        <w:rPr>
          <w:rFonts w:hint="eastAsia" w:ascii="仿宋_GB2312" w:eastAsia="仿宋_GB2312"/>
          <w:sz w:val="32"/>
          <w:szCs w:val="32"/>
        </w:rPr>
      </w:pPr>
      <w:r>
        <w:rPr>
          <w:rFonts w:hint="eastAsia" w:ascii="仿宋" w:hAnsi="仿宋" w:eastAsia="仿宋" w:cs="仿宋"/>
          <w:b w:val="0"/>
          <w:bCs/>
          <w:sz w:val="32"/>
          <w:szCs w:val="32"/>
          <w:lang w:val="en-US" w:eastAsia="zh-CN"/>
        </w:rPr>
        <w:t xml:space="preserve"> </w:t>
      </w:r>
      <w:r>
        <w:rPr>
          <w:rFonts w:hint="eastAsia" w:ascii="仿宋_GB2312" w:hAnsi="宋体" w:eastAsia="仿宋_GB2312" w:cs="仿宋_GB2312"/>
          <w:sz w:val="32"/>
          <w:szCs w:val="32"/>
        </w:rPr>
        <w:t>20</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年实行绩效目标管理的项目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个（部门预算中200万元以上的，且进行了绩效评审的项目），涉及资金</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万元；纳入绩效目标批复试点的项目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个，涉及资金</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numPr>
          <w:ilvl w:val="0"/>
          <w:numId w:val="0"/>
        </w:numPr>
        <w:spacing w:line="570" w:lineRule="exact"/>
        <w:ind w:firstLine="643" w:firstLineChars="200"/>
        <w:rPr>
          <w:rFonts w:hint="eastAsia" w:ascii="黑体" w:hAnsi="黑体" w:eastAsia="黑体" w:cs="黑体"/>
          <w:b/>
          <w:bCs w:val="0"/>
          <w:sz w:val="32"/>
          <w:szCs w:val="32"/>
          <w:lang w:val="en-US" w:eastAsia="zh-CN"/>
        </w:rPr>
      </w:pPr>
      <w:r>
        <w:rPr>
          <w:rFonts w:hint="eastAsia" w:ascii="黑体" w:hAnsi="黑体" w:eastAsia="黑体" w:cs="黑体"/>
          <w:b/>
          <w:bCs w:val="0"/>
          <w:sz w:val="32"/>
          <w:szCs w:val="32"/>
          <w:lang w:val="en-US" w:eastAsia="zh-CN"/>
        </w:rPr>
        <w:t>(十)名词解释</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2"/>
        </w:rPr>
        <w:t xml:space="preserve"> </w:t>
      </w:r>
      <w:r>
        <w:rPr>
          <w:rFonts w:hint="eastAsia" w:ascii="仿宋" w:hAnsi="仿宋" w:eastAsia="仿宋" w:cs="仿宋"/>
          <w:sz w:val="32"/>
          <w:szCs w:val="30"/>
        </w:rPr>
        <w:t>一、收入科目</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（一）财政拨款：指省级财政当年拨付的资金。</w:t>
      </w:r>
    </w:p>
    <w:p>
      <w:pPr>
        <w:widowControl/>
        <w:spacing w:line="580" w:lineRule="exact"/>
        <w:ind w:firstLine="636"/>
        <w:jc w:val="left"/>
        <w:rPr>
          <w:rFonts w:hint="eastAsia" w:ascii="仿宋" w:hAnsi="仿宋" w:eastAsia="仿宋" w:cs="仿宋"/>
          <w:sz w:val="32"/>
          <w:szCs w:val="30"/>
        </w:rPr>
      </w:pPr>
      <w:r>
        <w:rPr>
          <w:rFonts w:hint="eastAsia" w:ascii="仿宋" w:hAnsi="仿宋" w:eastAsia="仿宋" w:cs="仿宋"/>
          <w:sz w:val="32"/>
          <w:szCs w:val="30"/>
        </w:rPr>
        <w:t>（二）事业收入：指事业单位开展专业业务活动及辅助活动取得的收入。</w:t>
      </w:r>
    </w:p>
    <w:p>
      <w:pPr>
        <w:widowControl/>
        <w:spacing w:line="580" w:lineRule="exact"/>
        <w:ind w:firstLine="636"/>
        <w:jc w:val="left"/>
        <w:rPr>
          <w:rFonts w:hint="eastAsia" w:ascii="仿宋" w:hAnsi="仿宋" w:eastAsia="仿宋" w:cs="仿宋"/>
          <w:sz w:val="32"/>
          <w:szCs w:val="30"/>
        </w:rPr>
      </w:pPr>
      <w:r>
        <w:rPr>
          <w:rFonts w:hint="eastAsia" w:ascii="仿宋" w:hAnsi="仿宋" w:eastAsia="仿宋" w:cs="仿宋"/>
          <w:sz w:val="32"/>
          <w:szCs w:val="30"/>
        </w:rPr>
        <w:t>（三）事业单位经营收入：指事业单位在专业业务活动及辅助活动之外开展非独立核算经营活动取得的收入。</w:t>
      </w:r>
    </w:p>
    <w:p>
      <w:pPr>
        <w:ind w:firstLine="640" w:firstLineChars="200"/>
        <w:rPr>
          <w:rFonts w:hint="eastAsia" w:ascii="仿宋" w:hAnsi="仿宋" w:eastAsia="仿宋" w:cs="仿宋"/>
          <w:sz w:val="32"/>
          <w:szCs w:val="30"/>
        </w:rPr>
      </w:pPr>
      <w:r>
        <w:rPr>
          <w:rFonts w:hint="eastAsia" w:ascii="仿宋" w:hAnsi="仿宋" w:eastAsia="仿宋" w:cs="仿宋"/>
          <w:sz w:val="32"/>
          <w:szCs w:val="30"/>
        </w:rPr>
        <w:t>（四）上年结转和结余：填列2017年全部结转和结余的资金数，包括当年结转结余资金和历年滚存结转结余资金。</w:t>
      </w:r>
    </w:p>
    <w:p>
      <w:pPr>
        <w:rPr>
          <w:rFonts w:hint="eastAsia" w:ascii="仿宋" w:hAnsi="仿宋" w:eastAsia="仿宋" w:cs="仿宋"/>
          <w:sz w:val="32"/>
          <w:szCs w:val="30"/>
        </w:rPr>
      </w:pP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二、支出科目</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（一）行政运行：反映行政单位（包括参公单位）的基本支出。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（二）一般行政管理事务：反映行政单位（包括参公单位）未单独设置项级科目的其他项目支出。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（三）机关服务：反映为行政单位（包括参公单位）提供后勤服务的各类后勤服务中心的支出。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（四）预算改革业务：反映财政部门用于预算改革方面的支出。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（五）财政国库业务：反映财政部门用于财政国库集中支出收付业务方面的支出。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（六）财政监察：反映财政监察派出机构的专项业务支出。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（七）信息化建设：反映财政部门用于“金财工程”等信息化建设方面的支出。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（八）事业运行：反映事业单位的基本支出。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（九）其他财政事务支出：反映除上述项目以外的其他财政事务方面的支出。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（十）高等职业教育：反映经国家批准设立的高等职业大学、专科职业教育等方面的支出。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（十一）培训支出：反映各部门安排的用于培训的支出。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（十三）行政单位医疗：反映行政事业单位基本医疗保险缴费经费。</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（十四）事业单位医疗：反映财政部门集中安排的事业单位基本医疗保险缴费经费。</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（十五）农业综合开发机构运行：反映农业综合开发部门的基本支出。</w:t>
      </w:r>
    </w:p>
    <w:p>
      <w:pPr>
        <w:widowControl/>
        <w:spacing w:line="580" w:lineRule="exact"/>
        <w:ind w:firstLine="640"/>
        <w:jc w:val="left"/>
        <w:rPr>
          <w:rFonts w:hint="eastAsia" w:ascii="仿宋" w:hAnsi="仿宋" w:eastAsia="仿宋" w:cs="仿宋"/>
          <w:sz w:val="32"/>
          <w:szCs w:val="30"/>
        </w:rPr>
      </w:pPr>
      <w:r>
        <w:rPr>
          <w:rFonts w:hint="eastAsia" w:ascii="仿宋" w:hAnsi="仿宋" w:eastAsia="仿宋" w:cs="仿宋"/>
          <w:sz w:val="32"/>
          <w:szCs w:val="30"/>
        </w:rPr>
        <w:t>（十六）购房补贴：反映按房改政策规定，行政事业单位向符合条件职工发放的用于购买住房的补贴</w:t>
      </w:r>
    </w:p>
    <w:p>
      <w:pPr>
        <w:spacing w:line="570" w:lineRule="exact"/>
        <w:ind w:firstLine="643" w:firstLineChars="200"/>
        <w:rPr>
          <w:rFonts w:hint="eastAsia" w:ascii="仿宋" w:hAnsi="仿宋" w:eastAsia="仿宋" w:cs="仿宋"/>
          <w:sz w:val="32"/>
          <w:szCs w:val="32"/>
        </w:rPr>
      </w:pPr>
      <w:r>
        <w:rPr>
          <w:rFonts w:hint="eastAsia" w:ascii="仿宋" w:hAnsi="仿宋" w:eastAsia="仿宋" w:cs="仿宋"/>
          <w:b/>
          <w:sz w:val="32"/>
          <w:szCs w:val="32"/>
        </w:rPr>
        <w:t xml:space="preserve"> </w:t>
      </w: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6C0A84"/>
    <w:rsid w:val="00A006D5"/>
    <w:rsid w:val="00E9375D"/>
    <w:rsid w:val="00F42FF0"/>
    <w:rsid w:val="02A758E2"/>
    <w:rsid w:val="03653A89"/>
    <w:rsid w:val="03A95701"/>
    <w:rsid w:val="03C85C4B"/>
    <w:rsid w:val="08E150F2"/>
    <w:rsid w:val="0CD31121"/>
    <w:rsid w:val="10290830"/>
    <w:rsid w:val="12DF1359"/>
    <w:rsid w:val="1B77369E"/>
    <w:rsid w:val="1FBA0CE1"/>
    <w:rsid w:val="21610368"/>
    <w:rsid w:val="25BC354F"/>
    <w:rsid w:val="28AA222B"/>
    <w:rsid w:val="2E201EB5"/>
    <w:rsid w:val="37A13162"/>
    <w:rsid w:val="3AD3795F"/>
    <w:rsid w:val="3F342416"/>
    <w:rsid w:val="449C3295"/>
    <w:rsid w:val="44B26E56"/>
    <w:rsid w:val="48DA02A5"/>
    <w:rsid w:val="4C0B51A1"/>
    <w:rsid w:val="5CCE7FC2"/>
    <w:rsid w:val="5D5B07CD"/>
    <w:rsid w:val="61441586"/>
    <w:rsid w:val="64D37477"/>
    <w:rsid w:val="6D535020"/>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4</Pages>
  <Words>244</Words>
  <Characters>1392</Characters>
  <Lines>11</Lines>
  <Paragraphs>3</Paragraphs>
  <TotalTime>0</TotalTime>
  <ScaleCrop>false</ScaleCrop>
  <LinksUpToDate>false</LinksUpToDate>
  <CharactersWithSpaces>1633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宁</cp:lastModifiedBy>
  <cp:lastPrinted>2018-09-13T02:05:00Z</cp:lastPrinted>
  <dcterms:modified xsi:type="dcterms:W3CDTF">2021-05-28T06:56:07Z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52A53FB4C7B04B89B215E455F965B0EB</vt:lpwstr>
  </property>
</Properties>
</file>