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珠山区编办2020</w:t>
      </w:r>
      <w:r>
        <w:rPr>
          <w:rFonts w:hint="eastAsia" w:ascii="方正小标宋简体" w:hAnsi="方正小标宋简体" w:eastAsia="方正小标宋简体" w:cs="方正小标宋简体"/>
          <w:b w:val="0"/>
          <w:bCs/>
          <w:sz w:val="44"/>
          <w:szCs w:val="44"/>
          <w:lang w:eastAsia="zh-CN"/>
        </w:rPr>
        <w:t>年</w:t>
      </w:r>
      <w:r>
        <w:rPr>
          <w:rFonts w:hint="eastAsia" w:ascii="方正小标宋简体" w:hAnsi="方正小标宋简体" w:eastAsia="方正小标宋简体" w:cs="方正小标宋简体"/>
          <w:b w:val="0"/>
          <w:bCs/>
          <w:sz w:val="44"/>
          <w:szCs w:val="44"/>
        </w:rPr>
        <w:t>部门</w:t>
      </w:r>
    </w:p>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预算</w:t>
      </w:r>
      <w:r>
        <w:rPr>
          <w:rFonts w:hint="eastAsia" w:ascii="方正小标宋简体" w:hAnsi="方正小标宋简体" w:eastAsia="方正小标宋简体" w:cs="方正小标宋简体"/>
          <w:b w:val="0"/>
          <w:bCs/>
          <w:sz w:val="44"/>
          <w:szCs w:val="44"/>
          <w:lang w:eastAsia="zh-CN"/>
        </w:rPr>
        <w:t>草案</w:t>
      </w:r>
      <w:r>
        <w:rPr>
          <w:rFonts w:hint="eastAsia" w:ascii="方正小标宋简体" w:hAnsi="方正小标宋简体" w:eastAsia="方正小标宋简体" w:cs="方正小标宋简体"/>
          <w:b w:val="0"/>
          <w:bCs/>
          <w:sz w:val="44"/>
          <w:szCs w:val="44"/>
        </w:rPr>
        <w:t>编制说明</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第一部分  珠山区</w:t>
      </w:r>
      <w:r>
        <w:rPr>
          <w:rFonts w:hint="eastAsia" w:ascii="仿宋_GB2312" w:eastAsia="仿宋_GB2312"/>
          <w:b/>
          <w:sz w:val="32"/>
          <w:szCs w:val="30"/>
          <w:lang w:eastAsia="zh-CN"/>
        </w:rPr>
        <w:t>编办</w:t>
      </w:r>
      <w:r>
        <w:rPr>
          <w:rFonts w:hint="eastAsia" w:ascii="仿宋_GB2312" w:eastAsia="仿宋_GB2312"/>
          <w:b/>
          <w:sz w:val="32"/>
          <w:szCs w:val="30"/>
        </w:rPr>
        <w:t>概况</w:t>
      </w:r>
    </w:p>
    <w:p>
      <w:pPr>
        <w:widowControl/>
        <w:spacing w:line="600" w:lineRule="exact"/>
        <w:ind w:firstLine="640"/>
        <w:jc w:val="left"/>
        <w:rPr>
          <w:rFonts w:hint="eastAsia" w:ascii="楷体_GB2312" w:eastAsia="楷体_GB2312"/>
          <w:sz w:val="32"/>
          <w:szCs w:val="30"/>
        </w:rPr>
      </w:pPr>
      <w:r>
        <w:rPr>
          <w:rFonts w:hint="eastAsia" w:ascii="仿宋_GB2312" w:eastAsia="仿宋_GB2312"/>
          <w:b/>
          <w:sz w:val="32"/>
          <w:szCs w:val="30"/>
        </w:rPr>
        <w:t xml:space="preserve">  </w:t>
      </w:r>
      <w:r>
        <w:rPr>
          <w:rFonts w:hint="eastAsia" w:ascii="仿宋_GB2312" w:eastAsia="仿宋_GB2312"/>
          <w:sz w:val="32"/>
          <w:szCs w:val="30"/>
        </w:rPr>
        <w:t xml:space="preserve">  </w:t>
      </w:r>
      <w:r>
        <w:rPr>
          <w:rFonts w:hint="eastAsia" w:ascii="楷体_GB2312" w:eastAsia="楷体_GB2312"/>
          <w:sz w:val="32"/>
          <w:szCs w:val="30"/>
        </w:rPr>
        <w:t>一、部门主要职责</w:t>
      </w:r>
    </w:p>
    <w:p>
      <w:pPr>
        <w:widowControl/>
        <w:spacing w:line="600" w:lineRule="exact"/>
        <w:ind w:firstLine="640"/>
        <w:jc w:val="left"/>
        <w:rPr>
          <w:rFonts w:hint="eastAsia" w:ascii="楷体_GB2312" w:hAnsi="Calibri" w:eastAsia="楷体_GB2312" w:cs="宋体"/>
          <w:kern w:val="0"/>
          <w:sz w:val="32"/>
          <w:szCs w:val="32"/>
        </w:rPr>
      </w:pPr>
      <w:r>
        <w:rPr>
          <w:rFonts w:hint="eastAsia" w:ascii="楷体_GB2312" w:hAnsi="Calibri" w:eastAsia="楷体_GB2312" w:cs="宋体"/>
          <w:kern w:val="0"/>
          <w:sz w:val="32"/>
          <w:szCs w:val="32"/>
        </w:rPr>
        <w:t xml:space="preserve">    二、部门基本情况</w:t>
      </w:r>
    </w:p>
    <w:p>
      <w:pPr>
        <w:widowControl/>
        <w:spacing w:line="600" w:lineRule="exact"/>
        <w:ind w:firstLine="640"/>
        <w:jc w:val="left"/>
        <w:rPr>
          <w:rFonts w:hint="eastAsia" w:ascii="仿宋_GB2312" w:eastAsia="仿宋_GB2312"/>
          <w:b/>
          <w:sz w:val="32"/>
          <w:szCs w:val="30"/>
        </w:rPr>
      </w:pPr>
      <w:r>
        <w:rPr>
          <w:rFonts w:hint="eastAsia" w:ascii="仿宋_GB2312" w:hAnsi="Calibri" w:eastAsia="仿宋_GB2312" w:cs="宋体"/>
          <w:b/>
          <w:kern w:val="0"/>
          <w:sz w:val="32"/>
          <w:szCs w:val="32"/>
        </w:rPr>
        <w:t xml:space="preserve">第二部分  </w:t>
      </w:r>
      <w:r>
        <w:rPr>
          <w:rFonts w:hint="eastAsia" w:ascii="仿宋_GB2312" w:eastAsia="仿宋_GB2312"/>
          <w:b/>
          <w:sz w:val="32"/>
          <w:szCs w:val="30"/>
        </w:rPr>
        <w:t>珠山区</w:t>
      </w:r>
      <w:r>
        <w:rPr>
          <w:rFonts w:hint="eastAsia" w:ascii="仿宋_GB2312" w:eastAsia="仿宋_GB2312"/>
          <w:b/>
          <w:sz w:val="32"/>
          <w:szCs w:val="30"/>
          <w:lang w:eastAsia="zh-CN"/>
        </w:rPr>
        <w:t>编办</w:t>
      </w:r>
      <w:r>
        <w:rPr>
          <w:rFonts w:hint="eastAsia" w:ascii="仿宋_GB2312" w:eastAsia="仿宋_GB2312"/>
          <w:b/>
          <w:sz w:val="32"/>
          <w:szCs w:val="30"/>
        </w:rPr>
        <w:t>20</w:t>
      </w:r>
      <w:r>
        <w:rPr>
          <w:rFonts w:hint="eastAsia" w:ascii="仿宋_GB2312" w:eastAsia="仿宋_GB2312"/>
          <w:b/>
          <w:sz w:val="32"/>
          <w:szCs w:val="30"/>
          <w:lang w:val="en-US" w:eastAsia="zh-CN"/>
        </w:rPr>
        <w:t>20</w:t>
      </w:r>
      <w:r>
        <w:rPr>
          <w:rFonts w:hint="eastAsia" w:ascii="仿宋_GB2312" w:eastAsia="仿宋_GB2312"/>
          <w:b/>
          <w:sz w:val="32"/>
          <w:szCs w:val="30"/>
        </w:rPr>
        <w:t>年部门预算情况说明</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一、20</w:t>
      </w:r>
      <w:r>
        <w:rPr>
          <w:rFonts w:hint="eastAsia" w:ascii="楷体_GB2312" w:eastAsia="楷体_GB2312"/>
          <w:sz w:val="32"/>
          <w:szCs w:val="30"/>
          <w:lang w:val="en-US" w:eastAsia="zh-CN"/>
        </w:rPr>
        <w:t>20</w:t>
      </w:r>
      <w:r>
        <w:rPr>
          <w:rFonts w:hint="eastAsia" w:ascii="楷体_GB2312" w:eastAsia="楷体_GB2312"/>
          <w:sz w:val="32"/>
          <w:szCs w:val="30"/>
        </w:rPr>
        <w:t>年部门预算收支情况说明</w:t>
      </w:r>
    </w:p>
    <w:p>
      <w:pPr>
        <w:widowControl/>
        <w:spacing w:line="600" w:lineRule="exact"/>
        <w:ind w:firstLine="640"/>
        <w:jc w:val="left"/>
        <w:rPr>
          <w:rFonts w:hint="eastAsia" w:ascii="楷体_GB2312" w:eastAsia="楷体_GB2312"/>
          <w:sz w:val="32"/>
          <w:szCs w:val="30"/>
        </w:rPr>
      </w:pPr>
      <w:r>
        <w:rPr>
          <w:rFonts w:hint="eastAsia" w:ascii="楷体_GB2312" w:hAnsi="Calibri" w:eastAsia="楷体_GB2312" w:cs="宋体"/>
          <w:kern w:val="0"/>
          <w:sz w:val="32"/>
          <w:szCs w:val="32"/>
        </w:rPr>
        <w:t xml:space="preserve">    二、</w:t>
      </w:r>
      <w:r>
        <w:rPr>
          <w:rFonts w:hint="eastAsia" w:ascii="楷体_GB2312" w:eastAsia="楷体_GB2312"/>
          <w:sz w:val="32"/>
          <w:szCs w:val="30"/>
        </w:rPr>
        <w:t>20</w:t>
      </w:r>
      <w:r>
        <w:rPr>
          <w:rFonts w:hint="eastAsia" w:ascii="楷体_GB2312" w:eastAsia="楷体_GB2312"/>
          <w:sz w:val="32"/>
          <w:szCs w:val="30"/>
          <w:lang w:val="en-US" w:eastAsia="zh-CN"/>
        </w:rPr>
        <w:t>20</w:t>
      </w:r>
      <w:r>
        <w:rPr>
          <w:rFonts w:hint="eastAsia" w:ascii="楷体_GB2312" w:eastAsia="楷体_GB2312"/>
          <w:sz w:val="32"/>
          <w:szCs w:val="30"/>
        </w:rPr>
        <w:t>年“三公”经费预算情况说明</w:t>
      </w: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第三部分  珠山区</w:t>
      </w:r>
      <w:r>
        <w:rPr>
          <w:rFonts w:hint="eastAsia" w:ascii="仿宋_GB2312" w:eastAsia="仿宋_GB2312"/>
          <w:b/>
          <w:sz w:val="32"/>
          <w:szCs w:val="30"/>
          <w:lang w:eastAsia="zh-CN"/>
        </w:rPr>
        <w:t>编办</w:t>
      </w:r>
      <w:r>
        <w:rPr>
          <w:rFonts w:hint="eastAsia" w:ascii="仿宋_GB2312" w:eastAsia="仿宋_GB2312"/>
          <w:b/>
          <w:sz w:val="32"/>
          <w:szCs w:val="30"/>
          <w:lang w:val="en-US" w:eastAsia="zh-CN"/>
        </w:rPr>
        <w:t>2020</w:t>
      </w:r>
      <w:r>
        <w:rPr>
          <w:rFonts w:hint="eastAsia" w:ascii="仿宋_GB2312" w:eastAsia="仿宋_GB2312"/>
          <w:b/>
          <w:sz w:val="32"/>
          <w:szCs w:val="30"/>
        </w:rPr>
        <w:t>年部门预算表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一、《收支预算总表》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二、《部门收入总表》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三、《部门支出总表》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四、《财政拨款收支总表》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五、《一般公共预算支出表》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六、《一般公共预算基本支出表》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七、《一般公共预算“三公”经费支出表》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八、《政府性基金预算支出表》</w:t>
      </w:r>
    </w:p>
    <w:p>
      <w:pPr>
        <w:widowControl/>
        <w:spacing w:line="600" w:lineRule="exact"/>
        <w:ind w:firstLine="1280" w:firstLineChars="400"/>
        <w:jc w:val="left"/>
        <w:rPr>
          <w:rFonts w:hint="eastAsia" w:ascii="楷体_GB2312" w:eastAsia="楷体_GB2312"/>
          <w:sz w:val="32"/>
          <w:szCs w:val="30"/>
          <w:lang w:val="en-US" w:eastAsia="zh-CN"/>
        </w:rPr>
      </w:pPr>
      <w:r>
        <w:rPr>
          <w:rFonts w:hint="eastAsia" w:ascii="楷体_GB2312" w:eastAsia="楷体_GB2312"/>
          <w:sz w:val="32"/>
          <w:szCs w:val="30"/>
          <w:lang w:val="en-US" w:eastAsia="zh-CN"/>
        </w:rPr>
        <w:t>九、</w:t>
      </w:r>
      <w:r>
        <w:rPr>
          <w:rFonts w:hint="eastAsia" w:ascii="楷体_GB2312" w:hAnsi="楷体_GB2312" w:eastAsia="楷体_GB2312" w:cs="楷体_GB2312"/>
          <w:color w:val="000000"/>
          <w:spacing w:val="0"/>
          <w:sz w:val="32"/>
        </w:rPr>
        <w:t>《一级项目绩效目标表》</w:t>
      </w:r>
    </w:p>
    <w:p>
      <w:pPr>
        <w:widowControl/>
        <w:spacing w:line="600" w:lineRule="exact"/>
        <w:ind w:firstLine="640"/>
        <w:jc w:val="left"/>
        <w:rPr>
          <w:rFonts w:hint="eastAsia" w:ascii="仿宋_GB2312" w:eastAsia="仿宋_GB2312"/>
          <w:b/>
          <w:sz w:val="32"/>
          <w:szCs w:val="30"/>
        </w:rPr>
      </w:pPr>
      <w:r>
        <w:rPr>
          <w:rFonts w:hint="eastAsia" w:ascii="仿宋_GB2312" w:eastAsia="仿宋_GB2312"/>
          <w:b/>
          <w:sz w:val="32"/>
          <w:szCs w:val="30"/>
        </w:rPr>
        <w:t>第四部分  名词解释</w:t>
      </w:r>
    </w:p>
    <w:p>
      <w:pPr>
        <w:widowControl/>
        <w:spacing w:line="580" w:lineRule="exact"/>
        <w:jc w:val="center"/>
        <w:rPr>
          <w:rFonts w:hint="eastAsia" w:ascii="仿宋_GB2312" w:eastAsia="仿宋_GB2312"/>
          <w:b/>
          <w:sz w:val="32"/>
          <w:szCs w:val="30"/>
        </w:rPr>
      </w:pPr>
    </w:p>
    <w:p>
      <w:pPr>
        <w:widowControl/>
        <w:spacing w:line="580" w:lineRule="exact"/>
        <w:jc w:val="center"/>
        <w:rPr>
          <w:rFonts w:hint="eastAsia" w:ascii="仿宋_GB2312" w:eastAsia="仿宋_GB2312"/>
          <w:b/>
          <w:sz w:val="32"/>
          <w:szCs w:val="30"/>
        </w:rPr>
      </w:pPr>
    </w:p>
    <w:p>
      <w:pPr>
        <w:keepNext w:val="0"/>
        <w:keepLines w:val="0"/>
        <w:pageBreakBefore w:val="0"/>
        <w:widowControl w:val="0"/>
        <w:kinsoku/>
        <w:wordWrap/>
        <w:overflowPunct/>
        <w:topLinePunct w:val="0"/>
        <w:autoSpaceDE/>
        <w:autoSpaceDN/>
        <w:bidi w:val="0"/>
        <w:adjustRightInd/>
        <w:snapToGrid/>
        <w:spacing w:line="570" w:lineRule="exact"/>
        <w:ind w:firstLine="630" w:firstLineChars="196"/>
        <w:textAlignment w:val="auto"/>
        <w:rPr>
          <w:rFonts w:hint="eastAsia" w:ascii="黑体" w:hAnsi="黑体" w:eastAsia="黑体" w:cs="黑体"/>
          <w:b/>
          <w:color w:val="auto"/>
          <w:sz w:val="28"/>
          <w:szCs w:val="28"/>
          <w:highlight w:val="none"/>
          <w:shd w:val="clear" w:color="auto" w:fill="auto"/>
        </w:rPr>
      </w:pPr>
      <w:r>
        <w:rPr>
          <w:rFonts w:hint="eastAsia" w:ascii="仿宋_GB2312" w:eastAsia="仿宋_GB2312"/>
          <w:b/>
          <w:sz w:val="32"/>
          <w:szCs w:val="30"/>
        </w:rPr>
        <w:t>第一部分  珠山区</w:t>
      </w:r>
      <w:r>
        <w:rPr>
          <w:rFonts w:hint="eastAsia" w:ascii="仿宋_GB2312" w:eastAsia="仿宋_GB2312"/>
          <w:b/>
          <w:sz w:val="32"/>
          <w:szCs w:val="30"/>
          <w:lang w:eastAsia="zh-CN"/>
        </w:rPr>
        <w:t>编办</w:t>
      </w:r>
      <w:r>
        <w:rPr>
          <w:rFonts w:hint="eastAsia" w:ascii="仿宋_GB2312" w:eastAsia="仿宋_GB2312"/>
          <w:b/>
          <w:sz w:val="32"/>
          <w:szCs w:val="30"/>
        </w:rPr>
        <w:t>概况</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一、部门主要职责</w:t>
      </w:r>
    </w:p>
    <w:p>
      <w:pPr>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、贯彻执行党和国家有关行政管理体制和机构改革的方针、政策以及机构编制管理法规，拟订全区行政管理体制和机构改革以及机构编制管理的政策、法规。</w:t>
      </w:r>
      <w:r>
        <w:rPr>
          <w:rFonts w:ascii="仿宋_GB2312" w:eastAsia="仿宋_GB2312"/>
          <w:sz w:val="32"/>
          <w:szCs w:val="32"/>
        </w:rPr>
        <w:t xml:space="preserve"> </w:t>
      </w:r>
      <w:r>
        <w:rPr>
          <w:rFonts w:ascii="仿宋_GB2312" w:eastAsia="仿宋_GB2312"/>
          <w:sz w:val="32"/>
          <w:szCs w:val="32"/>
        </w:rPr>
        <w:br w:type="textWrapping"/>
      </w:r>
      <w:r>
        <w:rPr>
          <w:rFonts w:eastAsia="仿宋_GB2312"/>
          <w:sz w:val="32"/>
          <w:szCs w:val="32"/>
        </w:rPr>
        <w:t>  </w:t>
      </w:r>
      <w:r>
        <w:rPr>
          <w:rFonts w:ascii="仿宋_GB2312" w:eastAsia="仿宋_GB2312"/>
          <w:sz w:val="32"/>
          <w:szCs w:val="32"/>
        </w:rPr>
        <w:t xml:space="preserve">  2</w:t>
      </w:r>
      <w:r>
        <w:rPr>
          <w:rFonts w:hint="eastAsia" w:ascii="仿宋_GB2312" w:eastAsia="仿宋_GB2312"/>
          <w:sz w:val="32"/>
          <w:szCs w:val="32"/>
        </w:rPr>
        <w:t>、统一管理区党政机关，人大、政协、审判、检察机关，各民主党派、人民团体机关的机构编制工作。</w:t>
      </w:r>
    </w:p>
    <w:p>
      <w:pPr>
        <w:ind w:firstLine="480" w:firstLineChars="150"/>
        <w:rPr>
          <w:rFonts w:ascii="仿宋_GB2312" w:eastAsia="仿宋_GB2312"/>
          <w:sz w:val="32"/>
          <w:szCs w:val="32"/>
        </w:rPr>
      </w:pPr>
      <w:r>
        <w:rPr>
          <w:rFonts w:hint="eastAsia" w:ascii="仿宋_GB2312" w:eastAsia="仿宋_GB2312"/>
          <w:sz w:val="32"/>
          <w:szCs w:val="32"/>
        </w:rPr>
        <w:t>3、根据上级党委、政府的部署，研究拟定本区行政管理体制和机构改革的总体方案，审核并实施区直党政机关，街道党政机构改革方案。</w:t>
      </w:r>
      <w:r>
        <w:rPr>
          <w:rFonts w:ascii="仿宋_GB2312" w:eastAsia="仿宋_GB2312"/>
          <w:sz w:val="32"/>
          <w:szCs w:val="32"/>
        </w:rPr>
        <w:br w:type="textWrapping"/>
      </w:r>
      <w:r>
        <w:rPr>
          <w:rFonts w:eastAsia="仿宋_GB2312"/>
          <w:sz w:val="32"/>
          <w:szCs w:val="32"/>
        </w:rPr>
        <w:t>  </w:t>
      </w:r>
      <w:r>
        <w:rPr>
          <w:rFonts w:ascii="仿宋_GB2312" w:eastAsia="仿宋_GB2312"/>
          <w:sz w:val="32"/>
          <w:szCs w:val="32"/>
        </w:rPr>
        <w:t xml:space="preserve">  </w:t>
      </w:r>
      <w:r>
        <w:rPr>
          <w:rFonts w:hint="eastAsia" w:ascii="仿宋_GB2312" w:eastAsia="仿宋_GB2312"/>
          <w:sz w:val="32"/>
          <w:szCs w:val="32"/>
        </w:rPr>
        <w:t>4、协调区委各部门之间、区政府各部门之间职能配置及其调整，区委各部门和区政府各部门之间以及区直各部门与街道之间的职责分工。</w:t>
      </w:r>
      <w:r>
        <w:rPr>
          <w:rFonts w:ascii="仿宋_GB2312" w:eastAsia="仿宋_GB2312"/>
          <w:sz w:val="32"/>
          <w:szCs w:val="32"/>
        </w:rPr>
        <w:t xml:space="preserve"> </w:t>
      </w:r>
      <w:r>
        <w:rPr>
          <w:rFonts w:ascii="仿宋_GB2312" w:eastAsia="仿宋_GB2312"/>
          <w:sz w:val="32"/>
          <w:szCs w:val="32"/>
        </w:rPr>
        <w:br w:type="textWrapping"/>
      </w:r>
      <w:r>
        <w:rPr>
          <w:rFonts w:eastAsia="仿宋_GB2312"/>
          <w:sz w:val="32"/>
          <w:szCs w:val="32"/>
        </w:rPr>
        <w:t>  </w:t>
      </w:r>
      <w:r>
        <w:rPr>
          <w:rFonts w:ascii="仿宋_GB2312" w:eastAsia="仿宋_GB2312"/>
          <w:sz w:val="32"/>
          <w:szCs w:val="32"/>
        </w:rPr>
        <w:t xml:space="preserve">  </w:t>
      </w:r>
      <w:r>
        <w:rPr>
          <w:rFonts w:hint="eastAsia" w:ascii="仿宋_GB2312" w:eastAsia="仿宋_GB2312"/>
          <w:sz w:val="32"/>
          <w:szCs w:val="32"/>
        </w:rPr>
        <w:t>5、负责审核区委、区政府各工作部门和派出机构及部门管理的事业单位的内设机构，人员编制和领导职数。</w:t>
      </w:r>
    </w:p>
    <w:p>
      <w:pPr>
        <w:ind w:firstLine="480" w:firstLineChars="150"/>
        <w:rPr>
          <w:rFonts w:ascii="仿宋_GB2312" w:eastAsia="仿宋_GB2312"/>
          <w:sz w:val="32"/>
          <w:szCs w:val="32"/>
        </w:rPr>
      </w:pPr>
      <w:r>
        <w:rPr>
          <w:rFonts w:hint="eastAsia" w:ascii="仿宋_GB2312" w:eastAsia="仿宋_GB2312"/>
          <w:sz w:val="32"/>
          <w:szCs w:val="32"/>
        </w:rPr>
        <w:t>6、负责审核区人大、区政协机关，区人民法院、区检察机关，区各民主党派、人民团体机关的机构设置、职责配置、人员编制与领导职数。</w:t>
      </w:r>
      <w:r>
        <w:rPr>
          <w:rFonts w:eastAsia="仿宋_GB2312"/>
          <w:sz w:val="32"/>
          <w:szCs w:val="32"/>
        </w:rPr>
        <w:t> </w:t>
      </w:r>
      <w:r>
        <w:rPr>
          <w:rFonts w:ascii="仿宋_GB2312" w:eastAsia="仿宋_GB2312"/>
          <w:sz w:val="32"/>
          <w:szCs w:val="32"/>
        </w:rPr>
        <w:br w:type="textWrapping"/>
      </w:r>
      <w:r>
        <w:rPr>
          <w:rFonts w:eastAsia="仿宋_GB2312"/>
          <w:sz w:val="32"/>
          <w:szCs w:val="32"/>
        </w:rPr>
        <w:t>  </w:t>
      </w:r>
      <w:r>
        <w:rPr>
          <w:rFonts w:ascii="仿宋_GB2312" w:eastAsia="仿宋_GB2312"/>
          <w:sz w:val="32"/>
          <w:szCs w:val="32"/>
        </w:rPr>
        <w:t xml:space="preserve">  </w:t>
      </w:r>
      <w:r>
        <w:rPr>
          <w:rFonts w:hint="eastAsia" w:ascii="仿宋_GB2312" w:eastAsia="仿宋_GB2312"/>
          <w:sz w:val="32"/>
          <w:szCs w:val="32"/>
        </w:rPr>
        <w:t>7、拟订全区事业单位管理体制和机构改革的方案，审核区委、区政府直属事业单位和部门所属事业单位的机构设置、定员标准并组织实施。指导协调全区各级事业单位管理体制改革和机构编制管理工作；组织、实施全区事业单位法人登记工作。</w:t>
      </w:r>
      <w:r>
        <w:rPr>
          <w:rFonts w:ascii="仿宋_GB2312" w:eastAsia="仿宋_GB2312"/>
          <w:sz w:val="32"/>
          <w:szCs w:val="32"/>
        </w:rPr>
        <w:t xml:space="preserve"> </w:t>
      </w:r>
      <w:r>
        <w:rPr>
          <w:rFonts w:ascii="仿宋_GB2312" w:eastAsia="仿宋_GB2312"/>
          <w:sz w:val="32"/>
          <w:szCs w:val="32"/>
        </w:rPr>
        <w:br w:type="textWrapping"/>
      </w:r>
      <w:r>
        <w:rPr>
          <w:rFonts w:eastAsia="仿宋_GB2312"/>
          <w:sz w:val="32"/>
          <w:szCs w:val="32"/>
        </w:rPr>
        <w:t>  </w:t>
      </w:r>
      <w:r>
        <w:rPr>
          <w:rFonts w:ascii="仿宋_GB2312" w:eastAsia="仿宋_GB2312"/>
          <w:sz w:val="32"/>
          <w:szCs w:val="32"/>
        </w:rPr>
        <w:t xml:space="preserve">  </w:t>
      </w:r>
      <w:r>
        <w:rPr>
          <w:rFonts w:hint="eastAsia" w:ascii="仿宋_GB2312" w:eastAsia="仿宋_GB2312"/>
          <w:sz w:val="32"/>
          <w:szCs w:val="32"/>
        </w:rPr>
        <w:t>8、监督检查全区行政管理体制和机构改革以及机构编制管理政策法规执行情况，报告区编委并上报区委、区政府。</w:t>
      </w:r>
      <w:r>
        <w:rPr>
          <w:rFonts w:ascii="仿宋_GB2312" w:eastAsia="仿宋_GB2312"/>
          <w:sz w:val="32"/>
          <w:szCs w:val="32"/>
        </w:rPr>
        <w:t xml:space="preserve"> </w:t>
      </w:r>
      <w:r>
        <w:rPr>
          <w:rFonts w:ascii="仿宋_GB2312" w:eastAsia="仿宋_GB2312"/>
          <w:sz w:val="32"/>
          <w:szCs w:val="32"/>
        </w:rPr>
        <w:br w:type="textWrapping"/>
      </w:r>
      <w:r>
        <w:rPr>
          <w:rFonts w:eastAsia="仿宋_GB2312"/>
          <w:sz w:val="32"/>
          <w:szCs w:val="32"/>
        </w:rPr>
        <w:t>  </w:t>
      </w:r>
      <w:r>
        <w:rPr>
          <w:rFonts w:ascii="仿宋_GB2312" w:eastAsia="仿宋_GB2312"/>
          <w:sz w:val="32"/>
          <w:szCs w:val="32"/>
        </w:rPr>
        <w:t xml:space="preserve"> </w:t>
      </w:r>
      <w:r>
        <w:rPr>
          <w:rFonts w:hint="eastAsia" w:ascii="仿宋_GB2312" w:eastAsia="仿宋_GB2312"/>
          <w:sz w:val="32"/>
          <w:szCs w:val="32"/>
        </w:rPr>
        <w:t xml:space="preserve"> 9、负责区编委的会议记录；负责区编委文件、材料的起草，打印；负责编制统计、业务培训等工作。</w:t>
      </w:r>
    </w:p>
    <w:p>
      <w:pPr>
        <w:keepNext w:val="0"/>
        <w:keepLines w:val="0"/>
        <w:pageBreakBefore w:val="0"/>
        <w:widowControl w:val="0"/>
        <w:kinsoku/>
        <w:wordWrap/>
        <w:overflowPunct/>
        <w:topLinePunct w:val="0"/>
        <w:autoSpaceDE/>
        <w:autoSpaceDN/>
        <w:bidi w:val="0"/>
        <w:adjustRightInd/>
        <w:snapToGrid/>
        <w:spacing w:line="570" w:lineRule="exact"/>
        <w:ind w:firstLine="627" w:firstLineChars="196"/>
        <w:textAlignment w:val="auto"/>
        <w:rPr>
          <w:rFonts w:hint="eastAsia" w:ascii="黑体" w:hAnsi="黑体" w:eastAsia="黑体" w:cs="黑体"/>
          <w:b/>
          <w:color w:val="auto"/>
          <w:sz w:val="28"/>
          <w:szCs w:val="28"/>
          <w:highlight w:val="none"/>
          <w:shd w:val="clear" w:color="auto" w:fill="auto"/>
        </w:rPr>
      </w:pPr>
      <w:r>
        <w:rPr>
          <w:rFonts w:hint="eastAsia" w:ascii="仿宋_GB2312" w:eastAsia="仿宋_GB2312"/>
          <w:sz w:val="32"/>
          <w:szCs w:val="32"/>
        </w:rPr>
        <w:t>10、承办区委、区政府和区编委交办的其他工作事项。</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二、部门基本情况</w:t>
      </w:r>
    </w:p>
    <w:p>
      <w:pPr>
        <w:keepNext w:val="0"/>
        <w:keepLines w:val="0"/>
        <w:pageBreakBefore w:val="0"/>
        <w:widowControl w:val="0"/>
        <w:kinsoku/>
        <w:wordWrap/>
        <w:overflowPunct/>
        <w:topLinePunct w:val="0"/>
        <w:autoSpaceDE/>
        <w:autoSpaceDN/>
        <w:bidi w:val="0"/>
        <w:adjustRightInd/>
        <w:snapToGrid/>
        <w:spacing w:line="570" w:lineRule="exact"/>
        <w:ind w:firstLine="627" w:firstLineChars="196"/>
        <w:textAlignment w:val="auto"/>
        <w:rPr>
          <w:rFonts w:hint="eastAsia" w:ascii="黑体" w:hAnsi="黑体" w:eastAsia="黑体" w:cs="黑体"/>
          <w:b/>
          <w:color w:val="auto"/>
          <w:sz w:val="28"/>
          <w:szCs w:val="28"/>
          <w:highlight w:val="none"/>
          <w:shd w:val="clear" w:color="auto" w:fill="auto"/>
        </w:rPr>
      </w:pPr>
      <w:r>
        <w:rPr>
          <w:rFonts w:hint="eastAsia" w:ascii="仿宋_GB2312" w:eastAsia="仿宋_GB2312"/>
          <w:sz w:val="32"/>
          <w:szCs w:val="32"/>
        </w:rPr>
        <w:t>本部门共有预算单位</w:t>
      </w:r>
      <w:r>
        <w:rPr>
          <w:rFonts w:ascii="仿宋_GB2312" w:eastAsia="仿宋_GB2312"/>
          <w:sz w:val="32"/>
          <w:szCs w:val="32"/>
        </w:rPr>
        <w:t>1</w:t>
      </w:r>
      <w:r>
        <w:rPr>
          <w:rFonts w:hint="eastAsia" w:ascii="仿宋_GB2312" w:eastAsia="仿宋_GB2312"/>
          <w:sz w:val="32"/>
          <w:szCs w:val="32"/>
        </w:rPr>
        <w:t>个，即部门本级。人员编制数为3人，其中行政编制3人。</w:t>
      </w:r>
    </w:p>
    <w:p>
      <w:pPr>
        <w:spacing w:line="660" w:lineRule="exact"/>
        <w:ind w:firstLine="643" w:firstLineChars="200"/>
        <w:rPr>
          <w:rFonts w:hint="eastAsia" w:ascii="仿宋_GB2312" w:hAnsi="Calibri" w:eastAsia="仿宋_GB2312" w:cs="宋体"/>
          <w:b/>
          <w:kern w:val="0"/>
          <w:sz w:val="32"/>
          <w:szCs w:val="32"/>
        </w:rPr>
      </w:pPr>
    </w:p>
    <w:p>
      <w:pPr>
        <w:spacing w:line="660" w:lineRule="exact"/>
        <w:ind w:firstLine="643" w:firstLineChars="200"/>
        <w:rPr>
          <w:rFonts w:hint="eastAsia" w:ascii="仿宋_GB2312" w:hAnsi="仿宋" w:eastAsia="仿宋_GB2312" w:cs="仿宋"/>
          <w:sz w:val="28"/>
          <w:szCs w:val="28"/>
        </w:rPr>
      </w:pPr>
      <w:r>
        <w:rPr>
          <w:rFonts w:hint="eastAsia" w:ascii="仿宋_GB2312" w:hAnsi="Calibri" w:eastAsia="仿宋_GB2312" w:cs="宋体"/>
          <w:b/>
          <w:kern w:val="0"/>
          <w:sz w:val="32"/>
          <w:szCs w:val="32"/>
        </w:rPr>
        <w:t xml:space="preserve">第二部分  </w:t>
      </w:r>
      <w:r>
        <w:rPr>
          <w:rFonts w:hint="eastAsia" w:ascii="仿宋_GB2312" w:eastAsia="仿宋_GB2312"/>
          <w:b/>
          <w:sz w:val="32"/>
          <w:szCs w:val="30"/>
        </w:rPr>
        <w:t>珠山区</w:t>
      </w:r>
      <w:r>
        <w:rPr>
          <w:rFonts w:hint="eastAsia" w:ascii="仿宋_GB2312" w:eastAsia="仿宋_GB2312"/>
          <w:b/>
          <w:sz w:val="32"/>
          <w:szCs w:val="30"/>
          <w:lang w:eastAsia="zh-CN"/>
        </w:rPr>
        <w:t>编办</w:t>
      </w:r>
      <w:r>
        <w:rPr>
          <w:rFonts w:hint="eastAsia" w:ascii="仿宋_GB2312" w:eastAsia="仿宋_GB2312"/>
          <w:b/>
          <w:sz w:val="32"/>
          <w:szCs w:val="30"/>
          <w:lang w:val="en-US" w:eastAsia="zh-CN"/>
        </w:rPr>
        <w:t>2020</w:t>
      </w:r>
      <w:r>
        <w:rPr>
          <w:rFonts w:hint="eastAsia" w:ascii="仿宋_GB2312" w:eastAsia="仿宋_GB2312"/>
          <w:b/>
          <w:sz w:val="32"/>
          <w:szCs w:val="30"/>
        </w:rPr>
        <w:t>年部门预算情况说明</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lang w:eastAsia="zh-CN"/>
        </w:rPr>
        <w:t>一</w:t>
      </w:r>
      <w:r>
        <w:rPr>
          <w:rFonts w:hint="eastAsia" w:ascii="黑体" w:hAnsi="黑体" w:eastAsia="黑体" w:cs="黑体"/>
          <w:b/>
          <w:color w:val="auto"/>
          <w:sz w:val="28"/>
          <w:szCs w:val="28"/>
          <w:highlight w:val="none"/>
          <w:shd w:val="clear" w:color="auto" w:fill="auto"/>
        </w:rPr>
        <w:t>、</w:t>
      </w:r>
      <w:r>
        <w:rPr>
          <w:rFonts w:hint="eastAsia" w:ascii="黑体" w:hAnsi="黑体" w:eastAsia="黑体" w:cs="黑体"/>
          <w:b/>
          <w:color w:val="auto"/>
          <w:sz w:val="28"/>
          <w:szCs w:val="28"/>
          <w:highlight w:val="none"/>
          <w:shd w:val="clear" w:color="auto" w:fill="auto"/>
          <w:lang w:val="en-US" w:eastAsia="zh-CN"/>
        </w:rPr>
        <w:t>2020年</w:t>
      </w:r>
      <w:r>
        <w:rPr>
          <w:rFonts w:hint="eastAsia" w:ascii="黑体" w:hAnsi="黑体" w:eastAsia="黑体" w:cs="黑体"/>
          <w:b/>
          <w:color w:val="auto"/>
          <w:sz w:val="28"/>
          <w:szCs w:val="28"/>
          <w:highlight w:val="none"/>
          <w:shd w:val="clear" w:color="auto" w:fill="auto"/>
        </w:rPr>
        <w:t>部门预算收支情况说明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（一）</w:t>
      </w:r>
      <w:r>
        <w:rPr>
          <w:rFonts w:hint="eastAsia" w:ascii="楷体_GB2312" w:hAnsi="楷体_GB2312" w:eastAsia="楷体_GB2312" w:cs="楷体_GB2312"/>
          <w:b/>
          <w:color w:val="auto"/>
          <w:sz w:val="28"/>
          <w:szCs w:val="28"/>
          <w:highlight w:val="none"/>
          <w:shd w:val="clear" w:color="auto" w:fill="auto"/>
          <w:lang w:eastAsia="zh-CN"/>
        </w:rPr>
        <w:t>收入预算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6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编办</w:t>
      </w:r>
      <w:r>
        <w:rPr>
          <w:rFonts w:hint="eastAsia" w:ascii="仿宋_GB2312" w:hAnsi="仿宋_GB2312" w:eastAsia="仿宋_GB2312" w:cs="仿宋_GB2312"/>
          <w:color w:val="auto"/>
          <w:sz w:val="28"/>
          <w:szCs w:val="28"/>
          <w:highlight w:val="none"/>
          <w:shd w:val="clear" w:color="auto" w:fill="auto"/>
        </w:rPr>
        <w:t>收入预算总额为</w:t>
      </w:r>
      <w:r>
        <w:rPr>
          <w:rFonts w:hint="eastAsia" w:ascii="仿宋_GB2312" w:hAnsi="仿宋_GB2312" w:eastAsia="仿宋_GB2312" w:cs="仿宋_GB2312"/>
          <w:color w:val="auto"/>
          <w:sz w:val="28"/>
          <w:szCs w:val="28"/>
          <w:highlight w:val="none"/>
          <w:shd w:val="clear" w:color="auto" w:fill="auto"/>
          <w:lang w:val="en-US" w:eastAsia="zh-CN"/>
        </w:rPr>
        <w:t>64.40</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w:t>
      </w:r>
      <w:r>
        <w:rPr>
          <w:rFonts w:hint="eastAsia" w:ascii="仿宋_GB2312" w:hAnsi="仿宋_GB2312" w:eastAsia="仿宋_GB2312" w:cs="仿宋_GB2312"/>
          <w:color w:val="auto"/>
          <w:sz w:val="28"/>
          <w:szCs w:val="28"/>
          <w:highlight w:val="none"/>
          <w:shd w:val="clear" w:color="auto" w:fill="auto"/>
          <w:lang w:val="en-US" w:eastAsia="zh-CN"/>
        </w:rPr>
        <w:t>加44.39%。</w:t>
      </w:r>
      <w:r>
        <w:rPr>
          <w:rFonts w:hint="eastAsia" w:ascii="仿宋_GB2312" w:hAnsi="仿宋_GB2312" w:eastAsia="仿宋_GB2312" w:cs="仿宋_GB2312"/>
          <w:color w:val="auto"/>
          <w:sz w:val="28"/>
          <w:szCs w:val="28"/>
          <w:highlight w:val="none"/>
          <w:shd w:val="clear" w:color="auto" w:fill="auto"/>
        </w:rPr>
        <w:t>其中：财政拨款收入</w:t>
      </w:r>
      <w:r>
        <w:rPr>
          <w:rFonts w:hint="eastAsia" w:ascii="仿宋_GB2312" w:hAnsi="仿宋_GB2312" w:eastAsia="仿宋_GB2312" w:cs="仿宋_GB2312"/>
          <w:color w:val="auto"/>
          <w:sz w:val="28"/>
          <w:szCs w:val="28"/>
          <w:highlight w:val="none"/>
          <w:shd w:val="clear" w:color="auto" w:fill="auto"/>
          <w:lang w:val="en-US" w:eastAsia="zh-CN"/>
        </w:rPr>
        <w:t>64.40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（二）</w:t>
      </w:r>
      <w:r>
        <w:rPr>
          <w:rFonts w:hint="eastAsia" w:ascii="楷体_GB2312" w:hAnsi="楷体_GB2312" w:eastAsia="楷体_GB2312" w:cs="楷体_GB2312"/>
          <w:b/>
          <w:color w:val="auto"/>
          <w:sz w:val="28"/>
          <w:szCs w:val="28"/>
          <w:highlight w:val="none"/>
          <w:shd w:val="clear" w:color="auto" w:fill="auto"/>
          <w:lang w:eastAsia="zh-CN"/>
        </w:rPr>
        <w:t>支出预算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b/>
          <w:color w:val="auto"/>
          <w:sz w:val="28"/>
          <w:szCs w:val="28"/>
          <w:highlight w:val="none"/>
          <w:shd w:val="clear" w:color="auto" w:fill="auto"/>
        </w:rPr>
        <w:t xml:space="preserve"> </w:t>
      </w: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编办</w:t>
      </w:r>
      <w:r>
        <w:rPr>
          <w:rFonts w:hint="eastAsia" w:ascii="仿宋_GB2312" w:hAnsi="仿宋_GB2312" w:eastAsia="仿宋_GB2312" w:cs="仿宋_GB2312"/>
          <w:color w:val="auto"/>
          <w:sz w:val="28"/>
          <w:szCs w:val="28"/>
          <w:highlight w:val="none"/>
          <w:shd w:val="clear" w:color="auto" w:fill="auto"/>
        </w:rPr>
        <w:t>支出预算总额为</w:t>
      </w:r>
      <w:r>
        <w:rPr>
          <w:rFonts w:hint="eastAsia" w:ascii="仿宋_GB2312" w:hAnsi="仿宋_GB2312" w:eastAsia="仿宋_GB2312" w:cs="仿宋_GB2312"/>
          <w:color w:val="auto"/>
          <w:sz w:val="28"/>
          <w:szCs w:val="28"/>
          <w:highlight w:val="none"/>
          <w:shd w:val="clear" w:color="auto" w:fill="auto"/>
          <w:lang w:val="en-US" w:eastAsia="zh-CN"/>
        </w:rPr>
        <w:t>64.40</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，与上年预算相比增</w:t>
      </w:r>
      <w:r>
        <w:rPr>
          <w:rFonts w:hint="eastAsia" w:ascii="仿宋_GB2312" w:hAnsi="仿宋_GB2312" w:eastAsia="仿宋_GB2312" w:cs="仿宋_GB2312"/>
          <w:color w:val="auto"/>
          <w:sz w:val="28"/>
          <w:szCs w:val="28"/>
          <w:highlight w:val="none"/>
          <w:shd w:val="clear" w:color="auto" w:fill="auto"/>
          <w:lang w:val="en-US" w:eastAsia="zh-CN"/>
        </w:rPr>
        <w:t>加44.39%</w:t>
      </w:r>
      <w:r>
        <w:rPr>
          <w:rFonts w:hint="eastAsia" w:ascii="仿宋_GB2312" w:hAnsi="仿宋_GB2312" w:eastAsia="仿宋_GB2312" w:cs="仿宋_GB2312"/>
          <w:color w:val="auto"/>
          <w:sz w:val="28"/>
          <w:szCs w:val="28"/>
          <w:highlight w:val="none"/>
          <w:shd w:val="clear" w:color="auto" w:fill="auto"/>
        </w:rPr>
        <w:t>。其中：</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按支出项目类别划分：基本支出</w:t>
      </w:r>
      <w:r>
        <w:rPr>
          <w:rFonts w:hint="eastAsia" w:ascii="仿宋_GB2312" w:hAnsi="仿宋_GB2312" w:eastAsia="仿宋_GB2312" w:cs="仿宋_GB2312"/>
          <w:color w:val="auto"/>
          <w:sz w:val="28"/>
          <w:szCs w:val="28"/>
          <w:highlight w:val="none"/>
          <w:shd w:val="clear" w:color="auto" w:fill="auto"/>
          <w:lang w:val="en-US" w:eastAsia="zh-CN"/>
        </w:rPr>
        <w:t>55.57</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86.29</w:t>
      </w:r>
      <w:r>
        <w:rPr>
          <w:rFonts w:hint="eastAsia" w:ascii="仿宋_GB2312" w:hAnsi="仿宋_GB2312" w:eastAsia="仿宋_GB2312" w:cs="仿宋_GB2312"/>
          <w:color w:val="auto"/>
          <w:sz w:val="28"/>
          <w:szCs w:val="28"/>
          <w:highlight w:val="none"/>
          <w:shd w:val="clear" w:color="auto" w:fill="auto"/>
        </w:rPr>
        <w:t>%；项目支出</w:t>
      </w:r>
      <w:r>
        <w:rPr>
          <w:rFonts w:hint="eastAsia" w:ascii="仿宋_GB2312" w:hAnsi="仿宋_GB2312" w:eastAsia="仿宋_GB2312" w:cs="仿宋_GB2312"/>
          <w:color w:val="auto"/>
          <w:sz w:val="28"/>
          <w:szCs w:val="28"/>
          <w:highlight w:val="none"/>
          <w:shd w:val="clear" w:color="auto" w:fill="auto"/>
          <w:lang w:val="en-US" w:eastAsia="zh-CN"/>
        </w:rPr>
        <w:t>8.83</w:t>
      </w:r>
      <w:r>
        <w:rPr>
          <w:rFonts w:hint="eastAsia" w:ascii="仿宋_GB2312" w:hAnsi="仿宋_GB2312" w:eastAsia="仿宋_GB2312" w:cs="仿宋_GB2312"/>
          <w:color w:val="auto"/>
          <w:sz w:val="28"/>
          <w:szCs w:val="28"/>
          <w:highlight w:val="none"/>
          <w:shd w:val="clear" w:color="auto" w:fill="auto"/>
        </w:rPr>
        <w:t>万元，占支出总额的</w:t>
      </w:r>
      <w:r>
        <w:rPr>
          <w:rFonts w:hint="eastAsia" w:ascii="仿宋_GB2312" w:hAnsi="仿宋_GB2312" w:eastAsia="仿宋_GB2312" w:cs="仿宋_GB2312"/>
          <w:color w:val="auto"/>
          <w:sz w:val="28"/>
          <w:szCs w:val="28"/>
          <w:highlight w:val="none"/>
          <w:shd w:val="clear" w:color="auto" w:fill="auto"/>
          <w:lang w:val="en-US" w:eastAsia="zh-CN"/>
        </w:rPr>
        <w:t>13.71</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按支出经济分类划分：工资福利支出</w:t>
      </w:r>
      <w:r>
        <w:rPr>
          <w:rFonts w:hint="eastAsia" w:ascii="仿宋_GB2312" w:hAnsi="仿宋_GB2312" w:eastAsia="仿宋_GB2312" w:cs="仿宋_GB2312"/>
          <w:color w:val="auto"/>
          <w:sz w:val="28"/>
          <w:szCs w:val="28"/>
          <w:highlight w:val="none"/>
          <w:shd w:val="clear" w:color="auto" w:fill="auto"/>
          <w:lang w:val="en-US" w:eastAsia="zh-CN"/>
        </w:rPr>
        <w:t>49.15</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76.32</w:t>
      </w:r>
      <w:r>
        <w:rPr>
          <w:rFonts w:hint="eastAsia" w:ascii="仿宋_GB2312" w:hAnsi="仿宋_GB2312" w:eastAsia="仿宋_GB2312" w:cs="仿宋_GB2312"/>
          <w:color w:val="auto"/>
          <w:sz w:val="28"/>
          <w:szCs w:val="28"/>
          <w:highlight w:val="none"/>
          <w:shd w:val="clear" w:color="auto" w:fill="auto"/>
        </w:rPr>
        <w:t>%；商品和服务支出</w:t>
      </w:r>
      <w:r>
        <w:rPr>
          <w:rFonts w:hint="eastAsia" w:ascii="仿宋_GB2312" w:hAnsi="仿宋_GB2312" w:eastAsia="仿宋_GB2312" w:cs="仿宋_GB2312"/>
          <w:color w:val="auto"/>
          <w:sz w:val="28"/>
          <w:szCs w:val="28"/>
          <w:highlight w:val="none"/>
          <w:shd w:val="clear" w:color="auto" w:fill="auto"/>
          <w:lang w:val="en-US" w:eastAsia="zh-CN"/>
        </w:rPr>
        <w:t>3.42</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5.31</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对个人和家庭的补助支出3万元，占支出预算总额的4.66%，项目支出8.83万元，占支出预算总额的13.71%。</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default" w:ascii="楷体_GB2312" w:hAnsi="楷体_GB2312" w:eastAsia="楷体_GB2312" w:cs="楷体_GB2312"/>
          <w:b/>
          <w:color w:val="auto"/>
          <w:sz w:val="28"/>
          <w:szCs w:val="28"/>
          <w:highlight w:val="none"/>
          <w:shd w:val="clear" w:color="auto" w:fill="auto"/>
          <w:lang w:val="en-US" w:eastAsia="zh-CN"/>
        </w:rPr>
      </w:pPr>
      <w:r>
        <w:rPr>
          <w:rFonts w:hint="eastAsia" w:ascii="楷体_GB2312" w:hAnsi="楷体_GB2312" w:eastAsia="楷体_GB2312" w:cs="楷体_GB2312"/>
          <w:b/>
          <w:color w:val="auto"/>
          <w:sz w:val="28"/>
          <w:szCs w:val="28"/>
          <w:highlight w:val="none"/>
          <w:shd w:val="clear" w:color="auto" w:fill="auto"/>
        </w:rPr>
        <w:t>（三）</w:t>
      </w:r>
      <w:r>
        <w:rPr>
          <w:rFonts w:hint="eastAsia" w:ascii="楷体_GB2312" w:hAnsi="楷体_GB2312" w:eastAsia="楷体_GB2312" w:cs="楷体_GB2312"/>
          <w:b/>
          <w:color w:val="auto"/>
          <w:sz w:val="28"/>
          <w:szCs w:val="28"/>
          <w:highlight w:val="none"/>
          <w:shd w:val="clear" w:color="auto" w:fill="auto"/>
          <w:lang w:val="en-US" w:eastAsia="zh-CN"/>
        </w:rPr>
        <w:t>财政拨款支出预算情况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lang w:val="en-US" w:eastAsia="zh-CN"/>
        </w:rPr>
        <w:t>编办</w:t>
      </w:r>
      <w:r>
        <w:rPr>
          <w:rFonts w:hint="eastAsia" w:ascii="仿宋_GB2312" w:hAnsi="仿宋_GB2312" w:eastAsia="仿宋_GB2312" w:cs="仿宋_GB2312"/>
          <w:color w:val="auto"/>
          <w:sz w:val="28"/>
          <w:szCs w:val="28"/>
          <w:highlight w:val="none"/>
          <w:shd w:val="clear" w:color="auto" w:fill="auto"/>
        </w:rPr>
        <w:t>拨款支出预算</w:t>
      </w:r>
      <w:r>
        <w:rPr>
          <w:rFonts w:hint="eastAsia" w:ascii="仿宋_GB2312" w:hAnsi="仿宋_GB2312" w:eastAsia="仿宋_GB2312" w:cs="仿宋_GB2312"/>
          <w:color w:val="auto"/>
          <w:sz w:val="28"/>
          <w:szCs w:val="28"/>
          <w:highlight w:val="none"/>
          <w:shd w:val="clear" w:color="auto" w:fill="auto"/>
          <w:lang w:val="en-US" w:eastAsia="zh-CN"/>
        </w:rPr>
        <w:t>64.40</w:t>
      </w:r>
      <w:r>
        <w:rPr>
          <w:rFonts w:hint="eastAsia" w:ascii="仿宋_GB2312" w:hAnsi="仿宋_GB2312" w:eastAsia="仿宋_GB2312" w:cs="仿宋_GB2312"/>
          <w:color w:val="auto"/>
          <w:sz w:val="28"/>
          <w:szCs w:val="28"/>
          <w:highlight w:val="none"/>
          <w:shd w:val="clear" w:color="auto" w:fill="auto"/>
        </w:rPr>
        <w:t xml:space="preserve"> 万元，具体支出情况是：</w:t>
      </w:r>
      <w:r>
        <w:rPr>
          <w:rFonts w:hint="eastAsia" w:ascii="仿宋_GB2312" w:hAnsi="仿宋_GB2312" w:eastAsia="仿宋_GB2312" w:cs="仿宋_GB2312"/>
          <w:color w:val="auto"/>
          <w:sz w:val="28"/>
          <w:szCs w:val="28"/>
          <w:highlight w:val="none"/>
          <w:shd w:val="clear" w:color="auto" w:fill="auto"/>
          <w:lang w:val="en-US" w:eastAsia="zh-CN"/>
        </w:rPr>
        <w:t>一般公共服务支出50.90</w:t>
      </w:r>
      <w:r>
        <w:rPr>
          <w:rFonts w:hint="eastAsia" w:ascii="仿宋_GB2312" w:hAnsi="仿宋_GB2312" w:eastAsia="仿宋_GB2312" w:cs="仿宋_GB2312"/>
          <w:color w:val="auto"/>
          <w:sz w:val="28"/>
          <w:szCs w:val="28"/>
          <w:highlight w:val="none"/>
          <w:shd w:val="clear" w:color="auto" w:fill="auto"/>
        </w:rPr>
        <w:t>万元，占</w:t>
      </w:r>
      <w:r>
        <w:rPr>
          <w:rFonts w:hint="eastAsia" w:ascii="仿宋_GB2312" w:hAnsi="仿宋_GB2312" w:eastAsia="仿宋_GB2312" w:cs="仿宋_GB2312"/>
          <w:color w:val="auto"/>
          <w:sz w:val="28"/>
          <w:szCs w:val="28"/>
          <w:highlight w:val="none"/>
          <w:shd w:val="clear" w:color="auto" w:fill="auto"/>
          <w:lang w:val="en-US" w:eastAsia="zh-CN"/>
        </w:rPr>
        <w:t>支出预算总额的79.04</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r>
        <w:rPr>
          <w:rFonts w:hint="eastAsia" w:ascii="仿宋_GB2312" w:hAnsi="仿宋_GB2312" w:eastAsia="仿宋_GB2312" w:cs="仿宋_GB2312"/>
          <w:color w:val="auto"/>
          <w:sz w:val="28"/>
          <w:szCs w:val="28"/>
          <w:highlight w:val="none"/>
          <w:shd w:val="clear" w:color="auto" w:fill="auto"/>
          <w:lang w:val="en-US" w:eastAsia="zh-CN"/>
        </w:rPr>
        <w:t>社会保障和就业支出6.90万元，占支出预算总额的10.71%，医疗卫生与计划生育支出2.50万元，占支出预算总额的3.88%，住房保障支出4.10万元，占支出预算总额的6.37%。</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lang w:val="en-US" w:eastAsia="zh-CN"/>
        </w:rPr>
        <w:t>四</w:t>
      </w: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rPr>
        <w:t>政府采购预算情况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2020年编办政府采购预算为15万元，其中：政府集中采购0万元，部门分散采购15万元，增加了双创双修经费。</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楷体_GB2312" w:hAnsi="楷体_GB2312" w:eastAsia="楷体_GB2312" w:cs="楷体_GB2312"/>
          <w:b/>
          <w:color w:val="auto"/>
          <w:sz w:val="28"/>
          <w:szCs w:val="28"/>
          <w:highlight w:val="none"/>
          <w:shd w:val="clear" w:color="auto" w:fill="auto"/>
          <w:lang w:eastAsia="zh-CN"/>
        </w:rPr>
        <w:t>（五）政府基金收支情况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eastAsia="zh-CN"/>
        </w:rPr>
      </w:pPr>
      <w:r>
        <w:rPr>
          <w:rFonts w:hint="eastAsia" w:ascii="仿宋_GB2312" w:hAnsi="仿宋_GB2312" w:eastAsia="仿宋_GB2312" w:cs="仿宋_GB2312"/>
          <w:b w:val="0"/>
          <w:bCs/>
          <w:color w:val="auto"/>
          <w:sz w:val="28"/>
          <w:szCs w:val="28"/>
          <w:highlight w:val="none"/>
          <w:shd w:val="clear" w:color="auto" w:fill="auto"/>
          <w:lang w:eastAsia="zh-CN"/>
        </w:rPr>
        <w:t>无政府基金收支预算</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bCs w:val="0"/>
          <w:color w:val="auto"/>
          <w:sz w:val="28"/>
          <w:szCs w:val="28"/>
          <w:highlight w:val="none"/>
          <w:shd w:val="clear" w:color="auto" w:fill="auto"/>
          <w:lang w:eastAsia="zh-CN"/>
        </w:rPr>
      </w:pPr>
      <w:r>
        <w:rPr>
          <w:rFonts w:hint="eastAsia" w:ascii="楷体_GB2312" w:hAnsi="楷体_GB2312" w:eastAsia="楷体_GB2312" w:cs="楷体_GB2312"/>
          <w:b/>
          <w:bCs w:val="0"/>
          <w:color w:val="auto"/>
          <w:sz w:val="28"/>
          <w:szCs w:val="28"/>
          <w:highlight w:val="none"/>
          <w:shd w:val="clear" w:color="auto" w:fill="auto"/>
          <w:lang w:eastAsia="zh-CN"/>
        </w:rPr>
        <w:t>机关运行经费安排情况</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32"/>
          <w:szCs w:val="32"/>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2020年编办机关运行经费3.42万元，其中办公费1.80万元；公务接待费0.42万元；在职公务交通补贴0.78万元;其他商品和服务支出0.42万元</w:t>
      </w:r>
      <w:bookmarkStart w:id="0" w:name="_GoBack"/>
      <w:bookmarkEnd w:id="0"/>
      <w:r>
        <w:rPr>
          <w:rFonts w:hint="eastAsia" w:ascii="仿宋_GB2312" w:hAnsi="仿宋_GB2312" w:eastAsia="仿宋_GB2312" w:cs="仿宋_GB2312"/>
          <w:b w:val="0"/>
          <w:bCs/>
          <w:color w:val="auto"/>
          <w:sz w:val="28"/>
          <w:szCs w:val="28"/>
          <w:highlight w:val="none"/>
          <w:shd w:val="clear" w:color="auto" w:fill="auto"/>
          <w:lang w:val="en-US" w:eastAsia="zh-CN"/>
        </w:rPr>
        <w:t>。</w:t>
      </w:r>
    </w:p>
    <w:p>
      <w:pPr>
        <w:widowControl/>
        <w:spacing w:line="580" w:lineRule="exact"/>
        <w:ind w:firstLine="703" w:firstLineChars="250"/>
        <w:jc w:val="left"/>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w:t>
      </w:r>
      <w:r>
        <w:rPr>
          <w:rFonts w:hint="eastAsia" w:ascii="楷体_GB2312" w:hAnsi="楷体_GB2312" w:eastAsia="楷体_GB2312" w:cs="楷体_GB2312"/>
          <w:b/>
          <w:sz w:val="28"/>
          <w:szCs w:val="28"/>
          <w:lang w:eastAsia="zh-CN"/>
        </w:rPr>
        <w:t>七</w:t>
      </w:r>
      <w:r>
        <w:rPr>
          <w:rFonts w:hint="eastAsia" w:ascii="楷体_GB2312" w:hAnsi="楷体_GB2312" w:eastAsia="楷体_GB2312" w:cs="楷体_GB2312"/>
          <w:b/>
          <w:sz w:val="28"/>
          <w:szCs w:val="28"/>
        </w:rPr>
        <w:t>）国有资产占有使用情况</w:t>
      </w:r>
    </w:p>
    <w:p>
      <w:pPr>
        <w:widowControl/>
        <w:spacing w:line="580" w:lineRule="exact"/>
        <w:ind w:firstLine="800" w:firstLineChars="250"/>
        <w:jc w:val="left"/>
        <w:rPr>
          <w:rFonts w:hint="eastAsia" w:ascii="仿宋_GB2312" w:eastAsia="仿宋_GB2312"/>
          <w:sz w:val="32"/>
          <w:szCs w:val="30"/>
        </w:rPr>
      </w:pPr>
      <w:r>
        <w:rPr>
          <w:rFonts w:hint="eastAsia" w:ascii="仿宋_GB2312" w:eastAsia="仿宋_GB2312"/>
          <w:sz w:val="32"/>
          <w:szCs w:val="30"/>
        </w:rPr>
        <w:t>截至20</w:t>
      </w:r>
      <w:r>
        <w:rPr>
          <w:rFonts w:hint="eastAsia" w:ascii="仿宋_GB2312" w:eastAsia="仿宋_GB2312"/>
          <w:sz w:val="32"/>
          <w:szCs w:val="30"/>
          <w:lang w:val="en-US" w:eastAsia="zh-CN"/>
        </w:rPr>
        <w:t>20</w:t>
      </w:r>
      <w:r>
        <w:rPr>
          <w:rFonts w:hint="eastAsia" w:ascii="仿宋_GB2312" w:eastAsia="仿宋_GB2312"/>
          <w:sz w:val="32"/>
          <w:szCs w:val="30"/>
        </w:rPr>
        <w:t>年12月31日，部门共有车辆</w:t>
      </w:r>
      <w:r>
        <w:rPr>
          <w:rFonts w:hint="eastAsia" w:ascii="仿宋_GB2312" w:eastAsia="仿宋_GB2312"/>
          <w:sz w:val="32"/>
          <w:szCs w:val="30"/>
          <w:u w:val="single"/>
        </w:rPr>
        <w:t xml:space="preserve">   0   </w:t>
      </w:r>
      <w:r>
        <w:rPr>
          <w:rFonts w:hint="eastAsia" w:ascii="仿宋_GB2312" w:eastAsia="仿宋_GB2312"/>
          <w:sz w:val="32"/>
          <w:szCs w:val="30"/>
        </w:rPr>
        <w:t>辆，其中，一般公务用车</w:t>
      </w:r>
      <w:r>
        <w:rPr>
          <w:rFonts w:hint="eastAsia" w:ascii="仿宋_GB2312" w:eastAsia="仿宋_GB2312"/>
          <w:sz w:val="32"/>
          <w:szCs w:val="30"/>
          <w:u w:val="single"/>
        </w:rPr>
        <w:t xml:space="preserve">   0   </w:t>
      </w:r>
      <w:r>
        <w:rPr>
          <w:rFonts w:hint="eastAsia" w:ascii="仿宋_GB2312" w:eastAsia="仿宋_GB2312"/>
          <w:sz w:val="32"/>
          <w:szCs w:val="30"/>
        </w:rPr>
        <w:t>辆，执法执勤用车</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 xml:space="preserve"> </w:t>
      </w:r>
      <w:r>
        <w:rPr>
          <w:rFonts w:hint="eastAsia" w:ascii="仿宋_GB2312" w:eastAsia="仿宋_GB2312"/>
          <w:sz w:val="32"/>
          <w:szCs w:val="30"/>
          <w:u w:val="single"/>
        </w:rPr>
        <w:t xml:space="preserve">0   </w:t>
      </w:r>
      <w:r>
        <w:rPr>
          <w:rFonts w:hint="eastAsia" w:ascii="仿宋_GB2312" w:eastAsia="仿宋_GB2312"/>
          <w:sz w:val="32"/>
          <w:szCs w:val="30"/>
        </w:rPr>
        <w:t>辆。</w:t>
      </w:r>
    </w:p>
    <w:p>
      <w:pPr>
        <w:widowControl/>
        <w:spacing w:line="580" w:lineRule="exact"/>
        <w:ind w:firstLine="800" w:firstLineChars="250"/>
        <w:jc w:val="left"/>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eastAsia="仿宋_GB2312"/>
          <w:sz w:val="32"/>
          <w:szCs w:val="30"/>
        </w:rPr>
        <w:t>20</w:t>
      </w:r>
      <w:r>
        <w:rPr>
          <w:rFonts w:hint="eastAsia" w:ascii="仿宋_GB2312" w:eastAsia="仿宋_GB2312"/>
          <w:sz w:val="32"/>
          <w:szCs w:val="30"/>
          <w:lang w:val="en-US" w:eastAsia="zh-CN"/>
        </w:rPr>
        <w:t>20</w:t>
      </w:r>
      <w:r>
        <w:rPr>
          <w:rFonts w:hint="eastAsia" w:ascii="仿宋_GB2312" w:eastAsia="仿宋_GB2312"/>
          <w:sz w:val="32"/>
          <w:szCs w:val="30"/>
        </w:rPr>
        <w:t>年部门预算安排购置车辆</w:t>
      </w:r>
      <w:r>
        <w:rPr>
          <w:rFonts w:hint="eastAsia" w:ascii="仿宋_GB2312" w:eastAsia="仿宋_GB2312"/>
          <w:sz w:val="32"/>
          <w:szCs w:val="30"/>
          <w:u w:val="single"/>
        </w:rPr>
        <w:t xml:space="preserve">   0   </w:t>
      </w:r>
      <w:r>
        <w:rPr>
          <w:rFonts w:hint="eastAsia" w:ascii="仿宋_GB2312" w:eastAsia="仿宋_GB2312"/>
          <w:sz w:val="32"/>
          <w:szCs w:val="30"/>
        </w:rPr>
        <w:t>辆，无安排购置单位价值200万元以上大型设备。</w:t>
      </w:r>
    </w:p>
    <w:p>
      <w:pPr>
        <w:widowControl/>
        <w:numPr>
          <w:ilvl w:val="0"/>
          <w:numId w:val="0"/>
        </w:numPr>
        <w:spacing w:line="580" w:lineRule="exact"/>
        <w:ind w:firstLine="843" w:firstLineChars="300"/>
        <w:jc w:val="left"/>
        <w:rPr>
          <w:rFonts w:hint="eastAsia" w:ascii="楷体_GB2312" w:hAnsi="楷体_GB2312" w:eastAsia="楷体_GB2312" w:cs="楷体_GB2312"/>
          <w:b/>
          <w:bCs/>
          <w:color w:val="000000"/>
          <w:spacing w:val="0"/>
          <w:sz w:val="28"/>
          <w:szCs w:val="22"/>
          <w:lang w:eastAsia="zh-CN"/>
        </w:rPr>
      </w:pPr>
      <w:r>
        <w:rPr>
          <w:rFonts w:hint="eastAsia" w:ascii="楷体_GB2312" w:hAnsi="楷体_GB2312" w:eastAsia="楷体_GB2312" w:cs="楷体_GB2312"/>
          <w:b/>
          <w:bCs/>
          <w:color w:val="000000"/>
          <w:spacing w:val="0"/>
          <w:sz w:val="28"/>
          <w:szCs w:val="22"/>
          <w:lang w:eastAsia="zh-CN"/>
        </w:rPr>
        <w:t>（八）</w:t>
      </w:r>
      <w:r>
        <w:rPr>
          <w:rFonts w:hint="eastAsia" w:ascii="楷体_GB2312" w:hAnsi="楷体_GB2312" w:eastAsia="楷体_GB2312" w:cs="楷体_GB2312"/>
          <w:b/>
          <w:bCs/>
          <w:color w:val="000000"/>
          <w:spacing w:val="0"/>
          <w:sz w:val="28"/>
          <w:szCs w:val="22"/>
        </w:rPr>
        <w:t>一级项目绩效目标</w:t>
      </w:r>
      <w:r>
        <w:rPr>
          <w:rFonts w:hint="eastAsia" w:ascii="楷体_GB2312" w:hAnsi="楷体_GB2312" w:eastAsia="楷体_GB2312" w:cs="楷体_GB2312"/>
          <w:b/>
          <w:bCs/>
          <w:color w:val="000000"/>
          <w:spacing w:val="0"/>
          <w:sz w:val="28"/>
          <w:szCs w:val="22"/>
          <w:lang w:eastAsia="zh-CN"/>
        </w:rPr>
        <w:t>设置情况</w:t>
      </w:r>
    </w:p>
    <w:p>
      <w:pPr>
        <w:widowControl/>
        <w:numPr>
          <w:ilvl w:val="0"/>
          <w:numId w:val="0"/>
        </w:numPr>
        <w:spacing w:line="580" w:lineRule="exact"/>
        <w:jc w:val="left"/>
        <w:rPr>
          <w:rFonts w:hint="eastAsia" w:ascii="楷体_GB2312" w:hAnsi="楷体_GB2312" w:eastAsia="楷体_GB2312" w:cs="楷体_GB2312"/>
          <w:b w:val="0"/>
          <w:bCs w:val="0"/>
          <w:color w:val="000000"/>
          <w:spacing w:val="0"/>
          <w:sz w:val="32"/>
          <w:szCs w:val="24"/>
          <w:lang w:val="en-US" w:eastAsia="zh-CN"/>
        </w:rPr>
      </w:pPr>
      <w:r>
        <w:rPr>
          <w:rFonts w:hint="eastAsia" w:ascii="楷体_GB2312" w:hAnsi="楷体_GB2312" w:eastAsia="楷体_GB2312" w:cs="楷体_GB2312"/>
          <w:b/>
          <w:bCs/>
          <w:color w:val="000000"/>
          <w:spacing w:val="0"/>
          <w:sz w:val="28"/>
          <w:szCs w:val="22"/>
          <w:lang w:val="en-US" w:eastAsia="zh-CN"/>
        </w:rPr>
        <w:t xml:space="preserve">    </w:t>
      </w:r>
      <w:r>
        <w:rPr>
          <w:rFonts w:hint="eastAsia" w:ascii="楷体_GB2312" w:hAnsi="楷体_GB2312" w:eastAsia="楷体_GB2312" w:cs="楷体_GB2312"/>
          <w:b w:val="0"/>
          <w:bCs w:val="0"/>
          <w:color w:val="000000"/>
          <w:spacing w:val="0"/>
          <w:sz w:val="28"/>
          <w:szCs w:val="22"/>
          <w:lang w:val="en-US" w:eastAsia="zh-CN"/>
        </w:rPr>
        <w:t xml:space="preserve"> </w:t>
      </w:r>
      <w:r>
        <w:rPr>
          <w:rFonts w:hint="eastAsia" w:ascii="楷体_GB2312" w:hAnsi="楷体_GB2312" w:eastAsia="楷体_GB2312" w:cs="楷体_GB2312"/>
          <w:b w:val="0"/>
          <w:bCs w:val="0"/>
          <w:color w:val="000000"/>
          <w:spacing w:val="0"/>
          <w:sz w:val="32"/>
          <w:szCs w:val="24"/>
          <w:lang w:val="en-US" w:eastAsia="zh-CN"/>
        </w:rPr>
        <w:t xml:space="preserve"> 2020年实行绩效目标管理的一级项目0个，涉及资金0万元。其中：二级项目0个（部门预算中0万元以上的，且进行了绩效评审的二级项目0个，涉及资金0万元），涉及资金0万元。</w:t>
      </w:r>
    </w:p>
    <w:p>
      <w:pPr>
        <w:spacing w:line="570" w:lineRule="exact"/>
        <w:ind w:firstLine="843" w:firstLineChars="300"/>
        <w:rPr>
          <w:rFonts w:hint="eastAsia" w:ascii="楷体_GB2312" w:hAnsi="楷体_GB2312" w:eastAsia="楷体_GB2312" w:cs="楷体_GB2312"/>
          <w:b/>
          <w:sz w:val="28"/>
          <w:szCs w:val="28"/>
          <w:lang w:eastAsia="zh-CN"/>
        </w:rPr>
      </w:pPr>
      <w:r>
        <w:rPr>
          <w:rFonts w:hint="eastAsia" w:ascii="楷体_GB2312" w:hAnsi="楷体_GB2312" w:eastAsia="楷体_GB2312" w:cs="楷体_GB2312"/>
          <w:b/>
          <w:sz w:val="28"/>
          <w:szCs w:val="28"/>
          <w:lang w:eastAsia="zh-CN"/>
        </w:rPr>
        <w:t>（九）一级项目中各二级项目情况说明（部门本级）</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仿宋_GB2312" w:eastAsia="仿宋_GB2312"/>
          <w:sz w:val="32"/>
          <w:szCs w:val="30"/>
          <w:lang w:eastAsia="zh-CN"/>
        </w:rPr>
        <w:t>无一级项目中各二级项目。</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p>
    <w:p>
      <w:pPr>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hint="eastAsia"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w:t>
      </w:r>
      <w:r>
        <w:rPr>
          <w:rFonts w:hint="eastAsia" w:ascii="楷体_GB2312" w:eastAsia="楷体_GB2312"/>
          <w:b/>
          <w:sz w:val="32"/>
          <w:szCs w:val="30"/>
          <w:lang w:val="en-US" w:eastAsia="zh-CN"/>
        </w:rPr>
        <w:t>20</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2020年编办“三公”经费预算支出为0.42万元，比上年预算增加0%。其中：因公出国（境）费用0万元、公务接待费0.42万元、公务用车购置及运行费0万元。</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仿宋_GB2312" w:eastAsia="仿宋_GB2312"/>
          <w:b/>
          <w:sz w:val="32"/>
          <w:szCs w:val="30"/>
        </w:rPr>
      </w:pPr>
      <w:r>
        <w:rPr>
          <w:rFonts w:hint="eastAsia" w:ascii="仿宋_GB2312" w:eastAsia="仿宋_GB2312"/>
          <w:b/>
          <w:sz w:val="32"/>
          <w:szCs w:val="30"/>
        </w:rPr>
        <w:t>第三部分  珠山区</w:t>
      </w:r>
      <w:r>
        <w:rPr>
          <w:rFonts w:hint="eastAsia" w:ascii="仿宋_GB2312" w:eastAsia="仿宋_GB2312"/>
          <w:b/>
          <w:sz w:val="32"/>
          <w:szCs w:val="30"/>
          <w:lang w:eastAsia="zh-CN"/>
        </w:rPr>
        <w:t>编办</w:t>
      </w:r>
      <w:r>
        <w:rPr>
          <w:rFonts w:hint="eastAsia" w:ascii="仿宋_GB2312" w:eastAsia="仿宋_GB2312"/>
          <w:b/>
          <w:sz w:val="32"/>
          <w:szCs w:val="30"/>
        </w:rPr>
        <w:t>20</w:t>
      </w:r>
      <w:r>
        <w:rPr>
          <w:rFonts w:hint="eastAsia" w:ascii="仿宋_GB2312" w:eastAsia="仿宋_GB2312"/>
          <w:b/>
          <w:sz w:val="32"/>
          <w:szCs w:val="30"/>
          <w:lang w:val="en-US" w:eastAsia="zh-CN"/>
        </w:rPr>
        <w:t>20</w:t>
      </w:r>
      <w:r>
        <w:rPr>
          <w:rFonts w:hint="eastAsia" w:ascii="仿宋_GB2312" w:eastAsia="仿宋_GB2312"/>
          <w:b/>
          <w:sz w:val="32"/>
          <w:szCs w:val="30"/>
        </w:rPr>
        <w:t>年部门预算表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一、《收支预算总表》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二、《部门收入总表》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三、《部门支出总表》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四、《财政拨款收支总表》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五、《一般公共预算支出表》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六、《一般公共预算基本支出表》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七、《一般公共预算“三公”经费支出表》</w:t>
      </w:r>
    </w:p>
    <w:p>
      <w:pPr>
        <w:widowControl/>
        <w:spacing w:line="600" w:lineRule="exact"/>
        <w:ind w:firstLine="1280" w:firstLineChars="400"/>
        <w:jc w:val="left"/>
        <w:rPr>
          <w:rFonts w:hint="eastAsia" w:ascii="楷体_GB2312" w:eastAsia="楷体_GB2312"/>
          <w:sz w:val="32"/>
          <w:szCs w:val="30"/>
        </w:rPr>
      </w:pPr>
      <w:r>
        <w:rPr>
          <w:rFonts w:hint="eastAsia" w:ascii="楷体_GB2312" w:eastAsia="楷体_GB2312"/>
          <w:sz w:val="32"/>
          <w:szCs w:val="30"/>
        </w:rPr>
        <w:t>八、《政府性基金预算支出表》</w:t>
      </w:r>
    </w:p>
    <w:p>
      <w:pPr>
        <w:widowControl/>
        <w:spacing w:line="600" w:lineRule="exact"/>
        <w:ind w:firstLine="1280" w:firstLineChars="400"/>
        <w:jc w:val="left"/>
        <w:rPr>
          <w:rFonts w:hint="eastAsia" w:ascii="楷体_GB2312" w:eastAsia="楷体_GB2312"/>
          <w:sz w:val="32"/>
          <w:szCs w:val="30"/>
          <w:lang w:val="en-US" w:eastAsia="zh-CN"/>
        </w:rPr>
      </w:pPr>
      <w:r>
        <w:rPr>
          <w:rFonts w:hint="eastAsia" w:ascii="楷体_GB2312" w:eastAsia="楷体_GB2312"/>
          <w:sz w:val="32"/>
          <w:szCs w:val="30"/>
          <w:lang w:val="en-US" w:eastAsia="zh-CN"/>
        </w:rPr>
        <w:t>九、</w:t>
      </w:r>
      <w:r>
        <w:rPr>
          <w:rFonts w:hint="eastAsia" w:ascii="楷体_GB2312" w:hAnsi="楷体_GB2312" w:eastAsia="楷体_GB2312" w:cs="楷体_GB2312"/>
          <w:color w:val="000000"/>
          <w:spacing w:val="0"/>
          <w:sz w:val="32"/>
        </w:rPr>
        <w:t>《一级项目绩效目标表》</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center"/>
        <w:textAlignment w:val="auto"/>
        <w:rPr>
          <w:rFonts w:hint="eastAsia" w:ascii="仿宋_GB2312" w:eastAsia="仿宋_GB2312"/>
          <w:b/>
          <w:sz w:val="32"/>
          <w:szCs w:val="30"/>
        </w:rPr>
      </w:pP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center"/>
        <w:textAlignment w:val="auto"/>
        <w:rPr>
          <w:rFonts w:hint="eastAsia" w:ascii="仿宋_GB2312" w:eastAsia="仿宋_GB2312"/>
          <w:b/>
          <w:sz w:val="32"/>
          <w:szCs w:val="30"/>
        </w:rPr>
      </w:pPr>
      <w:r>
        <w:rPr>
          <w:rFonts w:hint="eastAsia" w:ascii="仿宋_GB2312" w:eastAsia="仿宋_GB2312"/>
          <w:b/>
          <w:sz w:val="32"/>
          <w:szCs w:val="30"/>
        </w:rPr>
        <w:t>第四部分  名词解释</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一、收入科目</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（一）财政拨款：指省级财政当年拨付的资金。</w:t>
      </w:r>
    </w:p>
    <w:p>
      <w:pPr>
        <w:widowControl/>
        <w:spacing w:line="580" w:lineRule="exact"/>
        <w:ind w:firstLine="636"/>
        <w:jc w:val="left"/>
        <w:rPr>
          <w:rFonts w:hint="eastAsia" w:ascii="仿宋_GB2312" w:eastAsia="仿宋_GB2312"/>
          <w:sz w:val="32"/>
          <w:szCs w:val="30"/>
        </w:rPr>
      </w:pPr>
      <w:r>
        <w:rPr>
          <w:rFonts w:hint="eastAsia" w:ascii="仿宋_GB2312" w:eastAsia="仿宋_GB2312"/>
          <w:sz w:val="32"/>
          <w:szCs w:val="30"/>
        </w:rPr>
        <w:t>（二）事业收入：指事业单位开展专业业务活动及辅助活动取得的收入。</w:t>
      </w:r>
    </w:p>
    <w:p>
      <w:pPr>
        <w:widowControl/>
        <w:spacing w:line="580" w:lineRule="exact"/>
        <w:ind w:firstLine="636"/>
        <w:jc w:val="left"/>
        <w:rPr>
          <w:rFonts w:hint="eastAsia" w:ascii="仿宋_GB2312" w:eastAsia="仿宋_GB2312"/>
          <w:sz w:val="32"/>
          <w:szCs w:val="30"/>
        </w:rPr>
      </w:pPr>
      <w:r>
        <w:rPr>
          <w:rFonts w:hint="eastAsia" w:ascii="仿宋_GB2312" w:eastAsia="仿宋_GB2312"/>
          <w:sz w:val="32"/>
          <w:szCs w:val="30"/>
        </w:rPr>
        <w:t>（三）事业单位经营收入：指事业单位在专业业务活动及辅助活动之外开展非独立核算经营活动取得的收入。</w:t>
      </w:r>
    </w:p>
    <w:p>
      <w:pPr>
        <w:ind w:firstLine="640" w:firstLineChars="200"/>
        <w:rPr>
          <w:rFonts w:hint="eastAsia" w:ascii="仿宋_GB2312" w:eastAsia="仿宋_GB2312"/>
          <w:sz w:val="32"/>
          <w:szCs w:val="30"/>
        </w:rPr>
      </w:pPr>
      <w:r>
        <w:rPr>
          <w:rFonts w:hint="eastAsia" w:ascii="仿宋_GB2312" w:eastAsia="仿宋_GB2312"/>
          <w:sz w:val="32"/>
          <w:szCs w:val="30"/>
        </w:rPr>
        <w:t>（四）上年结转和结余：填列201</w:t>
      </w:r>
      <w:r>
        <w:rPr>
          <w:rFonts w:hint="eastAsia" w:ascii="仿宋_GB2312" w:eastAsia="仿宋_GB2312"/>
          <w:sz w:val="32"/>
          <w:szCs w:val="30"/>
          <w:lang w:val="en-US" w:eastAsia="zh-CN"/>
        </w:rPr>
        <w:t>8</w:t>
      </w:r>
      <w:r>
        <w:rPr>
          <w:rFonts w:hint="eastAsia" w:ascii="仿宋_GB2312" w:eastAsia="仿宋_GB2312"/>
          <w:sz w:val="32"/>
          <w:szCs w:val="30"/>
        </w:rPr>
        <w:t>年全部结转和结余的资金数，包括当年结转结余资金和历年滚存结转结余资金。</w:t>
      </w:r>
    </w:p>
    <w:p>
      <w:pPr>
        <w:widowControl/>
        <w:spacing w:line="580" w:lineRule="exact"/>
        <w:ind w:firstLine="640" w:firstLineChars="200"/>
        <w:jc w:val="left"/>
        <w:rPr>
          <w:rFonts w:hint="eastAsia" w:ascii="仿宋_GB2312" w:eastAsia="仿宋_GB2312"/>
          <w:sz w:val="32"/>
          <w:szCs w:val="30"/>
        </w:rPr>
      </w:pPr>
      <w:r>
        <w:rPr>
          <w:rFonts w:hint="eastAsia" w:ascii="仿宋_GB2312" w:eastAsia="仿宋_GB2312"/>
          <w:sz w:val="32"/>
          <w:szCs w:val="30"/>
        </w:rPr>
        <w:t>二、支出科目</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（一）行政运行：反映行政单位（包括参公单位）的基本支出。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（二）一般行政管理事务：反映行政单位（包括参公单位）未单独设置项级科目的其他项目支出。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（三）机关服务：反映为行政单位（包括参公单位）提供后勤服务的各类后勤服务中心的支出。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（四）预算改革业务：反映财政部门用于预算改革方面的支出。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（五）财政国库业务：反映财政部门用于财政国库集中支出收付业务方面的支出。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（六）财政监察：反映财政监察派出机构的专项业务支出。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（七）信息化建设：反映财政部门用于“金财工程”等信息化建设方面的支出。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（八）事业运行：反映事业单位的基本支出。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（九）其他财政事务支出：反映除上述项目以外的其他财政事务方面的支出。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（十）高等职业教育：反映经国家批准设立的高等职业大学、专科职业教育等方面的支出。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（十一）培训支出：反映各部门安排的用于培训的支出。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（十二）机关事业单位基本养老保险缴费支出：反映机关事业单位实施养老保险制度由单位缴纳的基本养老保险费的支出。</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（十三）行政单位医疗：反映行政事业单位基本医疗保险缴费经费。</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（十四）事业单位医疗：反映财政部门集中安排的事业单位基本医疗保险缴费经费。</w:t>
      </w:r>
    </w:p>
    <w:p>
      <w:pPr>
        <w:widowControl/>
        <w:spacing w:line="580" w:lineRule="exact"/>
        <w:ind w:firstLine="640"/>
        <w:jc w:val="left"/>
        <w:rPr>
          <w:rFonts w:hint="eastAsia" w:ascii="仿宋_GB2312" w:eastAsia="仿宋_GB2312"/>
          <w:sz w:val="32"/>
          <w:szCs w:val="30"/>
        </w:rPr>
      </w:pPr>
      <w:r>
        <w:rPr>
          <w:rFonts w:hint="eastAsia" w:ascii="仿宋_GB2312" w:eastAsia="仿宋_GB2312"/>
          <w:sz w:val="32"/>
          <w:szCs w:val="30"/>
        </w:rPr>
        <w:t>（十五）农业综合开发机构运行：反映农业综合开发部门的基本支出。</w:t>
      </w:r>
    </w:p>
    <w:p>
      <w:pPr>
        <w:widowControl/>
        <w:spacing w:line="580" w:lineRule="exact"/>
        <w:ind w:firstLine="640"/>
        <w:jc w:val="left"/>
        <w:rPr>
          <w:rFonts w:hint="default" w:ascii="仿宋_GB2312" w:eastAsia="仿宋_GB2312"/>
          <w:sz w:val="32"/>
          <w:szCs w:val="30"/>
          <w:lang w:val="en-US" w:eastAsia="zh-CN"/>
        </w:rPr>
      </w:pPr>
      <w:r>
        <w:rPr>
          <w:rFonts w:hint="eastAsia" w:ascii="仿宋_GB2312" w:eastAsia="仿宋_GB2312"/>
          <w:sz w:val="32"/>
          <w:szCs w:val="30"/>
        </w:rPr>
        <w:t>（十六）购房补贴：反映按房改政策规定，行政事业单位向符合条件职工发放的用于购买住房的补贴。</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b w:val="0"/>
          <w:bCs/>
          <w:color w:val="auto"/>
          <w:sz w:val="28"/>
          <w:szCs w:val="28"/>
          <w:highlight w:val="none"/>
          <w:shd w:val="clear" w:color="auto" w:fill="auto"/>
          <w:lang w:val="en-US" w:eastAsia="zh-CN"/>
        </w:rPr>
      </w:pPr>
    </w:p>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CAF5F"/>
    <w:multiLevelType w:val="singleLevel"/>
    <w:tmpl w:val="59ACAF5F"/>
    <w:lvl w:ilvl="0" w:tentative="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2A758E2"/>
    <w:rsid w:val="031F4783"/>
    <w:rsid w:val="03A95701"/>
    <w:rsid w:val="08CF0D2F"/>
    <w:rsid w:val="08E150F2"/>
    <w:rsid w:val="105112B5"/>
    <w:rsid w:val="126E1C54"/>
    <w:rsid w:val="17B115D4"/>
    <w:rsid w:val="17E832CA"/>
    <w:rsid w:val="1C821D74"/>
    <w:rsid w:val="1CC23B03"/>
    <w:rsid w:val="1FB952BD"/>
    <w:rsid w:val="1FBA0CE1"/>
    <w:rsid w:val="21610368"/>
    <w:rsid w:val="22B54E96"/>
    <w:rsid w:val="25BC354F"/>
    <w:rsid w:val="25E315BF"/>
    <w:rsid w:val="260B67CB"/>
    <w:rsid w:val="296554BE"/>
    <w:rsid w:val="297E719B"/>
    <w:rsid w:val="2E201EB5"/>
    <w:rsid w:val="37917C8E"/>
    <w:rsid w:val="37A13162"/>
    <w:rsid w:val="3AD3795F"/>
    <w:rsid w:val="3C6F5CBE"/>
    <w:rsid w:val="3DD817A5"/>
    <w:rsid w:val="3F342416"/>
    <w:rsid w:val="449C3295"/>
    <w:rsid w:val="44B26E56"/>
    <w:rsid w:val="454532B4"/>
    <w:rsid w:val="45FE7EC6"/>
    <w:rsid w:val="46D067DE"/>
    <w:rsid w:val="48DA02A5"/>
    <w:rsid w:val="4A9F60E4"/>
    <w:rsid w:val="4C0B51A1"/>
    <w:rsid w:val="4EA827B7"/>
    <w:rsid w:val="55A62A1E"/>
    <w:rsid w:val="55B145CF"/>
    <w:rsid w:val="573020FB"/>
    <w:rsid w:val="58014A38"/>
    <w:rsid w:val="58F253FF"/>
    <w:rsid w:val="5CCE7FC2"/>
    <w:rsid w:val="5D5B07CD"/>
    <w:rsid w:val="5D6313FA"/>
    <w:rsid w:val="5D951C48"/>
    <w:rsid w:val="61441586"/>
    <w:rsid w:val="64D37477"/>
    <w:rsid w:val="65152FC3"/>
    <w:rsid w:val="68CD12FC"/>
    <w:rsid w:val="69101F1F"/>
    <w:rsid w:val="6D535020"/>
    <w:rsid w:val="70633FCC"/>
    <w:rsid w:val="71F2071A"/>
    <w:rsid w:val="7C0B41D4"/>
    <w:rsid w:val="7C387F5F"/>
    <w:rsid w:val="7C993799"/>
    <w:rsid w:val="7FEE5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1959</Words>
  <Characters>2103</Characters>
  <Lines>0</Lines>
  <Paragraphs>0</Paragraphs>
  <TotalTime>6</TotalTime>
  <ScaleCrop>false</ScaleCrop>
  <LinksUpToDate>false</LinksUpToDate>
  <CharactersWithSpaces>2112</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Administrator</cp:lastModifiedBy>
  <cp:lastPrinted>2018-09-13T02:05:00Z</cp:lastPrinted>
  <dcterms:modified xsi:type="dcterms:W3CDTF">2021-05-29T09:44:32Z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9E759BEB8CFB4C9E8622D431AB5BC206</vt:lpwstr>
  </property>
</Properties>
</file>