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A93C6C">
      <w:pPr>
        <w:spacing w:line="260" w:lineRule="auto"/>
        <w:rPr>
          <w:rFonts w:ascii="宋体"/>
          <w:sz w:val="21"/>
        </w:rPr>
      </w:pPr>
    </w:p>
    <w:p w14:paraId="782DAC9B">
      <w:pPr>
        <w:spacing w:line="260" w:lineRule="auto"/>
        <w:rPr>
          <w:rFonts w:ascii="宋体"/>
          <w:sz w:val="21"/>
        </w:rPr>
      </w:pPr>
    </w:p>
    <w:p w14:paraId="0F0482A8">
      <w:pPr>
        <w:spacing w:before="143" w:line="252" w:lineRule="auto"/>
        <w:ind w:left="1872" w:right="186" w:hanging="1615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spacing w:val="-2"/>
          <w:sz w:val="44"/>
          <w:szCs w:val="44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中共景德镇市珠山区直属机关工作委员会</w:t>
      </w:r>
      <w:r>
        <w:rPr>
          <w:rFonts w:ascii="宋体" w:hAnsi="宋体" w:eastAsia="宋体" w:cs="宋体"/>
          <w:spacing w:val="6"/>
          <w:sz w:val="44"/>
          <w:szCs w:val="44"/>
        </w:rPr>
        <w:t xml:space="preserve"> </w:t>
      </w:r>
      <w:r>
        <w:rPr>
          <w:rFonts w:ascii="宋体" w:hAnsi="宋体" w:eastAsia="宋体" w:cs="宋体"/>
          <w:spacing w:val="-5"/>
          <w:sz w:val="44"/>
          <w:szCs w:val="44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部门</w:t>
      </w:r>
      <w:r>
        <w:rPr>
          <w:rFonts w:ascii="宋体" w:hAnsi="宋体" w:eastAsia="宋体" w:cs="宋体"/>
          <w:spacing w:val="-75"/>
          <w:sz w:val="44"/>
          <w:szCs w:val="44"/>
        </w:rPr>
        <w:t xml:space="preserve"> </w:t>
      </w:r>
      <w:r>
        <w:rPr>
          <w:rFonts w:ascii="宋体" w:hAnsi="宋体" w:eastAsia="宋体" w:cs="宋体"/>
          <w:spacing w:val="-5"/>
          <w:sz w:val="44"/>
          <w:szCs w:val="44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2020</w:t>
      </w:r>
      <w:r>
        <w:rPr>
          <w:rFonts w:ascii="宋体" w:hAnsi="宋体" w:eastAsia="宋体" w:cs="宋体"/>
          <w:spacing w:val="-89"/>
          <w:sz w:val="44"/>
          <w:szCs w:val="44"/>
        </w:rPr>
        <w:t xml:space="preserve"> </w:t>
      </w:r>
      <w:r>
        <w:rPr>
          <w:rFonts w:ascii="宋体" w:hAnsi="宋体" w:eastAsia="宋体" w:cs="宋体"/>
          <w:spacing w:val="-5"/>
          <w:sz w:val="44"/>
          <w:szCs w:val="44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年度部门决算</w:t>
      </w:r>
    </w:p>
    <w:p w14:paraId="28A310FC">
      <w:pPr>
        <w:spacing w:line="441" w:lineRule="auto"/>
        <w:rPr>
          <w:rFonts w:ascii="宋体"/>
          <w:sz w:val="21"/>
        </w:rPr>
      </w:pPr>
    </w:p>
    <w:p w14:paraId="40FB51B5">
      <w:pPr>
        <w:spacing w:before="130" w:line="185" w:lineRule="auto"/>
        <w:ind w:firstLine="3459"/>
        <w:rPr>
          <w:rFonts w:ascii="宋体" w:hAnsi="宋体" w:eastAsia="宋体" w:cs="宋体"/>
          <w:sz w:val="40"/>
          <w:szCs w:val="40"/>
        </w:rPr>
      </w:pPr>
      <w:r>
        <w:rPr>
          <w:rFonts w:ascii="宋体" w:hAnsi="宋体" w:eastAsia="宋体" w:cs="宋体"/>
          <w:spacing w:val="-39"/>
          <w:w w:val="98"/>
          <w:sz w:val="40"/>
          <w:szCs w:val="40"/>
          <w14:textOutline w14:w="7282" w14:cap="sq" w14:cmpd="sng">
            <w14:solidFill>
              <w14:srgbClr w14:val="000000"/>
            </w14:solidFill>
            <w14:prstDash w14:val="solid"/>
            <w14:bevel/>
          </w14:textOutline>
        </w:rPr>
        <w:t>目</w:t>
      </w:r>
      <w:r>
        <w:rPr>
          <w:rFonts w:ascii="宋体" w:hAnsi="宋体" w:eastAsia="宋体" w:cs="宋体"/>
          <w:spacing w:val="5"/>
          <w:sz w:val="40"/>
          <w:szCs w:val="40"/>
        </w:rPr>
        <w:t xml:space="preserve">    </w:t>
      </w:r>
      <w:r>
        <w:rPr>
          <w:rFonts w:ascii="宋体" w:hAnsi="宋体" w:eastAsia="宋体" w:cs="宋体"/>
          <w:spacing w:val="-39"/>
          <w:w w:val="98"/>
          <w:sz w:val="40"/>
          <w:szCs w:val="40"/>
          <w14:textOutline w14:w="7282" w14:cap="sq" w14:cmpd="sng">
            <w14:solidFill>
              <w14:srgbClr w14:val="000000"/>
            </w14:solidFill>
            <w14:prstDash w14:val="solid"/>
            <w14:bevel/>
          </w14:textOutline>
        </w:rPr>
        <w:t>录</w:t>
      </w:r>
    </w:p>
    <w:p w14:paraId="79C21EDF">
      <w:pPr>
        <w:spacing w:line="336" w:lineRule="auto"/>
        <w:rPr>
          <w:rFonts w:ascii="宋体"/>
          <w:sz w:val="21"/>
        </w:rPr>
      </w:pPr>
    </w:p>
    <w:p w14:paraId="1DC95BE8">
      <w:pPr>
        <w:spacing w:line="336" w:lineRule="auto"/>
        <w:rPr>
          <w:rFonts w:ascii="宋体"/>
          <w:sz w:val="21"/>
        </w:rPr>
      </w:pPr>
    </w:p>
    <w:p w14:paraId="4B882B73">
      <w:pPr>
        <w:spacing w:before="105" w:line="187" w:lineRule="auto"/>
        <w:ind w:firstLine="667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3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第一部分</w:t>
      </w:r>
      <w:r>
        <w:rPr>
          <w:rFonts w:ascii="黑体" w:hAnsi="黑体" w:eastAsia="黑体" w:cs="黑体"/>
          <w:spacing w:val="29"/>
          <w:sz w:val="32"/>
          <w:szCs w:val="32"/>
        </w:rPr>
        <w:t xml:space="preserve">  </w:t>
      </w:r>
      <w:r>
        <w:rPr>
          <w:rFonts w:ascii="黑体" w:hAnsi="黑体" w:eastAsia="黑体" w:cs="黑体"/>
          <w:spacing w:val="-3"/>
          <w:sz w:val="32"/>
          <w:szCs w:val="32"/>
        </w:rPr>
        <w:t>中共景德镇市珠山区直属机关工作委员会</w:t>
      </w:r>
    </w:p>
    <w:p w14:paraId="4CECE7FE">
      <w:pPr>
        <w:spacing w:before="275" w:line="187" w:lineRule="auto"/>
        <w:ind w:firstLine="3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5"/>
          <w:sz w:val="32"/>
          <w:szCs w:val="32"/>
        </w:rPr>
        <w:t>部门</w:t>
      </w:r>
      <w:r>
        <w:rPr>
          <w:rFonts w:ascii="黑体" w:hAnsi="黑体" w:eastAsia="黑体" w:cs="黑体"/>
          <w:spacing w:val="-5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概况</w:t>
      </w:r>
    </w:p>
    <w:p w14:paraId="486D3AC5">
      <w:pPr>
        <w:spacing w:before="277" w:line="188" w:lineRule="auto"/>
        <w:ind w:firstLine="132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一、部门主要职责</w:t>
      </w:r>
    </w:p>
    <w:p w14:paraId="46C0EBCF">
      <w:pPr>
        <w:spacing w:before="274" w:line="188" w:lineRule="auto"/>
        <w:ind w:firstLine="132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二、部门基本情况</w:t>
      </w:r>
    </w:p>
    <w:p w14:paraId="6DD841B8">
      <w:pPr>
        <w:spacing w:before="273" w:line="187" w:lineRule="auto"/>
        <w:ind w:firstLine="667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3"/>
          <w:sz w:val="32"/>
          <w:szCs w:val="32"/>
        </w:rPr>
        <w:t>第二部分</w:t>
      </w:r>
      <w:r>
        <w:rPr>
          <w:rFonts w:ascii="黑体" w:hAnsi="黑体" w:eastAsia="黑体" w:cs="黑体"/>
          <w:spacing w:val="8"/>
          <w:sz w:val="32"/>
          <w:szCs w:val="32"/>
        </w:rPr>
        <w:t xml:space="preserve">  </w:t>
      </w:r>
      <w:r>
        <w:rPr>
          <w:rFonts w:ascii="黑体" w:hAnsi="黑体" w:eastAsia="黑体" w:cs="黑体"/>
          <w:spacing w:val="-3"/>
          <w:sz w:val="32"/>
          <w:szCs w:val="32"/>
        </w:rPr>
        <w:t>2020</w:t>
      </w:r>
      <w:r>
        <w:rPr>
          <w:rFonts w:ascii="黑体" w:hAnsi="黑体" w:eastAsia="黑体" w:cs="黑体"/>
          <w:spacing w:val="-66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3"/>
          <w:sz w:val="32"/>
          <w:szCs w:val="32"/>
        </w:rPr>
        <w:t>年度部门决算表</w:t>
      </w:r>
    </w:p>
    <w:p w14:paraId="4A52527C">
      <w:pPr>
        <w:spacing w:before="277" w:line="188" w:lineRule="auto"/>
        <w:ind w:firstLine="13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一、收入支出决算总表</w:t>
      </w:r>
    </w:p>
    <w:p w14:paraId="1B7EDCFA">
      <w:pPr>
        <w:spacing w:before="274" w:line="188" w:lineRule="auto"/>
        <w:ind w:firstLine="132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二、收入决算表</w:t>
      </w:r>
    </w:p>
    <w:p w14:paraId="5CA0EE19">
      <w:pPr>
        <w:spacing w:before="274" w:line="188" w:lineRule="auto"/>
        <w:ind w:firstLine="132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三、支出决算表</w:t>
      </w:r>
    </w:p>
    <w:p w14:paraId="4681B8B1">
      <w:pPr>
        <w:spacing w:before="274" w:line="188" w:lineRule="auto"/>
        <w:ind w:firstLine="135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四、财政拨款收入支出决算总表</w:t>
      </w:r>
    </w:p>
    <w:p w14:paraId="024CA99B">
      <w:pPr>
        <w:spacing w:before="275" w:line="188" w:lineRule="auto"/>
        <w:ind w:firstLine="13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五、一般公共预算财政拨款支出决算表</w:t>
      </w:r>
    </w:p>
    <w:p w14:paraId="6574A695">
      <w:pPr>
        <w:spacing w:before="274" w:line="188" w:lineRule="auto"/>
        <w:ind w:firstLine="131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六、一般公共预算财政拨款基本支出决算表</w:t>
      </w:r>
    </w:p>
    <w:p w14:paraId="46D594F1">
      <w:pPr>
        <w:spacing w:before="274" w:line="346" w:lineRule="auto"/>
        <w:ind w:left="678" w:right="13" w:firstLine="64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七、一般公共预算财政拨款“三公”经费支出决算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表</w:t>
      </w:r>
    </w:p>
    <w:p w14:paraId="709A384B">
      <w:pPr>
        <w:spacing w:line="204" w:lineRule="auto"/>
        <w:ind w:firstLine="131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八、政府性基金预算财政拨款收入支出决算表</w:t>
      </w:r>
    </w:p>
    <w:p w14:paraId="6C7A206B">
      <w:pPr>
        <w:spacing w:before="247" w:line="188" w:lineRule="auto"/>
        <w:ind w:firstLine="132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九、国有资本经营预算财政拨款支出决算表</w:t>
      </w:r>
    </w:p>
    <w:p w14:paraId="5CF82D6D">
      <w:pPr>
        <w:spacing w:before="274" w:line="188" w:lineRule="auto"/>
        <w:ind w:firstLine="132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十、国有资产占用情况表</w:t>
      </w:r>
    </w:p>
    <w:p w14:paraId="31F7CBEA">
      <w:pPr>
        <w:spacing w:before="273" w:line="187" w:lineRule="auto"/>
        <w:ind w:firstLine="667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3"/>
          <w:sz w:val="32"/>
          <w:szCs w:val="32"/>
        </w:rPr>
        <w:t>第三部分</w:t>
      </w:r>
      <w:r>
        <w:rPr>
          <w:rFonts w:ascii="黑体" w:hAnsi="黑体" w:eastAsia="黑体" w:cs="黑体"/>
          <w:spacing w:val="12"/>
          <w:sz w:val="32"/>
          <w:szCs w:val="32"/>
        </w:rPr>
        <w:t xml:space="preserve">  </w:t>
      </w:r>
      <w:r>
        <w:rPr>
          <w:rFonts w:ascii="黑体" w:hAnsi="黑体" w:eastAsia="黑体" w:cs="黑体"/>
          <w:spacing w:val="-3"/>
          <w:sz w:val="32"/>
          <w:szCs w:val="32"/>
        </w:rPr>
        <w:t>2020</w:t>
      </w:r>
      <w:r>
        <w:rPr>
          <w:rFonts w:ascii="黑体" w:hAnsi="黑体" w:eastAsia="黑体" w:cs="黑体"/>
          <w:spacing w:val="-65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3"/>
          <w:sz w:val="32"/>
          <w:szCs w:val="32"/>
        </w:rPr>
        <w:t>年度部门决算情况说明</w:t>
      </w:r>
    </w:p>
    <w:p w14:paraId="6CFCC412">
      <w:p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 w14:paraId="37BE4959">
      <w:pPr>
        <w:spacing w:before="216" w:line="188" w:lineRule="auto"/>
        <w:ind w:firstLine="13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一、收入决算情况说明</w:t>
      </w:r>
    </w:p>
    <w:p w14:paraId="54FEF566">
      <w:pPr>
        <w:spacing w:before="274" w:line="188" w:lineRule="auto"/>
        <w:ind w:firstLine="132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二、支出决算情况说明</w:t>
      </w:r>
    </w:p>
    <w:p w14:paraId="369B9008">
      <w:pPr>
        <w:spacing w:before="274" w:line="188" w:lineRule="auto"/>
        <w:ind w:firstLine="132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三、财政拨款支出决算情况说明</w:t>
      </w:r>
    </w:p>
    <w:p w14:paraId="7217E05A">
      <w:pPr>
        <w:spacing w:before="274" w:line="188" w:lineRule="auto"/>
        <w:ind w:firstLine="135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四、一般公共预算财政拨款基本支出决算情况说明</w:t>
      </w:r>
    </w:p>
    <w:p w14:paraId="5BD7B081">
      <w:pPr>
        <w:spacing w:before="274" w:line="346" w:lineRule="auto"/>
        <w:ind w:left="683" w:right="13" w:firstLine="6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五、一般公共预算财政拨款“三公”经费支出决算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情况说明</w:t>
      </w:r>
    </w:p>
    <w:p w14:paraId="67915B5C">
      <w:pPr>
        <w:spacing w:line="204" w:lineRule="auto"/>
        <w:ind w:firstLine="131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六、机关运行经费支出情况说明</w:t>
      </w:r>
    </w:p>
    <w:p w14:paraId="29D6EC24">
      <w:pPr>
        <w:spacing w:before="246" w:line="188" w:lineRule="auto"/>
        <w:ind w:firstLine="132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七、政府采购支出情况说明</w:t>
      </w:r>
    </w:p>
    <w:p w14:paraId="4E0D6C69">
      <w:pPr>
        <w:spacing w:before="274" w:line="188" w:lineRule="auto"/>
        <w:ind w:firstLine="131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八、国有资产占用情况说明</w:t>
      </w:r>
    </w:p>
    <w:p w14:paraId="7A49F36C">
      <w:pPr>
        <w:spacing w:before="274" w:line="188" w:lineRule="auto"/>
        <w:ind w:firstLine="132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九、预算绩效情况说明</w:t>
      </w:r>
    </w:p>
    <w:p w14:paraId="7E495DEC">
      <w:pPr>
        <w:spacing w:before="273" w:line="187" w:lineRule="auto"/>
        <w:ind w:firstLine="667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4"/>
          <w:sz w:val="32"/>
          <w:szCs w:val="32"/>
        </w:rPr>
        <w:t>第四部分</w:t>
      </w:r>
      <w:r>
        <w:rPr>
          <w:rFonts w:ascii="黑体" w:hAnsi="黑体" w:eastAsia="黑体" w:cs="黑体"/>
          <w:spacing w:val="8"/>
          <w:sz w:val="32"/>
          <w:szCs w:val="32"/>
        </w:rPr>
        <w:t xml:space="preserve">  </w:t>
      </w:r>
      <w:r>
        <w:rPr>
          <w:rFonts w:ascii="黑体" w:hAnsi="黑体" w:eastAsia="黑体" w:cs="黑体"/>
          <w:spacing w:val="-4"/>
          <w:sz w:val="32"/>
          <w:szCs w:val="32"/>
        </w:rPr>
        <w:t>名词解释</w:t>
      </w:r>
    </w:p>
    <w:p w14:paraId="0C1B6F8E">
      <w:p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 w14:paraId="339E8255">
      <w:pPr>
        <w:spacing w:line="315" w:lineRule="auto"/>
        <w:rPr>
          <w:rFonts w:ascii="宋体"/>
          <w:sz w:val="21"/>
        </w:rPr>
      </w:pPr>
    </w:p>
    <w:p w14:paraId="64976FF4">
      <w:pPr>
        <w:spacing w:line="316" w:lineRule="auto"/>
        <w:rPr>
          <w:rFonts w:ascii="宋体"/>
          <w:sz w:val="21"/>
        </w:rPr>
      </w:pPr>
    </w:p>
    <w:p w14:paraId="2BB40861">
      <w:pPr>
        <w:spacing w:before="104" w:line="184" w:lineRule="auto"/>
        <w:ind w:firstLine="168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2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第一部分</w:t>
      </w:r>
      <w:r>
        <w:rPr>
          <w:rFonts w:ascii="宋体" w:hAnsi="宋体" w:eastAsia="宋体" w:cs="宋体"/>
          <w:spacing w:val="31"/>
          <w:sz w:val="32"/>
          <w:szCs w:val="32"/>
        </w:rPr>
        <w:t xml:space="preserve">  </w:t>
      </w:r>
      <w:r>
        <w:rPr>
          <w:rFonts w:ascii="宋体" w:hAnsi="宋体" w:eastAsia="宋体" w:cs="宋体"/>
          <w:spacing w:val="-2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中共景德镇市珠山区直属机关工作委员会部门</w:t>
      </w:r>
    </w:p>
    <w:p w14:paraId="0238B1B0">
      <w:pPr>
        <w:spacing w:before="261" w:line="184" w:lineRule="auto"/>
        <w:ind w:firstLine="3859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6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概况</w:t>
      </w:r>
    </w:p>
    <w:p w14:paraId="7F243B7A">
      <w:pPr>
        <w:spacing w:line="334" w:lineRule="auto"/>
        <w:rPr>
          <w:rFonts w:ascii="宋体"/>
          <w:sz w:val="21"/>
        </w:rPr>
      </w:pPr>
    </w:p>
    <w:p w14:paraId="101023B4">
      <w:pPr>
        <w:spacing w:line="334" w:lineRule="auto"/>
        <w:rPr>
          <w:rFonts w:ascii="宋体"/>
          <w:sz w:val="21"/>
        </w:rPr>
      </w:pPr>
    </w:p>
    <w:p w14:paraId="3D585AE1">
      <w:pPr>
        <w:spacing w:before="97" w:line="187" w:lineRule="auto"/>
        <w:ind w:firstLine="65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3"/>
          <w:sz w:val="30"/>
          <w:szCs w:val="30"/>
        </w:rPr>
        <w:t>一、部门主要职能</w:t>
      </w:r>
    </w:p>
    <w:p w14:paraId="3B976D75">
      <w:pPr>
        <w:spacing w:before="301" w:line="299" w:lineRule="auto"/>
        <w:ind w:left="37" w:right="184" w:firstLine="637"/>
        <w:rPr>
          <w:rFonts w:ascii="仿宋" w:hAnsi="仿宋" w:eastAsia="仿宋" w:cs="仿宋"/>
          <w:sz w:val="32"/>
          <w:szCs w:val="32"/>
        </w:rPr>
      </w:pPr>
      <w:r>
        <w:rPr>
          <w:rFonts w:ascii="宋体" w:hAnsi="宋体" w:eastAsia="宋体" w:cs="宋体"/>
          <w:spacing w:val="2"/>
          <w:sz w:val="32"/>
          <w:szCs w:val="32"/>
        </w:rPr>
        <w:t>（</w:t>
      </w:r>
      <w:r>
        <w:rPr>
          <w:rFonts w:ascii="Calibri" w:hAnsi="Calibri" w:eastAsia="Calibri" w:cs="Calibri"/>
          <w:spacing w:val="2"/>
          <w:sz w:val="32"/>
          <w:szCs w:val="32"/>
        </w:rPr>
        <w:t>1</w:t>
      </w:r>
      <w:r>
        <w:rPr>
          <w:rFonts w:ascii="宋体" w:hAnsi="宋体" w:eastAsia="宋体" w:cs="宋体"/>
          <w:spacing w:val="2"/>
          <w:sz w:val="32"/>
          <w:szCs w:val="32"/>
        </w:rPr>
        <w:t>）</w:t>
      </w:r>
      <w:r>
        <w:rPr>
          <w:rFonts w:ascii="仿宋" w:hAnsi="仿宋" w:eastAsia="仿宋" w:cs="仿宋"/>
          <w:spacing w:val="2"/>
          <w:sz w:val="32"/>
          <w:szCs w:val="32"/>
        </w:rPr>
        <w:t>负责对区直机关基层党组织党建工作进行研究，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提出加强和改进机关党的建设的意见和建议。</w:t>
      </w:r>
    </w:p>
    <w:p w14:paraId="2A08FE32">
      <w:pPr>
        <w:spacing w:before="4" w:line="244" w:lineRule="auto"/>
        <w:ind w:left="36" w:right="119" w:firstLine="639"/>
        <w:rPr>
          <w:rFonts w:ascii="仿宋" w:hAnsi="仿宋" w:eastAsia="仿宋" w:cs="仿宋"/>
          <w:sz w:val="32"/>
          <w:szCs w:val="32"/>
        </w:rPr>
      </w:pPr>
      <w:r>
        <w:rPr>
          <w:rFonts w:ascii="宋体" w:hAnsi="宋体" w:eastAsia="宋体" w:cs="宋体"/>
          <w:spacing w:val="5"/>
          <w:sz w:val="32"/>
          <w:szCs w:val="32"/>
        </w:rPr>
        <w:t>（</w:t>
      </w:r>
      <w:r>
        <w:rPr>
          <w:rFonts w:ascii="Calibri" w:hAnsi="Calibri" w:eastAsia="Calibri" w:cs="Calibri"/>
          <w:spacing w:val="5"/>
          <w:sz w:val="32"/>
          <w:szCs w:val="32"/>
        </w:rPr>
        <w:t>2</w:t>
      </w:r>
      <w:r>
        <w:rPr>
          <w:rFonts w:ascii="宋体" w:hAnsi="宋体" w:eastAsia="宋体" w:cs="宋体"/>
          <w:spacing w:val="5"/>
          <w:sz w:val="32"/>
          <w:szCs w:val="32"/>
        </w:rPr>
        <w:t>）</w:t>
      </w:r>
      <w:r>
        <w:rPr>
          <w:rFonts w:ascii="仿宋" w:hAnsi="仿宋" w:eastAsia="仿宋" w:cs="仿宋"/>
          <w:spacing w:val="5"/>
          <w:sz w:val="32"/>
          <w:szCs w:val="32"/>
        </w:rPr>
        <w:t>负责对所属机关基层党组织请示的有关问题作出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决定、批复或者答复。</w:t>
      </w:r>
    </w:p>
    <w:p w14:paraId="74F7AE36">
      <w:pPr>
        <w:spacing w:before="193" w:line="300" w:lineRule="auto"/>
        <w:ind w:left="35" w:firstLine="640"/>
        <w:rPr>
          <w:rFonts w:ascii="仿宋" w:hAnsi="仿宋" w:eastAsia="仿宋" w:cs="仿宋"/>
          <w:sz w:val="32"/>
          <w:szCs w:val="32"/>
        </w:rPr>
      </w:pPr>
      <w:r>
        <w:rPr>
          <w:rFonts w:ascii="宋体" w:hAnsi="宋体" w:eastAsia="宋体" w:cs="宋体"/>
          <w:spacing w:val="5"/>
          <w:sz w:val="32"/>
          <w:szCs w:val="32"/>
        </w:rPr>
        <w:t>（</w:t>
      </w:r>
      <w:r>
        <w:rPr>
          <w:rFonts w:ascii="Calibri" w:hAnsi="Calibri" w:eastAsia="Calibri" w:cs="Calibri"/>
          <w:spacing w:val="5"/>
          <w:sz w:val="32"/>
          <w:szCs w:val="32"/>
        </w:rPr>
        <w:t>3</w:t>
      </w:r>
      <w:r>
        <w:rPr>
          <w:rFonts w:ascii="宋体" w:hAnsi="宋体" w:eastAsia="宋体" w:cs="宋体"/>
          <w:spacing w:val="5"/>
          <w:sz w:val="32"/>
          <w:szCs w:val="32"/>
        </w:rPr>
        <w:t>）</w:t>
      </w:r>
      <w:r>
        <w:rPr>
          <w:rFonts w:ascii="仿宋" w:hAnsi="仿宋" w:eastAsia="仿宋" w:cs="仿宋"/>
          <w:spacing w:val="5"/>
          <w:sz w:val="32"/>
          <w:szCs w:val="32"/>
        </w:rPr>
        <w:t>督促指导所属机关基层党组织按期进行换届，审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1"/>
          <w:sz w:val="32"/>
          <w:szCs w:val="32"/>
        </w:rPr>
        <w:t>批所属机关基层党组织关于召开党员大会或者党员代表大</w:t>
      </w:r>
      <w:r>
        <w:rPr>
          <w:rFonts w:ascii="仿宋" w:hAnsi="仿宋" w:eastAsia="仿宋" w:cs="仿宋"/>
          <w:spacing w:val="7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会的请示，审批所属机关基层党组织选出的书记、副书记。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对新当选的机关基层党组织书记、副书记进行任前谈话；</w:t>
      </w:r>
      <w:r>
        <w:rPr>
          <w:rFonts w:ascii="仿宋" w:hAnsi="仿宋" w:eastAsia="仿宋" w:cs="仿宋"/>
          <w:spacing w:val="6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对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机关基层党组织书记、副书记在任期内调整进行审批、任免。</w:t>
      </w:r>
    </w:p>
    <w:p w14:paraId="445770C3">
      <w:pPr>
        <w:spacing w:before="4" w:line="299" w:lineRule="auto"/>
        <w:ind w:left="37" w:right="119" w:firstLine="637"/>
        <w:rPr>
          <w:rFonts w:ascii="仿宋" w:hAnsi="仿宋" w:eastAsia="仿宋" w:cs="仿宋"/>
          <w:sz w:val="32"/>
          <w:szCs w:val="32"/>
        </w:rPr>
      </w:pPr>
      <w:r>
        <w:rPr>
          <w:rFonts w:ascii="宋体" w:hAnsi="宋体" w:eastAsia="宋体" w:cs="宋体"/>
          <w:spacing w:val="5"/>
          <w:sz w:val="32"/>
          <w:szCs w:val="32"/>
        </w:rPr>
        <w:t>（</w:t>
      </w:r>
      <w:r>
        <w:rPr>
          <w:rFonts w:ascii="Calibri" w:hAnsi="Calibri" w:eastAsia="Calibri" w:cs="Calibri"/>
          <w:spacing w:val="5"/>
          <w:sz w:val="32"/>
          <w:szCs w:val="32"/>
        </w:rPr>
        <w:t>4</w:t>
      </w:r>
      <w:r>
        <w:rPr>
          <w:rFonts w:ascii="宋体" w:hAnsi="宋体" w:eastAsia="宋体" w:cs="宋体"/>
          <w:spacing w:val="5"/>
          <w:sz w:val="32"/>
          <w:szCs w:val="32"/>
        </w:rPr>
        <w:t>）</w:t>
      </w:r>
      <w:r>
        <w:rPr>
          <w:rFonts w:ascii="仿宋" w:hAnsi="仿宋" w:eastAsia="仿宋" w:cs="仿宋"/>
          <w:spacing w:val="5"/>
          <w:sz w:val="32"/>
          <w:szCs w:val="32"/>
        </w:rPr>
        <w:t>指导所属机关基层党组织加强党风廉政建设，推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进廉政风险防控管理工作，实施对党员特别是党员领导干部</w:t>
      </w:r>
      <w:r>
        <w:rPr>
          <w:rFonts w:ascii="仿宋" w:hAnsi="仿宋" w:eastAsia="仿宋" w:cs="仿宋"/>
          <w:spacing w:val="1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的监督。</w:t>
      </w:r>
    </w:p>
    <w:p w14:paraId="52DF41DC">
      <w:pPr>
        <w:spacing w:before="2" w:line="299" w:lineRule="auto"/>
        <w:ind w:left="36" w:right="119" w:firstLine="639"/>
        <w:rPr>
          <w:rFonts w:ascii="仿宋" w:hAnsi="仿宋" w:eastAsia="仿宋" w:cs="仿宋"/>
          <w:sz w:val="32"/>
          <w:szCs w:val="32"/>
        </w:rPr>
      </w:pPr>
      <w:r>
        <w:rPr>
          <w:rFonts w:ascii="宋体" w:hAnsi="宋体" w:eastAsia="宋体" w:cs="宋体"/>
          <w:spacing w:val="1"/>
          <w:sz w:val="32"/>
          <w:szCs w:val="32"/>
        </w:rPr>
        <w:t>（</w:t>
      </w:r>
      <w:r>
        <w:rPr>
          <w:rFonts w:ascii="Calibri" w:hAnsi="Calibri" w:eastAsia="Calibri" w:cs="Calibri"/>
          <w:spacing w:val="1"/>
          <w:sz w:val="32"/>
          <w:szCs w:val="32"/>
        </w:rPr>
        <w:t>5</w:t>
      </w:r>
      <w:r>
        <w:rPr>
          <w:rFonts w:ascii="宋体" w:hAnsi="宋体" w:eastAsia="宋体" w:cs="宋体"/>
          <w:spacing w:val="1"/>
          <w:sz w:val="32"/>
          <w:szCs w:val="32"/>
        </w:rPr>
        <w:t>）</w:t>
      </w:r>
      <w:r>
        <w:rPr>
          <w:rFonts w:ascii="宋体" w:hAnsi="宋体" w:eastAsia="宋体" w:cs="宋体"/>
          <w:spacing w:val="-6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了解和掌握所属机关工作人员的思想状况，指导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所属机关基层党组织加强思想政治工作和精神文明建设。</w:t>
      </w:r>
    </w:p>
    <w:p w14:paraId="4562EF59">
      <w:pPr>
        <w:spacing w:before="3" w:line="244" w:lineRule="auto"/>
        <w:ind w:left="35" w:right="119" w:firstLine="640"/>
        <w:rPr>
          <w:rFonts w:ascii="仿宋" w:hAnsi="仿宋" w:eastAsia="仿宋" w:cs="仿宋"/>
          <w:sz w:val="32"/>
          <w:szCs w:val="32"/>
        </w:rPr>
      </w:pPr>
      <w:r>
        <w:rPr>
          <w:rFonts w:ascii="宋体" w:hAnsi="宋体" w:eastAsia="宋体" w:cs="宋体"/>
          <w:spacing w:val="5"/>
          <w:sz w:val="32"/>
          <w:szCs w:val="32"/>
        </w:rPr>
        <w:t>（</w:t>
      </w:r>
      <w:r>
        <w:rPr>
          <w:rFonts w:ascii="Calibri" w:hAnsi="Calibri" w:eastAsia="Calibri" w:cs="Calibri"/>
          <w:spacing w:val="5"/>
          <w:sz w:val="32"/>
          <w:szCs w:val="32"/>
        </w:rPr>
        <w:t>6</w:t>
      </w:r>
      <w:r>
        <w:rPr>
          <w:rFonts w:ascii="宋体" w:hAnsi="宋体" w:eastAsia="宋体" w:cs="宋体"/>
          <w:spacing w:val="5"/>
          <w:sz w:val="32"/>
          <w:szCs w:val="32"/>
        </w:rPr>
        <w:t>）</w:t>
      </w:r>
      <w:r>
        <w:rPr>
          <w:rFonts w:ascii="仿宋" w:hAnsi="仿宋" w:eastAsia="仿宋" w:cs="仿宋"/>
          <w:spacing w:val="5"/>
          <w:sz w:val="32"/>
          <w:szCs w:val="32"/>
        </w:rPr>
        <w:t>对所属机关基层党组织贯彻落实区委决议、决定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和重要工作部署的情况进行督促检查。</w:t>
      </w:r>
    </w:p>
    <w:p w14:paraId="00F780CA">
      <w:pPr>
        <w:spacing w:before="193" w:line="188" w:lineRule="auto"/>
        <w:ind w:firstLine="675"/>
        <w:rPr>
          <w:rFonts w:ascii="仿宋" w:hAnsi="仿宋" w:eastAsia="仿宋" w:cs="仿宋"/>
          <w:sz w:val="32"/>
          <w:szCs w:val="32"/>
        </w:rPr>
      </w:pPr>
      <w:r>
        <w:rPr>
          <w:rFonts w:ascii="宋体" w:hAnsi="宋体" w:eastAsia="宋体" w:cs="宋体"/>
          <w:spacing w:val="-1"/>
          <w:sz w:val="32"/>
          <w:szCs w:val="32"/>
        </w:rPr>
        <w:t>（</w:t>
      </w:r>
      <w:r>
        <w:rPr>
          <w:rFonts w:ascii="Calibri" w:hAnsi="Calibri" w:eastAsia="Calibri" w:cs="Calibri"/>
          <w:spacing w:val="-1"/>
          <w:sz w:val="32"/>
          <w:szCs w:val="32"/>
        </w:rPr>
        <w:t>7</w:t>
      </w:r>
      <w:r>
        <w:rPr>
          <w:rFonts w:ascii="宋体" w:hAnsi="宋体" w:eastAsia="宋体" w:cs="宋体"/>
          <w:spacing w:val="-1"/>
          <w:sz w:val="32"/>
          <w:szCs w:val="32"/>
        </w:rPr>
        <w:t>）</w:t>
      </w:r>
      <w:r>
        <w:rPr>
          <w:rFonts w:ascii="仿宋" w:hAnsi="仿宋" w:eastAsia="仿宋" w:cs="仿宋"/>
          <w:spacing w:val="-1"/>
          <w:sz w:val="32"/>
          <w:szCs w:val="32"/>
        </w:rPr>
        <w:t>督促所属机关党组织加强机关文化建设。</w:t>
      </w:r>
    </w:p>
    <w:p w14:paraId="567B3BCF">
      <w:pPr>
        <w:spacing w:before="193" w:line="300" w:lineRule="auto"/>
        <w:ind w:left="35" w:right="116" w:firstLine="640"/>
        <w:rPr>
          <w:rFonts w:ascii="仿宋" w:hAnsi="仿宋" w:eastAsia="仿宋" w:cs="仿宋"/>
          <w:sz w:val="32"/>
          <w:szCs w:val="32"/>
        </w:rPr>
      </w:pPr>
      <w:r>
        <w:rPr>
          <w:rFonts w:ascii="宋体" w:hAnsi="宋体" w:eastAsia="宋体" w:cs="宋体"/>
          <w:spacing w:val="5"/>
          <w:sz w:val="32"/>
          <w:szCs w:val="32"/>
        </w:rPr>
        <w:t>（</w:t>
      </w:r>
      <w:r>
        <w:rPr>
          <w:rFonts w:ascii="Calibri" w:hAnsi="Calibri" w:eastAsia="Calibri" w:cs="Calibri"/>
          <w:spacing w:val="5"/>
          <w:sz w:val="32"/>
          <w:szCs w:val="32"/>
        </w:rPr>
        <w:t>8</w:t>
      </w:r>
      <w:r>
        <w:rPr>
          <w:rFonts w:ascii="宋体" w:hAnsi="宋体" w:eastAsia="宋体" w:cs="宋体"/>
          <w:spacing w:val="5"/>
          <w:sz w:val="32"/>
          <w:szCs w:val="32"/>
        </w:rPr>
        <w:t>）</w:t>
      </w:r>
      <w:r>
        <w:rPr>
          <w:rFonts w:ascii="仿宋" w:hAnsi="仿宋" w:eastAsia="仿宋" w:cs="仿宋"/>
          <w:spacing w:val="5"/>
          <w:sz w:val="32"/>
          <w:szCs w:val="32"/>
        </w:rPr>
        <w:t>对所属机关基层党组织贯彻执行《中国共产党党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和国家机关基层组织工作条例》</w:t>
      </w:r>
      <w:r>
        <w:rPr>
          <w:rFonts w:ascii="仿宋" w:hAnsi="仿宋" w:eastAsia="仿宋" w:cs="仿宋"/>
          <w:spacing w:val="3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情况进行督促检查，并向区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委报告。</w:t>
      </w:r>
    </w:p>
    <w:p w14:paraId="34042176">
      <w:pPr>
        <w:spacing w:before="1" w:line="202" w:lineRule="auto"/>
        <w:ind w:firstLine="675"/>
        <w:rPr>
          <w:rFonts w:ascii="仿宋" w:hAnsi="仿宋" w:eastAsia="仿宋" w:cs="仿宋"/>
          <w:sz w:val="32"/>
          <w:szCs w:val="32"/>
        </w:rPr>
      </w:pPr>
      <w:r>
        <w:rPr>
          <w:rFonts w:ascii="宋体" w:hAnsi="宋体" w:eastAsia="宋体" w:cs="宋体"/>
          <w:spacing w:val="-2"/>
          <w:sz w:val="32"/>
          <w:szCs w:val="32"/>
        </w:rPr>
        <w:t>（</w:t>
      </w:r>
      <w:r>
        <w:rPr>
          <w:rFonts w:ascii="Calibri" w:hAnsi="Calibri" w:eastAsia="Calibri" w:cs="Calibri"/>
          <w:spacing w:val="-2"/>
          <w:sz w:val="32"/>
          <w:szCs w:val="32"/>
        </w:rPr>
        <w:t>9</w:t>
      </w:r>
      <w:r>
        <w:rPr>
          <w:rFonts w:ascii="宋体" w:hAnsi="宋体" w:eastAsia="宋体" w:cs="宋体"/>
          <w:spacing w:val="-2"/>
          <w:sz w:val="32"/>
          <w:szCs w:val="32"/>
        </w:rPr>
        <w:t>）</w:t>
      </w:r>
      <w:r>
        <w:rPr>
          <w:rFonts w:ascii="仿宋" w:hAnsi="仿宋" w:eastAsia="仿宋" w:cs="仿宋"/>
          <w:spacing w:val="-2"/>
          <w:sz w:val="32"/>
          <w:szCs w:val="32"/>
        </w:rPr>
        <w:t>承办区委交办的其他工作。</w:t>
      </w:r>
    </w:p>
    <w:p w14:paraId="1C43CE99">
      <w:pPr>
        <w:sectPr>
          <w:pgSz w:w="11906" w:h="16839"/>
          <w:pgMar w:top="1431" w:right="1683" w:bottom="0" w:left="1785" w:header="0" w:footer="0" w:gutter="0"/>
          <w:cols w:space="720" w:num="1"/>
        </w:sectPr>
      </w:pPr>
    </w:p>
    <w:p w14:paraId="4D8A65C7">
      <w:pPr>
        <w:spacing w:before="150" w:line="184" w:lineRule="auto"/>
        <w:ind w:firstLine="672"/>
        <w:rPr>
          <w:rFonts w:ascii="宋体" w:hAnsi="宋体" w:eastAsia="宋体" w:cs="宋体"/>
          <w:sz w:val="32"/>
          <w:szCs w:val="32"/>
        </w:rPr>
      </w:pPr>
      <w:r>
        <w:rPr>
          <w:rFonts w:ascii="Calibri" w:hAnsi="Calibri" w:eastAsia="Calibri" w:cs="Calibri"/>
          <w:spacing w:val="-11"/>
          <w:sz w:val="32"/>
          <w:szCs w:val="32"/>
        </w:rPr>
        <w:t>2</w:t>
      </w:r>
      <w:r>
        <w:rPr>
          <w:rFonts w:ascii="Calibri" w:hAnsi="Calibri" w:eastAsia="Calibri" w:cs="Calibri"/>
          <w:spacing w:val="-27"/>
          <w:sz w:val="32"/>
          <w:szCs w:val="32"/>
        </w:rPr>
        <w:t xml:space="preserve"> </w:t>
      </w:r>
      <w:r>
        <w:rPr>
          <w:rFonts w:ascii="宋体" w:hAnsi="宋体" w:eastAsia="宋体" w:cs="宋体"/>
          <w:spacing w:val="-11"/>
          <w:sz w:val="32"/>
          <w:szCs w:val="32"/>
        </w:rPr>
        <w:t>．机构情况</w:t>
      </w:r>
    </w:p>
    <w:p w14:paraId="0700EA14">
      <w:pPr>
        <w:spacing w:before="275" w:line="185" w:lineRule="auto"/>
        <w:ind w:firstLine="60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区直机关工委共有预算单位</w:t>
      </w:r>
      <w:r>
        <w:rPr>
          <w:rFonts w:ascii="宋体" w:hAnsi="宋体" w:eastAsia="宋体" w:cs="宋体"/>
          <w:spacing w:val="-28"/>
          <w:sz w:val="28"/>
          <w:szCs w:val="28"/>
        </w:rPr>
        <w:t xml:space="preserve"> </w:t>
      </w:r>
      <w:r>
        <w:rPr>
          <w:rFonts w:ascii="Calibri" w:hAnsi="Calibri" w:eastAsia="Calibri" w:cs="Calibri"/>
          <w:spacing w:val="-4"/>
          <w:sz w:val="28"/>
          <w:szCs w:val="28"/>
        </w:rPr>
        <w:t>1</w:t>
      </w:r>
      <w:r>
        <w:rPr>
          <w:rFonts w:ascii="Calibri" w:hAnsi="Calibri" w:eastAsia="Calibri" w:cs="Calibri"/>
          <w:spacing w:val="16"/>
          <w:w w:val="101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个，即部门本级。</w:t>
      </w:r>
    </w:p>
    <w:p w14:paraId="1261B943">
      <w:pPr>
        <w:spacing w:before="236" w:line="187" w:lineRule="auto"/>
        <w:ind w:firstLine="65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3"/>
          <w:sz w:val="30"/>
          <w:szCs w:val="30"/>
        </w:rPr>
        <w:t>二、部门基本情况</w:t>
      </w:r>
    </w:p>
    <w:p w14:paraId="070C232D">
      <w:pPr>
        <w:spacing w:before="319" w:line="189" w:lineRule="auto"/>
        <w:ind w:firstLine="66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2"/>
          <w:sz w:val="30"/>
          <w:szCs w:val="30"/>
        </w:rPr>
        <w:t>纳入本套部门决算汇编范围的单位共</w:t>
      </w:r>
      <w:r>
        <w:rPr>
          <w:rFonts w:ascii="仿宋" w:hAnsi="仿宋" w:eastAsia="仿宋" w:cs="仿宋"/>
          <w:spacing w:val="4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2"/>
          <w:sz w:val="30"/>
          <w:szCs w:val="30"/>
        </w:rPr>
        <w:t>1</w:t>
      </w:r>
      <w:r>
        <w:rPr>
          <w:rFonts w:ascii="仿宋" w:hAnsi="仿宋" w:eastAsia="仿宋" w:cs="仿宋"/>
          <w:spacing w:val="-5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2"/>
          <w:sz w:val="30"/>
          <w:szCs w:val="30"/>
        </w:rPr>
        <w:t>个，包括：</w:t>
      </w:r>
      <w:r>
        <w:rPr>
          <w:rFonts w:ascii="仿宋" w:hAnsi="仿宋" w:eastAsia="仿宋" w:cs="仿宋"/>
          <w:spacing w:val="6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2"/>
          <w:sz w:val="30"/>
          <w:szCs w:val="30"/>
        </w:rPr>
        <w:t>部门本</w:t>
      </w:r>
    </w:p>
    <w:p w14:paraId="4B6B8A20">
      <w:pPr>
        <w:spacing w:line="369" w:lineRule="auto"/>
        <w:rPr>
          <w:rFonts w:ascii="宋体"/>
          <w:sz w:val="21"/>
        </w:rPr>
      </w:pPr>
    </w:p>
    <w:p w14:paraId="34301143">
      <w:pPr>
        <w:spacing w:before="98" w:line="179" w:lineRule="exact"/>
        <w:ind w:firstLine="356"/>
        <w:rPr>
          <w:rFonts w:ascii="仿宋" w:hAnsi="仿宋" w:eastAsia="仿宋" w:cs="仿宋"/>
          <w:sz w:val="30"/>
          <w:szCs w:val="30"/>
        </w:rPr>
      </w:pPr>
      <w:r>
        <w:pict>
          <v:shape id="_x0000_s1026" o:spid="_x0000_s1026" o:spt="202" type="#_x0000_t202" style="position:absolute;left:0pt;margin-left:0.85pt;margin-top:-6.1pt;height:17.4pt;width:15.85pt;z-index:25165926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EC4EE9F">
                  <w:pPr>
                    <w:spacing w:before="20" w:line="189" w:lineRule="auto"/>
                    <w:ind w:firstLine="20"/>
                    <w:rPr>
                      <w:rFonts w:ascii="仿宋" w:hAnsi="仿宋" w:eastAsia="仿宋" w:cs="仿宋"/>
                      <w:sz w:val="30"/>
                      <w:szCs w:val="30"/>
                    </w:rPr>
                  </w:pPr>
                  <w:r>
                    <w:rPr>
                      <w:rFonts w:ascii="仿宋" w:hAnsi="仿宋" w:eastAsia="仿宋" w:cs="仿宋"/>
                      <w:spacing w:val="-24"/>
                      <w:sz w:val="30"/>
                      <w:szCs w:val="30"/>
                    </w:rPr>
                    <w:t>级</w:t>
                  </w:r>
                </w:p>
              </w:txbxContent>
            </v:textbox>
          </v:shape>
        </w:pict>
      </w:r>
      <w:r>
        <w:rPr>
          <w:rFonts w:ascii="仿宋" w:hAnsi="仿宋" w:eastAsia="仿宋" w:cs="仿宋"/>
          <w:sz w:val="30"/>
          <w:szCs w:val="30"/>
        </w:rPr>
        <w:t>。</w:t>
      </w:r>
    </w:p>
    <w:p w14:paraId="52F3867C">
      <w:pPr>
        <w:spacing w:before="244" w:line="384" w:lineRule="auto"/>
        <w:ind w:left="33" w:right="13" w:firstLine="63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3"/>
          <w:sz w:val="30"/>
          <w:szCs w:val="30"/>
        </w:rPr>
        <w:t>本部门</w:t>
      </w:r>
      <w:r>
        <w:rPr>
          <w:rFonts w:ascii="仿宋" w:hAnsi="仿宋" w:eastAsia="仿宋" w:cs="仿宋"/>
          <w:spacing w:val="-5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3"/>
          <w:sz w:val="30"/>
          <w:szCs w:val="30"/>
        </w:rPr>
        <w:t>2020</w:t>
      </w:r>
      <w:r>
        <w:rPr>
          <w:rFonts w:ascii="仿宋" w:hAnsi="仿宋" w:eastAsia="仿宋" w:cs="仿宋"/>
          <w:spacing w:val="-5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3"/>
          <w:sz w:val="30"/>
          <w:szCs w:val="30"/>
        </w:rPr>
        <w:t>年年末实有人数</w:t>
      </w:r>
      <w:r>
        <w:rPr>
          <w:rFonts w:ascii="仿宋" w:hAnsi="仿宋" w:eastAsia="仿宋" w:cs="仿宋"/>
          <w:spacing w:val="-5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3"/>
          <w:sz w:val="30"/>
          <w:szCs w:val="30"/>
        </w:rPr>
        <w:t>０</w:t>
      </w:r>
      <w:r>
        <w:rPr>
          <w:rFonts w:ascii="仿宋" w:hAnsi="仿宋" w:eastAsia="仿宋" w:cs="仿宋"/>
          <w:spacing w:val="-2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3"/>
          <w:sz w:val="30"/>
          <w:szCs w:val="30"/>
        </w:rPr>
        <w:t>人，其中在职人员</w:t>
      </w:r>
      <w:r>
        <w:rPr>
          <w:rFonts w:ascii="仿宋" w:hAnsi="仿宋" w:eastAsia="仿宋" w:cs="仿宋"/>
          <w:spacing w:val="-5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3"/>
          <w:sz w:val="30"/>
          <w:szCs w:val="30"/>
        </w:rPr>
        <w:t>０</w:t>
      </w:r>
      <w:r>
        <w:rPr>
          <w:rFonts w:ascii="仿宋" w:hAnsi="仿宋" w:eastAsia="仿宋" w:cs="仿宋"/>
          <w:spacing w:val="12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3"/>
          <w:sz w:val="30"/>
          <w:szCs w:val="30"/>
        </w:rPr>
        <w:t>人，离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8"/>
          <w:w w:val="95"/>
          <w:sz w:val="30"/>
          <w:szCs w:val="30"/>
        </w:rPr>
        <w:t>休人员</w:t>
      </w:r>
      <w:r>
        <w:rPr>
          <w:rFonts w:ascii="仿宋" w:hAnsi="仿宋" w:eastAsia="仿宋" w:cs="仿宋"/>
          <w:spacing w:val="-4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8"/>
          <w:w w:val="95"/>
          <w:sz w:val="30"/>
          <w:szCs w:val="30"/>
        </w:rPr>
        <w:t>０</w:t>
      </w:r>
      <w:r>
        <w:rPr>
          <w:rFonts w:ascii="仿宋" w:hAnsi="仿宋" w:eastAsia="仿宋" w:cs="仿宋"/>
          <w:spacing w:val="-2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8"/>
          <w:w w:val="95"/>
          <w:sz w:val="30"/>
          <w:szCs w:val="30"/>
        </w:rPr>
        <w:t>人，退休人员</w:t>
      </w:r>
      <w:r>
        <w:rPr>
          <w:rFonts w:ascii="仿宋" w:hAnsi="仿宋" w:eastAsia="仿宋" w:cs="仿宋"/>
          <w:spacing w:val="-5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8"/>
          <w:w w:val="95"/>
          <w:sz w:val="30"/>
          <w:szCs w:val="30"/>
        </w:rPr>
        <w:t>０</w:t>
      </w:r>
      <w:r>
        <w:rPr>
          <w:rFonts w:ascii="仿宋" w:hAnsi="仿宋" w:eastAsia="仿宋" w:cs="仿宋"/>
          <w:spacing w:val="12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8"/>
          <w:w w:val="95"/>
          <w:sz w:val="30"/>
          <w:szCs w:val="30"/>
        </w:rPr>
        <w:t>人；</w:t>
      </w:r>
      <w:r>
        <w:rPr>
          <w:rFonts w:ascii="仿宋" w:hAnsi="仿宋" w:eastAsia="仿宋" w:cs="仿宋"/>
          <w:spacing w:val="4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8"/>
          <w:w w:val="95"/>
          <w:sz w:val="30"/>
          <w:szCs w:val="30"/>
        </w:rPr>
        <w:t>年末其他人员</w:t>
      </w:r>
      <w:r>
        <w:rPr>
          <w:rFonts w:ascii="仿宋" w:hAnsi="仿宋" w:eastAsia="仿宋" w:cs="仿宋"/>
          <w:spacing w:val="-5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8"/>
          <w:w w:val="95"/>
          <w:sz w:val="30"/>
          <w:szCs w:val="30"/>
        </w:rPr>
        <w:t>０</w:t>
      </w:r>
      <w:r>
        <w:rPr>
          <w:rFonts w:ascii="仿宋" w:hAnsi="仿宋" w:eastAsia="仿宋" w:cs="仿宋"/>
          <w:spacing w:val="12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8"/>
          <w:w w:val="95"/>
          <w:sz w:val="30"/>
          <w:szCs w:val="30"/>
        </w:rPr>
        <w:t>人；</w:t>
      </w:r>
      <w:r>
        <w:rPr>
          <w:rFonts w:ascii="仿宋" w:hAnsi="仿宋" w:eastAsia="仿宋" w:cs="仿宋"/>
          <w:spacing w:val="4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8"/>
          <w:w w:val="95"/>
          <w:sz w:val="30"/>
          <w:szCs w:val="30"/>
        </w:rPr>
        <w:t>年末学生人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6"/>
          <w:w w:val="88"/>
          <w:sz w:val="30"/>
          <w:szCs w:val="30"/>
        </w:rPr>
        <w:t>数</w:t>
      </w:r>
      <w:r>
        <w:rPr>
          <w:rFonts w:ascii="仿宋" w:hAnsi="仿宋" w:eastAsia="仿宋" w:cs="仿宋"/>
          <w:spacing w:val="53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26"/>
          <w:w w:val="88"/>
          <w:sz w:val="30"/>
          <w:szCs w:val="30"/>
        </w:rPr>
        <w:t>０</w:t>
      </w:r>
      <w:r>
        <w:rPr>
          <w:rFonts w:ascii="仿宋" w:hAnsi="仿宋" w:eastAsia="仿宋" w:cs="仿宋"/>
          <w:spacing w:val="-2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6"/>
          <w:w w:val="88"/>
          <w:sz w:val="30"/>
          <w:szCs w:val="30"/>
        </w:rPr>
        <w:t>人。</w:t>
      </w:r>
    </w:p>
    <w:p w14:paraId="7F04F3BE">
      <w:pPr>
        <w:spacing w:line="249" w:lineRule="auto"/>
        <w:rPr>
          <w:rFonts w:ascii="宋体"/>
          <w:sz w:val="21"/>
        </w:rPr>
      </w:pPr>
    </w:p>
    <w:p w14:paraId="36CE1160">
      <w:pPr>
        <w:spacing w:line="249" w:lineRule="auto"/>
        <w:rPr>
          <w:rFonts w:ascii="宋体"/>
          <w:sz w:val="21"/>
        </w:rPr>
      </w:pPr>
    </w:p>
    <w:p w14:paraId="754B1C62">
      <w:pPr>
        <w:spacing w:line="249" w:lineRule="auto"/>
        <w:rPr>
          <w:rFonts w:ascii="宋体"/>
          <w:sz w:val="21"/>
        </w:rPr>
      </w:pPr>
    </w:p>
    <w:p w14:paraId="1C7E53FD">
      <w:pPr>
        <w:spacing w:line="249" w:lineRule="auto"/>
        <w:rPr>
          <w:rFonts w:ascii="宋体"/>
          <w:sz w:val="21"/>
        </w:rPr>
      </w:pPr>
    </w:p>
    <w:p w14:paraId="002FBF50">
      <w:pPr>
        <w:spacing w:line="249" w:lineRule="auto"/>
        <w:rPr>
          <w:rFonts w:ascii="宋体"/>
          <w:sz w:val="21"/>
        </w:rPr>
      </w:pPr>
    </w:p>
    <w:p w14:paraId="6604DEC3">
      <w:pPr>
        <w:spacing w:line="249" w:lineRule="auto"/>
        <w:rPr>
          <w:rFonts w:ascii="宋体"/>
          <w:sz w:val="21"/>
        </w:rPr>
      </w:pPr>
    </w:p>
    <w:p w14:paraId="18508FAF">
      <w:pPr>
        <w:spacing w:line="249" w:lineRule="auto"/>
        <w:rPr>
          <w:rFonts w:ascii="宋体"/>
          <w:sz w:val="21"/>
        </w:rPr>
      </w:pPr>
    </w:p>
    <w:p w14:paraId="631CE53C">
      <w:pPr>
        <w:spacing w:line="249" w:lineRule="auto"/>
        <w:rPr>
          <w:rFonts w:ascii="宋体"/>
          <w:sz w:val="21"/>
        </w:rPr>
      </w:pPr>
    </w:p>
    <w:p w14:paraId="36E7025B">
      <w:pPr>
        <w:spacing w:line="250" w:lineRule="auto"/>
        <w:rPr>
          <w:rFonts w:ascii="宋体"/>
          <w:sz w:val="21"/>
        </w:rPr>
      </w:pPr>
    </w:p>
    <w:p w14:paraId="4918343F">
      <w:pPr>
        <w:spacing w:line="250" w:lineRule="auto"/>
        <w:rPr>
          <w:rFonts w:ascii="宋体"/>
          <w:sz w:val="21"/>
        </w:rPr>
      </w:pPr>
    </w:p>
    <w:p w14:paraId="36FC0DBB">
      <w:pPr>
        <w:spacing w:line="250" w:lineRule="auto"/>
        <w:rPr>
          <w:rFonts w:ascii="宋体"/>
          <w:sz w:val="21"/>
        </w:rPr>
      </w:pPr>
    </w:p>
    <w:p w14:paraId="6B3F4D1B">
      <w:pPr>
        <w:spacing w:line="250" w:lineRule="auto"/>
        <w:rPr>
          <w:rFonts w:ascii="宋体"/>
          <w:sz w:val="21"/>
        </w:rPr>
      </w:pPr>
    </w:p>
    <w:p w14:paraId="157A0285">
      <w:pPr>
        <w:spacing w:line="250" w:lineRule="auto"/>
        <w:rPr>
          <w:rFonts w:ascii="宋体"/>
          <w:sz w:val="21"/>
        </w:rPr>
      </w:pPr>
    </w:p>
    <w:p w14:paraId="4896E0EC">
      <w:pPr>
        <w:spacing w:line="250" w:lineRule="auto"/>
        <w:rPr>
          <w:rFonts w:ascii="宋体"/>
          <w:sz w:val="21"/>
        </w:rPr>
      </w:pPr>
    </w:p>
    <w:p w14:paraId="4E0D4D0B">
      <w:pPr>
        <w:spacing w:line="250" w:lineRule="auto"/>
        <w:rPr>
          <w:rFonts w:ascii="宋体"/>
          <w:sz w:val="21"/>
        </w:rPr>
      </w:pPr>
    </w:p>
    <w:p w14:paraId="4DCCDA59">
      <w:pPr>
        <w:spacing w:line="250" w:lineRule="auto"/>
        <w:rPr>
          <w:rFonts w:ascii="宋体"/>
          <w:sz w:val="21"/>
        </w:rPr>
      </w:pPr>
    </w:p>
    <w:p w14:paraId="53586AF1">
      <w:pPr>
        <w:spacing w:line="250" w:lineRule="auto"/>
        <w:rPr>
          <w:rFonts w:ascii="宋体"/>
          <w:sz w:val="21"/>
        </w:rPr>
      </w:pPr>
    </w:p>
    <w:p w14:paraId="71A14802">
      <w:pPr>
        <w:spacing w:line="250" w:lineRule="auto"/>
        <w:rPr>
          <w:rFonts w:ascii="宋体"/>
          <w:sz w:val="21"/>
        </w:rPr>
      </w:pPr>
    </w:p>
    <w:p w14:paraId="3636B7AE">
      <w:pPr>
        <w:spacing w:line="250" w:lineRule="auto"/>
        <w:rPr>
          <w:rFonts w:ascii="宋体"/>
          <w:sz w:val="21"/>
        </w:rPr>
      </w:pPr>
    </w:p>
    <w:p w14:paraId="3F61A9D5">
      <w:pPr>
        <w:spacing w:line="250" w:lineRule="auto"/>
        <w:rPr>
          <w:rFonts w:ascii="宋体"/>
          <w:sz w:val="21"/>
        </w:rPr>
      </w:pPr>
    </w:p>
    <w:p w14:paraId="2CEAAE4A">
      <w:pPr>
        <w:spacing w:line="250" w:lineRule="auto"/>
        <w:rPr>
          <w:rFonts w:ascii="宋体"/>
          <w:sz w:val="21"/>
        </w:rPr>
      </w:pPr>
    </w:p>
    <w:p w14:paraId="479499A9">
      <w:pPr>
        <w:spacing w:before="105" w:line="184" w:lineRule="auto"/>
        <w:ind w:firstLine="2210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2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第二部分</w:t>
      </w:r>
      <w:r>
        <w:rPr>
          <w:rFonts w:ascii="宋体" w:hAnsi="宋体" w:eastAsia="宋体" w:cs="宋体"/>
          <w:spacing w:val="11"/>
          <w:sz w:val="32"/>
          <w:szCs w:val="32"/>
        </w:rPr>
        <w:t xml:space="preserve">  </w:t>
      </w:r>
      <w:r>
        <w:rPr>
          <w:rFonts w:ascii="宋体" w:hAnsi="宋体" w:eastAsia="宋体" w:cs="宋体"/>
          <w:spacing w:val="-2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2020</w:t>
      </w:r>
      <w:r>
        <w:rPr>
          <w:rFonts w:ascii="宋体" w:hAnsi="宋体" w:eastAsia="宋体" w:cs="宋体"/>
          <w:spacing w:val="-66"/>
          <w:sz w:val="32"/>
          <w:szCs w:val="32"/>
        </w:rPr>
        <w:t xml:space="preserve"> </w:t>
      </w:r>
      <w:r>
        <w:rPr>
          <w:rFonts w:ascii="宋体" w:hAnsi="宋体" w:eastAsia="宋体" w:cs="宋体"/>
          <w:spacing w:val="-2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年度部门决算表</w:t>
      </w:r>
    </w:p>
    <w:p w14:paraId="7F0AC533">
      <w:p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 w14:paraId="28E88088">
      <w:pPr>
        <w:spacing w:line="295" w:lineRule="auto"/>
        <w:rPr>
          <w:rFonts w:ascii="宋体"/>
          <w:sz w:val="21"/>
        </w:rPr>
      </w:pPr>
    </w:p>
    <w:p w14:paraId="20CC44A1">
      <w:pPr>
        <w:spacing w:line="295" w:lineRule="auto"/>
        <w:rPr>
          <w:rFonts w:ascii="宋体"/>
          <w:sz w:val="21"/>
        </w:rPr>
      </w:pPr>
    </w:p>
    <w:p w14:paraId="41F994F8">
      <w:pPr>
        <w:spacing w:line="12376" w:lineRule="exact"/>
        <w:ind w:firstLine="14"/>
        <w:textAlignment w:val="center"/>
      </w:pPr>
      <w:r>
        <w:drawing>
          <wp:inline distT="0" distB="0" distL="0" distR="0">
            <wp:extent cx="5273040" cy="7858760"/>
            <wp:effectExtent l="0" t="0" r="0" b="0"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859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C93B0">
      <w:p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 w14:paraId="5B3836CA">
      <w:pPr>
        <w:spacing w:before="56" w:line="9792" w:lineRule="exact"/>
        <w:ind w:firstLine="14"/>
        <w:textAlignment w:val="center"/>
      </w:pPr>
      <w:r>
        <w:drawing>
          <wp:inline distT="0" distB="0" distL="0" distR="0">
            <wp:extent cx="5267960" cy="621728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467" cy="6217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5E43B">
      <w:p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 w14:paraId="40889EE4">
      <w:pPr>
        <w:spacing w:before="80" w:line="11712" w:lineRule="exact"/>
        <w:ind w:firstLine="14"/>
        <w:textAlignment w:val="center"/>
      </w:pPr>
      <w:r>
        <w:drawing>
          <wp:inline distT="0" distB="0" distL="0" distR="0">
            <wp:extent cx="5267960" cy="7436485"/>
            <wp:effectExtent l="0" t="0" r="0" b="0"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467" cy="7437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D878D">
      <w:p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 w14:paraId="739C8919">
      <w:pPr>
        <w:spacing w:before="92" w:line="9483" w:lineRule="exact"/>
        <w:ind w:firstLine="14"/>
        <w:textAlignment w:val="center"/>
      </w:pPr>
      <w:r>
        <w:drawing>
          <wp:inline distT="0" distB="0" distL="0" distR="0">
            <wp:extent cx="5271135" cy="602107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515" cy="6021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975C4">
      <w:pPr>
        <w:spacing w:line="303" w:lineRule="auto"/>
        <w:rPr>
          <w:rFonts w:ascii="宋体"/>
          <w:sz w:val="21"/>
        </w:rPr>
      </w:pPr>
    </w:p>
    <w:p w14:paraId="40D3A230">
      <w:pPr>
        <w:spacing w:line="304" w:lineRule="auto"/>
        <w:rPr>
          <w:rFonts w:ascii="宋体"/>
          <w:sz w:val="21"/>
        </w:rPr>
      </w:pPr>
    </w:p>
    <w:p w14:paraId="4D65C07A">
      <w:pPr>
        <w:spacing w:line="2573" w:lineRule="exact"/>
        <w:ind w:firstLine="14"/>
        <w:textAlignment w:val="center"/>
      </w:pPr>
      <w:r>
        <w:drawing>
          <wp:inline distT="0" distB="0" distL="0" distR="0">
            <wp:extent cx="5267960" cy="1633220"/>
            <wp:effectExtent l="0" t="0" r="0" b="0"/>
            <wp:docPr id="5" name="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 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467" cy="1633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74579">
      <w:p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 w14:paraId="7AC4DA40">
      <w:pPr>
        <w:spacing w:before="39" w:line="4616" w:lineRule="exact"/>
        <w:ind w:firstLine="14"/>
        <w:textAlignment w:val="center"/>
      </w:pPr>
      <w:r>
        <w:drawing>
          <wp:inline distT="0" distB="0" distL="0" distR="0">
            <wp:extent cx="5269865" cy="293052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991" cy="2930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8CEC2">
      <w:p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 w14:paraId="7E08E8F3">
      <w:pPr>
        <w:spacing w:line="288" w:lineRule="auto"/>
        <w:rPr>
          <w:rFonts w:ascii="宋体"/>
          <w:sz w:val="21"/>
        </w:rPr>
      </w:pPr>
    </w:p>
    <w:p w14:paraId="49B8BD4F">
      <w:pPr>
        <w:spacing w:line="288" w:lineRule="auto"/>
        <w:rPr>
          <w:rFonts w:ascii="宋体"/>
          <w:sz w:val="21"/>
        </w:rPr>
      </w:pPr>
    </w:p>
    <w:p w14:paraId="13A56B8D">
      <w:pPr>
        <w:spacing w:line="288" w:lineRule="auto"/>
        <w:rPr>
          <w:rFonts w:ascii="宋体"/>
          <w:sz w:val="21"/>
        </w:rPr>
      </w:pPr>
    </w:p>
    <w:p w14:paraId="7AE55461">
      <w:pPr>
        <w:spacing w:line="288" w:lineRule="auto"/>
        <w:rPr>
          <w:rFonts w:ascii="宋体"/>
          <w:sz w:val="21"/>
        </w:rPr>
      </w:pPr>
    </w:p>
    <w:p w14:paraId="249ECA4A">
      <w:pPr>
        <w:spacing w:before="105" w:line="184" w:lineRule="auto"/>
        <w:ind w:firstLine="1730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2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第三部分</w:t>
      </w:r>
      <w:r>
        <w:rPr>
          <w:rFonts w:ascii="宋体" w:hAnsi="宋体" w:eastAsia="宋体" w:cs="宋体"/>
          <w:spacing w:val="15"/>
          <w:sz w:val="32"/>
          <w:szCs w:val="32"/>
        </w:rPr>
        <w:t xml:space="preserve">  </w:t>
      </w:r>
      <w:r>
        <w:rPr>
          <w:rFonts w:ascii="宋体" w:hAnsi="宋体" w:eastAsia="宋体" w:cs="宋体"/>
          <w:spacing w:val="-2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2020</w:t>
      </w:r>
      <w:r>
        <w:rPr>
          <w:rFonts w:ascii="宋体" w:hAnsi="宋体" w:eastAsia="宋体" w:cs="宋体"/>
          <w:spacing w:val="-66"/>
          <w:sz w:val="32"/>
          <w:szCs w:val="32"/>
        </w:rPr>
        <w:t xml:space="preserve"> </w:t>
      </w:r>
      <w:r>
        <w:rPr>
          <w:rFonts w:ascii="宋体" w:hAnsi="宋体" w:eastAsia="宋体" w:cs="宋体"/>
          <w:spacing w:val="-2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年度部门决算情况说明</w:t>
      </w:r>
    </w:p>
    <w:p w14:paraId="0B16F27C">
      <w:pPr>
        <w:spacing w:line="336" w:lineRule="auto"/>
        <w:rPr>
          <w:rFonts w:ascii="宋体"/>
          <w:sz w:val="21"/>
        </w:rPr>
      </w:pPr>
    </w:p>
    <w:p w14:paraId="5B2966BF">
      <w:pPr>
        <w:spacing w:line="336" w:lineRule="auto"/>
        <w:rPr>
          <w:rFonts w:ascii="宋体"/>
          <w:sz w:val="21"/>
        </w:rPr>
      </w:pPr>
    </w:p>
    <w:p w14:paraId="7292DB58">
      <w:pPr>
        <w:spacing w:before="97" w:line="187" w:lineRule="auto"/>
        <w:ind w:firstLine="65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2"/>
          <w:sz w:val="30"/>
          <w:szCs w:val="30"/>
        </w:rPr>
        <w:t>一、收入决算情况说明</w:t>
      </w:r>
    </w:p>
    <w:p w14:paraId="282976CA">
      <w:pPr>
        <w:spacing w:before="319" w:line="384" w:lineRule="auto"/>
        <w:ind w:left="36" w:firstLine="627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本部门</w:t>
      </w:r>
      <w:r>
        <w:rPr>
          <w:rFonts w:ascii="仿宋" w:hAnsi="仿宋" w:eastAsia="仿宋" w:cs="仿宋"/>
          <w:spacing w:val="-4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6"/>
          <w:sz w:val="30"/>
          <w:szCs w:val="30"/>
        </w:rPr>
        <w:t>2020</w:t>
      </w:r>
      <w:r>
        <w:rPr>
          <w:rFonts w:ascii="仿宋" w:hAnsi="仿宋" w:eastAsia="仿宋" w:cs="仿宋"/>
          <w:spacing w:val="-5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6"/>
          <w:sz w:val="30"/>
          <w:szCs w:val="30"/>
        </w:rPr>
        <w:t>年度收入总计</w:t>
      </w:r>
      <w:r>
        <w:rPr>
          <w:rFonts w:ascii="仿宋" w:hAnsi="仿宋" w:eastAsia="仿宋" w:cs="仿宋"/>
          <w:spacing w:val="-4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6"/>
          <w:sz w:val="30"/>
          <w:szCs w:val="30"/>
        </w:rPr>
        <w:t>12.97</w:t>
      </w:r>
      <w:r>
        <w:rPr>
          <w:rFonts w:ascii="仿宋" w:hAnsi="仿宋" w:eastAsia="仿宋" w:cs="仿宋"/>
          <w:spacing w:val="2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6"/>
          <w:sz w:val="30"/>
          <w:szCs w:val="30"/>
        </w:rPr>
        <w:t>万元，其中年初结转和结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4"/>
          <w:sz w:val="30"/>
          <w:szCs w:val="30"/>
        </w:rPr>
        <w:t>余</w:t>
      </w:r>
      <w:r>
        <w:rPr>
          <w:rFonts w:ascii="仿宋" w:hAnsi="仿宋" w:eastAsia="仿宋" w:cs="仿宋"/>
          <w:spacing w:val="-5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4"/>
          <w:sz w:val="30"/>
          <w:szCs w:val="30"/>
        </w:rPr>
        <w:t>6.85</w:t>
      </w:r>
      <w:r>
        <w:rPr>
          <w:rFonts w:ascii="仿宋" w:hAnsi="仿宋" w:eastAsia="仿宋" w:cs="仿宋"/>
          <w:spacing w:val="-5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4"/>
          <w:sz w:val="30"/>
          <w:szCs w:val="30"/>
        </w:rPr>
        <w:t>万元，较</w:t>
      </w:r>
      <w:r>
        <w:rPr>
          <w:rFonts w:ascii="仿宋" w:hAnsi="仿宋" w:eastAsia="仿宋" w:cs="仿宋"/>
          <w:spacing w:val="-6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4"/>
          <w:sz w:val="30"/>
          <w:szCs w:val="30"/>
        </w:rPr>
        <w:t>2019</w:t>
      </w:r>
      <w:r>
        <w:rPr>
          <w:rFonts w:ascii="仿宋" w:hAnsi="仿宋" w:eastAsia="仿宋" w:cs="仿宋"/>
          <w:spacing w:val="-4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4"/>
          <w:sz w:val="30"/>
          <w:szCs w:val="30"/>
        </w:rPr>
        <w:t>年增加</w:t>
      </w:r>
      <w:r>
        <w:rPr>
          <w:rFonts w:ascii="仿宋" w:hAnsi="仿宋" w:eastAsia="仿宋" w:cs="仿宋"/>
          <w:spacing w:val="-5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4"/>
          <w:sz w:val="30"/>
          <w:szCs w:val="30"/>
        </w:rPr>
        <w:t>3.8</w:t>
      </w:r>
      <w:r>
        <w:rPr>
          <w:rFonts w:ascii="仿宋" w:hAnsi="仿宋" w:eastAsia="仿宋" w:cs="仿宋"/>
          <w:spacing w:val="2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4"/>
          <w:sz w:val="30"/>
          <w:szCs w:val="30"/>
        </w:rPr>
        <w:t>万元，增长</w:t>
      </w:r>
      <w:r>
        <w:rPr>
          <w:rFonts w:ascii="仿宋" w:hAnsi="仿宋" w:eastAsia="仿宋" w:cs="仿宋"/>
          <w:spacing w:val="-4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4"/>
          <w:sz w:val="30"/>
          <w:szCs w:val="30"/>
        </w:rPr>
        <w:t>124.59</w:t>
      </w:r>
      <w:r>
        <w:rPr>
          <w:rFonts w:ascii="仿宋" w:hAnsi="仿宋" w:eastAsia="仿宋" w:cs="仿宋"/>
          <w:spacing w:val="1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14"/>
          <w:sz w:val="30"/>
          <w:szCs w:val="30"/>
        </w:rPr>
        <w:t>%；</w:t>
      </w:r>
      <w:r>
        <w:rPr>
          <w:rFonts w:ascii="仿宋" w:hAnsi="仿宋" w:eastAsia="仿宋" w:cs="仿宋"/>
          <w:spacing w:val="5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4"/>
          <w:sz w:val="30"/>
          <w:szCs w:val="30"/>
        </w:rPr>
        <w:t>本年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7"/>
          <w:sz w:val="30"/>
          <w:szCs w:val="30"/>
        </w:rPr>
        <w:t>收入合计</w:t>
      </w:r>
      <w:r>
        <w:rPr>
          <w:rFonts w:ascii="仿宋" w:hAnsi="仿宋" w:eastAsia="仿宋" w:cs="仿宋"/>
          <w:spacing w:val="-3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7"/>
          <w:sz w:val="30"/>
          <w:szCs w:val="30"/>
        </w:rPr>
        <w:t>6.13</w:t>
      </w:r>
      <w:r>
        <w:rPr>
          <w:rFonts w:ascii="仿宋" w:hAnsi="仿宋" w:eastAsia="仿宋" w:cs="仿宋"/>
          <w:spacing w:val="-5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7"/>
          <w:sz w:val="30"/>
          <w:szCs w:val="30"/>
        </w:rPr>
        <w:t>万元，较</w:t>
      </w:r>
      <w:r>
        <w:rPr>
          <w:rFonts w:ascii="仿宋" w:hAnsi="仿宋" w:eastAsia="仿宋" w:cs="仿宋"/>
          <w:spacing w:val="-5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7"/>
          <w:sz w:val="30"/>
          <w:szCs w:val="30"/>
        </w:rPr>
        <w:t>2019</w:t>
      </w:r>
      <w:r>
        <w:rPr>
          <w:rFonts w:ascii="仿宋" w:hAnsi="仿宋" w:eastAsia="仿宋" w:cs="仿宋"/>
          <w:spacing w:val="-5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7"/>
          <w:sz w:val="30"/>
          <w:szCs w:val="30"/>
        </w:rPr>
        <w:t>年减少</w:t>
      </w:r>
      <w:r>
        <w:rPr>
          <w:rFonts w:ascii="仿宋" w:hAnsi="仿宋" w:eastAsia="仿宋" w:cs="仿宋"/>
          <w:spacing w:val="-5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7"/>
          <w:sz w:val="30"/>
          <w:szCs w:val="30"/>
        </w:rPr>
        <w:t>7.03</w:t>
      </w:r>
      <w:r>
        <w:rPr>
          <w:rFonts w:ascii="仿宋" w:hAnsi="仿宋" w:eastAsia="仿宋" w:cs="仿宋"/>
          <w:spacing w:val="-5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7"/>
          <w:sz w:val="30"/>
          <w:szCs w:val="30"/>
        </w:rPr>
        <w:t>万元，下降</w:t>
      </w:r>
      <w:r>
        <w:rPr>
          <w:rFonts w:ascii="仿宋" w:hAnsi="仿宋" w:eastAsia="仿宋" w:cs="仿宋"/>
          <w:spacing w:val="-5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7"/>
          <w:sz w:val="30"/>
          <w:szCs w:val="30"/>
        </w:rPr>
        <w:t>53.42</w:t>
      </w:r>
      <w:r>
        <w:rPr>
          <w:rFonts w:ascii="仿宋" w:hAnsi="仿宋" w:eastAsia="仿宋" w:cs="仿宋"/>
          <w:spacing w:val="-1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7"/>
          <w:sz w:val="30"/>
          <w:szCs w:val="30"/>
        </w:rPr>
        <w:t>%，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2"/>
          <w:sz w:val="30"/>
          <w:szCs w:val="30"/>
        </w:rPr>
        <w:t>主要原因是：</w:t>
      </w:r>
      <w:r>
        <w:rPr>
          <w:rFonts w:ascii="仿宋" w:hAnsi="仿宋" w:eastAsia="仿宋" w:cs="仿宋"/>
          <w:spacing w:val="6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2"/>
          <w:sz w:val="30"/>
          <w:szCs w:val="30"/>
        </w:rPr>
        <w:t>缩减开支。</w:t>
      </w:r>
    </w:p>
    <w:p w14:paraId="2DEDC81C">
      <w:pPr>
        <w:spacing w:line="384" w:lineRule="auto"/>
        <w:ind w:left="25" w:right="3" w:firstLine="638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5"/>
          <w:sz w:val="30"/>
          <w:szCs w:val="30"/>
        </w:rPr>
        <w:t>本年收入的具体构成为：</w:t>
      </w:r>
      <w:r>
        <w:rPr>
          <w:rFonts w:ascii="仿宋" w:hAnsi="仿宋" w:eastAsia="仿宋" w:cs="仿宋"/>
          <w:spacing w:val="8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5"/>
          <w:sz w:val="30"/>
          <w:szCs w:val="30"/>
        </w:rPr>
        <w:t>财政拨款收入</w:t>
      </w:r>
      <w:r>
        <w:rPr>
          <w:rFonts w:ascii="仿宋" w:hAnsi="仿宋" w:eastAsia="仿宋" w:cs="仿宋"/>
          <w:spacing w:val="-6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5"/>
          <w:sz w:val="30"/>
          <w:szCs w:val="30"/>
        </w:rPr>
        <w:t>6.1</w:t>
      </w:r>
      <w:r>
        <w:rPr>
          <w:rFonts w:ascii="仿宋" w:hAnsi="仿宋" w:eastAsia="仿宋" w:cs="仿宋"/>
          <w:spacing w:val="-5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5"/>
          <w:sz w:val="30"/>
          <w:szCs w:val="30"/>
        </w:rPr>
        <w:t>万元，</w:t>
      </w:r>
      <w:r>
        <w:rPr>
          <w:rFonts w:ascii="仿宋" w:hAnsi="仿宋" w:eastAsia="仿宋" w:cs="仿宋"/>
          <w:spacing w:val="-7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5"/>
          <w:sz w:val="30"/>
          <w:szCs w:val="30"/>
        </w:rPr>
        <w:t>占</w:t>
      </w:r>
      <w:r>
        <w:rPr>
          <w:rFonts w:ascii="仿宋" w:hAnsi="仿宋" w:eastAsia="仿宋" w:cs="仿宋"/>
          <w:sz w:val="30"/>
          <w:szCs w:val="30"/>
        </w:rPr>
        <w:t xml:space="preserve">      </w:t>
      </w:r>
      <w:r>
        <w:rPr>
          <w:rFonts w:ascii="仿宋" w:hAnsi="仿宋" w:eastAsia="仿宋" w:cs="仿宋"/>
          <w:spacing w:val="-12"/>
          <w:w w:val="84"/>
          <w:sz w:val="30"/>
          <w:szCs w:val="30"/>
        </w:rPr>
        <w:t>99.51</w:t>
      </w:r>
      <w:r>
        <w:rPr>
          <w:rFonts w:ascii="仿宋" w:hAnsi="仿宋" w:eastAsia="仿宋" w:cs="仿宋"/>
          <w:spacing w:val="-1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2"/>
          <w:w w:val="84"/>
          <w:sz w:val="30"/>
          <w:szCs w:val="30"/>
        </w:rPr>
        <w:t>%；</w:t>
      </w:r>
      <w:r>
        <w:rPr>
          <w:rFonts w:ascii="仿宋" w:hAnsi="仿宋" w:eastAsia="仿宋" w:cs="仿宋"/>
          <w:spacing w:val="-3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2"/>
          <w:w w:val="84"/>
          <w:sz w:val="30"/>
          <w:szCs w:val="30"/>
        </w:rPr>
        <w:t>事业收入</w:t>
      </w:r>
      <w:r>
        <w:rPr>
          <w:rFonts w:ascii="仿宋" w:hAnsi="仿宋" w:eastAsia="仿宋" w:cs="仿宋"/>
          <w:spacing w:val="9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2"/>
          <w:w w:val="84"/>
          <w:sz w:val="30"/>
          <w:szCs w:val="30"/>
        </w:rPr>
        <w:t>０</w:t>
      </w:r>
      <w:r>
        <w:rPr>
          <w:rFonts w:ascii="仿宋" w:hAnsi="仿宋" w:eastAsia="仿宋" w:cs="仿宋"/>
          <w:spacing w:val="12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2"/>
          <w:w w:val="84"/>
          <w:sz w:val="30"/>
          <w:szCs w:val="30"/>
        </w:rPr>
        <w:t>万元，占</w:t>
      </w:r>
      <w:r>
        <w:rPr>
          <w:rFonts w:ascii="仿宋" w:hAnsi="仿宋" w:eastAsia="仿宋" w:cs="仿宋"/>
          <w:spacing w:val="-5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2"/>
          <w:w w:val="84"/>
          <w:sz w:val="30"/>
          <w:szCs w:val="30"/>
        </w:rPr>
        <w:t>０</w:t>
      </w:r>
      <w:r>
        <w:rPr>
          <w:rFonts w:ascii="仿宋" w:hAnsi="仿宋" w:eastAsia="仿宋" w:cs="仿宋"/>
          <w:spacing w:val="10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2"/>
          <w:w w:val="84"/>
          <w:sz w:val="30"/>
          <w:szCs w:val="30"/>
        </w:rPr>
        <w:t>%；</w:t>
      </w:r>
      <w:r>
        <w:rPr>
          <w:rFonts w:ascii="仿宋" w:hAnsi="仿宋" w:eastAsia="仿宋" w:cs="仿宋"/>
          <w:spacing w:val="-3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2"/>
          <w:w w:val="84"/>
          <w:sz w:val="30"/>
          <w:szCs w:val="30"/>
        </w:rPr>
        <w:t>经营收入</w:t>
      </w:r>
      <w:r>
        <w:rPr>
          <w:rFonts w:ascii="仿宋" w:hAnsi="仿宋" w:eastAsia="仿宋" w:cs="仿宋"/>
          <w:spacing w:val="-5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2"/>
          <w:w w:val="84"/>
          <w:sz w:val="30"/>
          <w:szCs w:val="30"/>
        </w:rPr>
        <w:t>０</w:t>
      </w:r>
      <w:r>
        <w:rPr>
          <w:rFonts w:ascii="仿宋" w:hAnsi="仿宋" w:eastAsia="仿宋" w:cs="仿宋"/>
          <w:spacing w:val="11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2"/>
          <w:w w:val="84"/>
          <w:sz w:val="30"/>
          <w:szCs w:val="30"/>
        </w:rPr>
        <w:t>万元，占</w:t>
      </w:r>
      <w:r>
        <w:rPr>
          <w:rFonts w:ascii="仿宋" w:hAnsi="仿宋" w:eastAsia="仿宋" w:cs="仿宋"/>
          <w:spacing w:val="-5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2"/>
          <w:w w:val="84"/>
          <w:sz w:val="30"/>
          <w:szCs w:val="30"/>
        </w:rPr>
        <w:t>０</w:t>
      </w:r>
      <w:r>
        <w:rPr>
          <w:rFonts w:ascii="仿宋" w:hAnsi="仿宋" w:eastAsia="仿宋" w:cs="仿宋"/>
          <w:spacing w:val="10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2"/>
          <w:w w:val="84"/>
          <w:sz w:val="30"/>
          <w:szCs w:val="30"/>
        </w:rPr>
        <w:t>%；</w:t>
      </w:r>
    </w:p>
    <w:p w14:paraId="165EA968">
      <w:pPr>
        <w:spacing w:before="1" w:line="204" w:lineRule="auto"/>
        <w:ind w:firstLine="3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8"/>
          <w:sz w:val="30"/>
          <w:szCs w:val="30"/>
        </w:rPr>
        <w:t>其他收入</w:t>
      </w:r>
      <w:r>
        <w:rPr>
          <w:rFonts w:ascii="仿宋" w:hAnsi="仿宋" w:eastAsia="仿宋" w:cs="仿宋"/>
          <w:spacing w:val="-6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8"/>
          <w:sz w:val="30"/>
          <w:szCs w:val="30"/>
        </w:rPr>
        <w:t>0.03</w:t>
      </w:r>
      <w:r>
        <w:rPr>
          <w:rFonts w:ascii="仿宋" w:hAnsi="仿宋" w:eastAsia="仿宋" w:cs="仿宋"/>
          <w:spacing w:val="2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8"/>
          <w:sz w:val="30"/>
          <w:szCs w:val="30"/>
        </w:rPr>
        <w:t>万元，</w:t>
      </w:r>
      <w:r>
        <w:rPr>
          <w:rFonts w:ascii="仿宋" w:hAnsi="仿宋" w:eastAsia="仿宋" w:cs="仿宋"/>
          <w:spacing w:val="-7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8"/>
          <w:sz w:val="30"/>
          <w:szCs w:val="30"/>
        </w:rPr>
        <w:t>占</w:t>
      </w:r>
      <w:r>
        <w:rPr>
          <w:rFonts w:ascii="仿宋" w:hAnsi="仿宋" w:eastAsia="仿宋" w:cs="仿宋"/>
          <w:spacing w:val="-6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8"/>
          <w:sz w:val="30"/>
          <w:szCs w:val="30"/>
        </w:rPr>
        <w:t>0.49%。</w:t>
      </w:r>
    </w:p>
    <w:p w14:paraId="0909883E">
      <w:pPr>
        <w:spacing w:before="291" w:line="187" w:lineRule="auto"/>
        <w:ind w:firstLine="65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2"/>
          <w:sz w:val="30"/>
          <w:szCs w:val="30"/>
        </w:rPr>
        <w:t>二、支出决算情况说明</w:t>
      </w:r>
    </w:p>
    <w:p w14:paraId="46352548">
      <w:pPr>
        <w:spacing w:before="320" w:line="384" w:lineRule="auto"/>
        <w:ind w:left="25" w:right="85" w:firstLine="638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9"/>
          <w:sz w:val="30"/>
          <w:szCs w:val="30"/>
        </w:rPr>
        <w:t>本部门</w:t>
      </w:r>
      <w:r>
        <w:rPr>
          <w:rFonts w:ascii="仿宋" w:hAnsi="仿宋" w:eastAsia="仿宋" w:cs="仿宋"/>
          <w:spacing w:val="-3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9"/>
          <w:sz w:val="30"/>
          <w:szCs w:val="30"/>
        </w:rPr>
        <w:t>2020</w:t>
      </w:r>
      <w:r>
        <w:rPr>
          <w:rFonts w:ascii="仿宋" w:hAnsi="仿宋" w:eastAsia="仿宋" w:cs="仿宋"/>
          <w:spacing w:val="-5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9"/>
          <w:sz w:val="30"/>
          <w:szCs w:val="30"/>
        </w:rPr>
        <w:t>年度支出总计</w:t>
      </w:r>
      <w:r>
        <w:rPr>
          <w:rFonts w:ascii="仿宋" w:hAnsi="仿宋" w:eastAsia="仿宋" w:cs="仿宋"/>
          <w:spacing w:val="3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9"/>
          <w:sz w:val="30"/>
          <w:szCs w:val="30"/>
        </w:rPr>
        <w:t>12.97</w:t>
      </w:r>
      <w:r>
        <w:rPr>
          <w:rFonts w:ascii="仿宋" w:hAnsi="仿宋" w:eastAsia="仿宋" w:cs="仿宋"/>
          <w:spacing w:val="2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9"/>
          <w:sz w:val="30"/>
          <w:szCs w:val="30"/>
        </w:rPr>
        <w:t>万元，其中本年支出合计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8.52</w:t>
      </w:r>
      <w:r>
        <w:rPr>
          <w:rFonts w:ascii="仿宋" w:hAnsi="仿宋" w:eastAsia="仿宋" w:cs="仿宋"/>
          <w:spacing w:val="-3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万元，较</w:t>
      </w:r>
      <w:r>
        <w:rPr>
          <w:rFonts w:ascii="仿宋" w:hAnsi="仿宋" w:eastAsia="仿宋" w:cs="仿宋"/>
          <w:spacing w:val="-6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2019</w:t>
      </w:r>
      <w:r>
        <w:rPr>
          <w:rFonts w:ascii="仿宋" w:hAnsi="仿宋" w:eastAsia="仿宋" w:cs="仿宋"/>
          <w:spacing w:val="-4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年减少</w:t>
      </w:r>
      <w:r>
        <w:rPr>
          <w:rFonts w:ascii="仿宋" w:hAnsi="仿宋" w:eastAsia="仿宋" w:cs="仿宋"/>
          <w:spacing w:val="-6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0.84</w:t>
      </w:r>
      <w:r>
        <w:rPr>
          <w:rFonts w:ascii="仿宋" w:hAnsi="仿宋" w:eastAsia="仿宋" w:cs="仿宋"/>
          <w:spacing w:val="-5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万元，下降</w:t>
      </w:r>
      <w:r>
        <w:rPr>
          <w:rFonts w:ascii="仿宋" w:hAnsi="仿宋" w:eastAsia="仿宋" w:cs="仿宋"/>
          <w:spacing w:val="-6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8.97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%，主要原因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9"/>
          <w:sz w:val="30"/>
          <w:szCs w:val="30"/>
        </w:rPr>
        <w:t>是：</w:t>
      </w:r>
      <w:r>
        <w:rPr>
          <w:rFonts w:ascii="仿宋" w:hAnsi="仿宋" w:eastAsia="仿宋" w:cs="仿宋"/>
          <w:spacing w:val="5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9"/>
          <w:sz w:val="30"/>
          <w:szCs w:val="30"/>
        </w:rPr>
        <w:t>缩减开支；</w:t>
      </w:r>
      <w:r>
        <w:rPr>
          <w:rFonts w:ascii="仿宋" w:hAnsi="仿宋" w:eastAsia="仿宋" w:cs="仿宋"/>
          <w:spacing w:val="1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9"/>
          <w:sz w:val="30"/>
          <w:szCs w:val="30"/>
        </w:rPr>
        <w:t>年末结转和结余</w:t>
      </w:r>
      <w:r>
        <w:rPr>
          <w:rFonts w:ascii="仿宋" w:hAnsi="仿宋" w:eastAsia="仿宋" w:cs="仿宋"/>
          <w:spacing w:val="-6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9"/>
          <w:sz w:val="30"/>
          <w:szCs w:val="30"/>
        </w:rPr>
        <w:t>4.46</w:t>
      </w:r>
      <w:r>
        <w:rPr>
          <w:rFonts w:ascii="仿宋" w:hAnsi="仿宋" w:eastAsia="仿宋" w:cs="仿宋"/>
          <w:spacing w:val="-5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9"/>
          <w:sz w:val="30"/>
          <w:szCs w:val="30"/>
        </w:rPr>
        <w:t>万元，较</w:t>
      </w:r>
      <w:r>
        <w:rPr>
          <w:rFonts w:ascii="仿宋" w:hAnsi="仿宋" w:eastAsia="仿宋" w:cs="仿宋"/>
          <w:spacing w:val="-6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9"/>
          <w:sz w:val="30"/>
          <w:szCs w:val="30"/>
        </w:rPr>
        <w:t>2019</w:t>
      </w:r>
      <w:r>
        <w:rPr>
          <w:rFonts w:ascii="仿宋" w:hAnsi="仿宋" w:eastAsia="仿宋" w:cs="仿宋"/>
          <w:spacing w:val="-4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9"/>
          <w:sz w:val="30"/>
          <w:szCs w:val="30"/>
        </w:rPr>
        <w:t>年减少</w:t>
      </w:r>
      <w:r>
        <w:rPr>
          <w:rFonts w:ascii="仿宋" w:hAnsi="仿宋" w:eastAsia="仿宋" w:cs="仿宋"/>
          <w:spacing w:val="-6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9"/>
          <w:sz w:val="30"/>
          <w:szCs w:val="30"/>
        </w:rPr>
        <w:t>2.39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1"/>
          <w:sz w:val="30"/>
          <w:szCs w:val="30"/>
        </w:rPr>
        <w:t>万元，下降</w:t>
      </w:r>
      <w:r>
        <w:rPr>
          <w:rFonts w:ascii="仿宋" w:hAnsi="仿宋" w:eastAsia="仿宋" w:cs="仿宋"/>
          <w:spacing w:val="-5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1"/>
          <w:sz w:val="30"/>
          <w:szCs w:val="30"/>
        </w:rPr>
        <w:t>34.89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11"/>
          <w:sz w:val="30"/>
          <w:szCs w:val="30"/>
        </w:rPr>
        <w:t>%，主要原因是：</w:t>
      </w:r>
      <w:r>
        <w:rPr>
          <w:rFonts w:ascii="仿宋" w:hAnsi="仿宋" w:eastAsia="仿宋" w:cs="仿宋"/>
          <w:spacing w:val="6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1"/>
          <w:sz w:val="30"/>
          <w:szCs w:val="30"/>
        </w:rPr>
        <w:t>缩减开支。</w:t>
      </w:r>
    </w:p>
    <w:p w14:paraId="5582DB69">
      <w:pPr>
        <w:spacing w:line="384" w:lineRule="auto"/>
        <w:ind w:left="35" w:right="86" w:firstLine="628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6"/>
          <w:sz w:val="30"/>
          <w:szCs w:val="30"/>
        </w:rPr>
        <w:t>本年支出的具体构成为：</w:t>
      </w:r>
      <w:r>
        <w:rPr>
          <w:rFonts w:ascii="仿宋" w:hAnsi="仿宋" w:eastAsia="仿宋" w:cs="仿宋"/>
          <w:spacing w:val="7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6"/>
          <w:sz w:val="30"/>
          <w:szCs w:val="30"/>
        </w:rPr>
        <w:t>基本支出</w:t>
      </w:r>
      <w:r>
        <w:rPr>
          <w:rFonts w:ascii="仿宋" w:hAnsi="仿宋" w:eastAsia="仿宋" w:cs="仿宋"/>
          <w:spacing w:val="-6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6"/>
          <w:sz w:val="30"/>
          <w:szCs w:val="30"/>
        </w:rPr>
        <w:t>8.52</w:t>
      </w:r>
      <w:r>
        <w:rPr>
          <w:rFonts w:ascii="仿宋" w:hAnsi="仿宋" w:eastAsia="仿宋" w:cs="仿宋"/>
          <w:spacing w:val="1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6"/>
          <w:sz w:val="30"/>
          <w:szCs w:val="30"/>
        </w:rPr>
        <w:t>万元，</w:t>
      </w:r>
      <w:r>
        <w:rPr>
          <w:rFonts w:ascii="仿宋" w:hAnsi="仿宋" w:eastAsia="仿宋" w:cs="仿宋"/>
          <w:spacing w:val="-7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6"/>
          <w:sz w:val="30"/>
          <w:szCs w:val="30"/>
        </w:rPr>
        <w:t>占</w:t>
      </w:r>
      <w:r>
        <w:rPr>
          <w:rFonts w:ascii="仿宋" w:hAnsi="仿宋" w:eastAsia="仿宋" w:cs="仿宋"/>
          <w:spacing w:val="-4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6"/>
          <w:sz w:val="30"/>
          <w:szCs w:val="30"/>
        </w:rPr>
        <w:t>100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6"/>
          <w:sz w:val="30"/>
          <w:szCs w:val="30"/>
        </w:rPr>
        <w:t>%；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7"/>
          <w:w w:val="91"/>
          <w:sz w:val="30"/>
          <w:szCs w:val="30"/>
        </w:rPr>
        <w:t>项目支出</w:t>
      </w:r>
      <w:r>
        <w:rPr>
          <w:rFonts w:ascii="仿宋" w:hAnsi="仿宋" w:eastAsia="仿宋" w:cs="仿宋"/>
          <w:spacing w:val="1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7"/>
          <w:w w:val="91"/>
          <w:sz w:val="30"/>
          <w:szCs w:val="30"/>
        </w:rPr>
        <w:t>０</w:t>
      </w:r>
      <w:r>
        <w:rPr>
          <w:rFonts w:ascii="仿宋" w:hAnsi="仿宋" w:eastAsia="仿宋" w:cs="仿宋"/>
          <w:spacing w:val="-2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7"/>
          <w:w w:val="91"/>
          <w:sz w:val="30"/>
          <w:szCs w:val="30"/>
        </w:rPr>
        <w:t>万元，占</w:t>
      </w:r>
      <w:r>
        <w:rPr>
          <w:rFonts w:ascii="仿宋" w:hAnsi="仿宋" w:eastAsia="仿宋" w:cs="仿宋"/>
          <w:spacing w:val="9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7"/>
          <w:w w:val="91"/>
          <w:sz w:val="30"/>
          <w:szCs w:val="30"/>
        </w:rPr>
        <w:t>０</w:t>
      </w:r>
      <w:r>
        <w:rPr>
          <w:rFonts w:ascii="仿宋" w:hAnsi="仿宋" w:eastAsia="仿宋" w:cs="仿宋"/>
          <w:spacing w:val="10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7"/>
          <w:w w:val="91"/>
          <w:sz w:val="30"/>
          <w:szCs w:val="30"/>
        </w:rPr>
        <w:t>%；</w:t>
      </w:r>
      <w:r>
        <w:rPr>
          <w:rFonts w:ascii="仿宋" w:hAnsi="仿宋" w:eastAsia="仿宋" w:cs="仿宋"/>
          <w:spacing w:val="6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7"/>
          <w:w w:val="91"/>
          <w:sz w:val="30"/>
          <w:szCs w:val="30"/>
        </w:rPr>
        <w:t>经营支出</w:t>
      </w:r>
      <w:r>
        <w:rPr>
          <w:rFonts w:ascii="仿宋" w:hAnsi="仿宋" w:eastAsia="仿宋" w:cs="仿宋"/>
          <w:spacing w:val="-5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7"/>
          <w:w w:val="91"/>
          <w:sz w:val="30"/>
          <w:szCs w:val="30"/>
        </w:rPr>
        <w:t>０</w:t>
      </w:r>
      <w:r>
        <w:rPr>
          <w:rFonts w:ascii="仿宋" w:hAnsi="仿宋" w:eastAsia="仿宋" w:cs="仿宋"/>
          <w:spacing w:val="11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7"/>
          <w:w w:val="91"/>
          <w:sz w:val="30"/>
          <w:szCs w:val="30"/>
        </w:rPr>
        <w:t>万元，占</w:t>
      </w:r>
      <w:r>
        <w:rPr>
          <w:rFonts w:ascii="仿宋" w:hAnsi="仿宋" w:eastAsia="仿宋" w:cs="仿宋"/>
          <w:spacing w:val="-5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7"/>
          <w:w w:val="91"/>
          <w:sz w:val="30"/>
          <w:szCs w:val="30"/>
        </w:rPr>
        <w:t>０</w:t>
      </w:r>
      <w:r>
        <w:rPr>
          <w:rFonts w:ascii="仿宋" w:hAnsi="仿宋" w:eastAsia="仿宋" w:cs="仿宋"/>
          <w:spacing w:val="10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7"/>
          <w:w w:val="91"/>
          <w:sz w:val="30"/>
          <w:szCs w:val="30"/>
        </w:rPr>
        <w:t>%；</w:t>
      </w:r>
      <w:r>
        <w:rPr>
          <w:rFonts w:ascii="仿宋" w:hAnsi="仿宋" w:eastAsia="仿宋" w:cs="仿宋"/>
          <w:spacing w:val="6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7"/>
          <w:w w:val="91"/>
          <w:sz w:val="30"/>
          <w:szCs w:val="30"/>
        </w:rPr>
        <w:t>其他支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2"/>
          <w:sz w:val="30"/>
          <w:szCs w:val="30"/>
        </w:rPr>
        <w:t>出（对附属单位补助支出、上缴上级支出</w:t>
      </w:r>
      <w:r>
        <w:rPr>
          <w:rFonts w:ascii="仿宋" w:hAnsi="仿宋" w:eastAsia="仿宋" w:cs="仿宋"/>
          <w:spacing w:val="-101"/>
          <w:w w:val="75"/>
          <w:sz w:val="30"/>
          <w:szCs w:val="30"/>
        </w:rPr>
        <w:t>）</w:t>
      </w:r>
      <w:r>
        <w:rPr>
          <w:rFonts w:ascii="仿宋" w:hAnsi="仿宋" w:eastAsia="仿宋" w:cs="仿宋"/>
          <w:spacing w:val="9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01"/>
          <w:w w:val="75"/>
          <w:sz w:val="30"/>
          <w:szCs w:val="30"/>
        </w:rPr>
        <w:t>０</w:t>
      </w:r>
      <w:r>
        <w:rPr>
          <w:rFonts w:ascii="仿宋" w:hAnsi="仿宋" w:eastAsia="仿宋" w:cs="仿宋"/>
          <w:spacing w:val="12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2"/>
          <w:sz w:val="30"/>
          <w:szCs w:val="30"/>
        </w:rPr>
        <w:t>万元，</w:t>
      </w:r>
      <w:r>
        <w:rPr>
          <w:rFonts w:ascii="仿宋" w:hAnsi="仿宋" w:eastAsia="仿宋" w:cs="仿宋"/>
          <w:spacing w:val="-7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2"/>
          <w:sz w:val="30"/>
          <w:szCs w:val="30"/>
        </w:rPr>
        <w:t>占</w:t>
      </w:r>
      <w:r>
        <w:rPr>
          <w:rFonts w:ascii="仿宋" w:hAnsi="仿宋" w:eastAsia="仿宋" w:cs="仿宋"/>
          <w:spacing w:val="-5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2"/>
          <w:sz w:val="30"/>
          <w:szCs w:val="30"/>
        </w:rPr>
        <w:t>０</w:t>
      </w:r>
      <w:r>
        <w:rPr>
          <w:rFonts w:ascii="仿宋" w:hAnsi="仿宋" w:eastAsia="仿宋" w:cs="仿宋"/>
          <w:spacing w:val="-4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2"/>
          <w:sz w:val="30"/>
          <w:szCs w:val="30"/>
        </w:rPr>
        <w:t>%。</w:t>
      </w:r>
    </w:p>
    <w:p w14:paraId="787F0399">
      <w:pPr>
        <w:spacing w:line="204" w:lineRule="auto"/>
        <w:ind w:firstLine="66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2"/>
          <w:sz w:val="30"/>
          <w:szCs w:val="30"/>
        </w:rPr>
        <w:t>三、财政拨款支出决算情况说明</w:t>
      </w:r>
    </w:p>
    <w:p w14:paraId="130D16D4">
      <w:pPr>
        <w:spacing w:before="292" w:line="189" w:lineRule="auto"/>
        <w:ind w:firstLine="663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本部门</w:t>
      </w:r>
      <w:r>
        <w:rPr>
          <w:rFonts w:ascii="仿宋" w:hAnsi="仿宋" w:eastAsia="仿宋" w:cs="仿宋"/>
          <w:spacing w:val="-5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2020</w:t>
      </w:r>
      <w:r>
        <w:rPr>
          <w:rFonts w:ascii="仿宋" w:hAnsi="仿宋" w:eastAsia="仿宋" w:cs="仿宋"/>
          <w:spacing w:val="-5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年度财政拨款本年支出年初预算数为</w:t>
      </w:r>
      <w:r>
        <w:rPr>
          <w:rFonts w:ascii="仿宋" w:hAnsi="仿宋" w:eastAsia="仿宋" w:cs="仿宋"/>
          <w:spacing w:val="1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3.3</w:t>
      </w:r>
      <w:r>
        <w:rPr>
          <w:rFonts w:ascii="仿宋" w:hAnsi="仿宋" w:eastAsia="仿宋" w:cs="仿宋"/>
          <w:spacing w:val="2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万</w:t>
      </w:r>
    </w:p>
    <w:p w14:paraId="43671C03">
      <w:pPr>
        <w:sectPr>
          <w:pgSz w:w="11906" w:h="16839"/>
          <w:pgMar w:top="1431" w:right="1712" w:bottom="0" w:left="1785" w:header="0" w:footer="0" w:gutter="0"/>
          <w:cols w:space="720" w:num="1"/>
        </w:sectPr>
      </w:pPr>
    </w:p>
    <w:p w14:paraId="1A2E78D5">
      <w:pPr>
        <w:spacing w:before="171" w:line="189" w:lineRule="auto"/>
        <w:ind w:firstLine="38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元，决算数为</w:t>
      </w:r>
      <w:r>
        <w:rPr>
          <w:rFonts w:ascii="仿宋" w:hAnsi="仿宋" w:eastAsia="仿宋" w:cs="仿宋"/>
          <w:spacing w:val="-4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8.52</w:t>
      </w:r>
      <w:r>
        <w:rPr>
          <w:rFonts w:ascii="仿宋" w:hAnsi="仿宋" w:eastAsia="仿宋" w:cs="仿宋"/>
          <w:spacing w:val="-5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万元，完成年初预算的</w:t>
      </w:r>
      <w:r>
        <w:rPr>
          <w:rFonts w:ascii="仿宋" w:hAnsi="仿宋" w:eastAsia="仿宋" w:cs="仿宋"/>
          <w:spacing w:val="-6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258.18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%。其中：</w:t>
      </w:r>
    </w:p>
    <w:p w14:paraId="650AC4CF">
      <w:pPr>
        <w:spacing w:before="317" w:line="384" w:lineRule="auto"/>
        <w:ind w:left="44" w:right="86" w:firstLine="618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（一）一般公共服务支出年初预算数为</w:t>
      </w:r>
      <w:r>
        <w:rPr>
          <w:rFonts w:ascii="仿宋" w:hAnsi="仿宋" w:eastAsia="仿宋" w:cs="仿宋"/>
          <w:spacing w:val="-3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3.3</w:t>
      </w:r>
      <w:r>
        <w:rPr>
          <w:rFonts w:ascii="仿宋" w:hAnsi="仿宋" w:eastAsia="仿宋" w:cs="仿宋"/>
          <w:spacing w:val="2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万元，决算数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0"/>
          <w:sz w:val="30"/>
          <w:szCs w:val="30"/>
        </w:rPr>
        <w:t>为</w:t>
      </w:r>
      <w:r>
        <w:rPr>
          <w:rFonts w:ascii="仿宋" w:hAnsi="仿宋" w:eastAsia="仿宋" w:cs="仿宋"/>
          <w:spacing w:val="-4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0"/>
          <w:sz w:val="30"/>
          <w:szCs w:val="30"/>
        </w:rPr>
        <w:t>8.52</w:t>
      </w:r>
      <w:r>
        <w:rPr>
          <w:rFonts w:ascii="仿宋" w:hAnsi="仿宋" w:eastAsia="仿宋" w:cs="仿宋"/>
          <w:spacing w:val="-5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0"/>
          <w:sz w:val="30"/>
          <w:szCs w:val="30"/>
        </w:rPr>
        <w:t>万元，完成年初预算的</w:t>
      </w:r>
      <w:r>
        <w:rPr>
          <w:rFonts w:ascii="仿宋" w:hAnsi="仿宋" w:eastAsia="仿宋" w:cs="仿宋"/>
          <w:spacing w:val="-5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0"/>
          <w:sz w:val="30"/>
          <w:szCs w:val="30"/>
        </w:rPr>
        <w:t>258.18</w:t>
      </w:r>
      <w:r>
        <w:rPr>
          <w:rFonts w:ascii="仿宋" w:hAnsi="仿宋" w:eastAsia="仿宋" w:cs="仿宋"/>
          <w:spacing w:val="-1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0"/>
          <w:sz w:val="30"/>
          <w:szCs w:val="30"/>
        </w:rPr>
        <w:t>%，主要原因是：</w:t>
      </w:r>
      <w:r>
        <w:rPr>
          <w:rFonts w:ascii="仿宋" w:hAnsi="仿宋" w:eastAsia="仿宋" w:cs="仿宋"/>
          <w:spacing w:val="6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0"/>
          <w:sz w:val="30"/>
          <w:szCs w:val="30"/>
        </w:rPr>
        <w:t>工作量</w:t>
      </w:r>
    </w:p>
    <w:p w14:paraId="5B00FEEE">
      <w:pPr>
        <w:spacing w:before="1" w:line="204" w:lineRule="auto"/>
        <w:ind w:firstLine="33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7"/>
          <w:sz w:val="30"/>
          <w:szCs w:val="30"/>
        </w:rPr>
        <w:t>增加。</w:t>
      </w:r>
    </w:p>
    <w:p w14:paraId="7BEF7BA4">
      <w:pPr>
        <w:spacing w:before="291" w:line="624" w:lineRule="exact"/>
        <w:ind w:firstLine="66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4"/>
          <w:position w:val="23"/>
          <w:sz w:val="30"/>
          <w:szCs w:val="30"/>
        </w:rPr>
        <w:t>（二）</w:t>
      </w:r>
      <w:r>
        <w:rPr>
          <w:rFonts w:ascii="仿宋" w:hAnsi="仿宋" w:eastAsia="仿宋" w:cs="仿宋"/>
          <w:spacing w:val="21"/>
          <w:position w:val="2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4"/>
          <w:position w:val="23"/>
          <w:sz w:val="30"/>
          <w:szCs w:val="30"/>
        </w:rPr>
        <w:t>公共安全支出年初预算数为</w:t>
      </w:r>
      <w:r>
        <w:rPr>
          <w:rFonts w:ascii="仿宋" w:hAnsi="仿宋" w:eastAsia="仿宋" w:cs="仿宋"/>
          <w:spacing w:val="-55"/>
          <w:position w:val="2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4"/>
          <w:position w:val="23"/>
          <w:sz w:val="30"/>
          <w:szCs w:val="30"/>
        </w:rPr>
        <w:t>０</w:t>
      </w:r>
      <w:r>
        <w:rPr>
          <w:rFonts w:ascii="仿宋" w:hAnsi="仿宋" w:eastAsia="仿宋" w:cs="仿宋"/>
          <w:spacing w:val="122"/>
          <w:position w:val="2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4"/>
          <w:position w:val="23"/>
          <w:sz w:val="30"/>
          <w:szCs w:val="30"/>
        </w:rPr>
        <w:t>万元，决算数为</w:t>
      </w:r>
      <w:r>
        <w:rPr>
          <w:rFonts w:ascii="仿宋" w:hAnsi="仿宋" w:eastAsia="仿宋" w:cs="仿宋"/>
          <w:spacing w:val="-56"/>
          <w:position w:val="2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4"/>
          <w:position w:val="23"/>
          <w:sz w:val="30"/>
          <w:szCs w:val="30"/>
        </w:rPr>
        <w:t>０</w:t>
      </w:r>
      <w:r>
        <w:rPr>
          <w:rFonts w:ascii="仿宋" w:hAnsi="仿宋" w:eastAsia="仿宋" w:cs="仿宋"/>
          <w:spacing w:val="-29"/>
          <w:position w:val="2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4"/>
          <w:position w:val="23"/>
          <w:sz w:val="30"/>
          <w:szCs w:val="30"/>
        </w:rPr>
        <w:t>万</w:t>
      </w:r>
    </w:p>
    <w:p w14:paraId="7D6DE7CE">
      <w:pPr>
        <w:spacing w:before="1" w:line="204" w:lineRule="auto"/>
        <w:ind w:firstLine="38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9"/>
          <w:sz w:val="30"/>
          <w:szCs w:val="30"/>
        </w:rPr>
        <w:t>元，完成年初预算的</w:t>
      </w:r>
      <w:r>
        <w:rPr>
          <w:rFonts w:ascii="仿宋" w:hAnsi="仿宋" w:eastAsia="仿宋" w:cs="仿宋"/>
          <w:spacing w:val="-3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9"/>
          <w:sz w:val="30"/>
          <w:szCs w:val="30"/>
        </w:rPr>
        <w:t>０</w:t>
      </w:r>
      <w:r>
        <w:rPr>
          <w:rFonts w:ascii="仿宋" w:hAnsi="仿宋" w:eastAsia="仿宋" w:cs="仿宋"/>
          <w:spacing w:val="-4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9"/>
          <w:sz w:val="30"/>
          <w:szCs w:val="30"/>
        </w:rPr>
        <w:t>%，主要原因是：</w:t>
      </w:r>
      <w:r>
        <w:rPr>
          <w:rFonts w:ascii="仿宋" w:hAnsi="仿宋" w:eastAsia="仿宋" w:cs="仿宋"/>
          <w:spacing w:val="6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9"/>
          <w:sz w:val="30"/>
          <w:szCs w:val="30"/>
        </w:rPr>
        <w:t>无年初预算。</w:t>
      </w:r>
    </w:p>
    <w:p w14:paraId="3F677122">
      <w:pPr>
        <w:spacing w:before="281" w:line="360" w:lineRule="auto"/>
        <w:ind w:left="114" w:right="130" w:firstLine="50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8"/>
          <w:sz w:val="32"/>
          <w:szCs w:val="32"/>
        </w:rPr>
        <w:t>（三）</w:t>
      </w:r>
      <w:r>
        <w:rPr>
          <w:rFonts w:ascii="仿宋" w:hAnsi="仿宋" w:eastAsia="仿宋" w:cs="仿宋"/>
          <w:spacing w:val="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8"/>
          <w:sz w:val="32"/>
          <w:szCs w:val="32"/>
        </w:rPr>
        <w:t>社会保障和就业年初预算数为</w:t>
      </w:r>
      <w:r>
        <w:rPr>
          <w:rFonts w:ascii="仿宋" w:hAnsi="仿宋" w:eastAsia="仿宋" w:cs="仿宋"/>
          <w:spacing w:val="-5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8"/>
          <w:sz w:val="32"/>
          <w:szCs w:val="32"/>
        </w:rPr>
        <w:t>０</w:t>
      </w:r>
      <w:r>
        <w:rPr>
          <w:rFonts w:ascii="仿宋" w:hAnsi="仿宋" w:eastAsia="仿宋" w:cs="仿宋"/>
          <w:spacing w:val="-3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8"/>
          <w:sz w:val="32"/>
          <w:szCs w:val="32"/>
        </w:rPr>
        <w:t>万元，决算数为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5"/>
          <w:sz w:val="32"/>
          <w:szCs w:val="32"/>
        </w:rPr>
        <w:t>０</w:t>
      </w:r>
      <w:r>
        <w:rPr>
          <w:rFonts w:ascii="仿宋" w:hAnsi="仿宋" w:eastAsia="仿宋" w:cs="仿宋"/>
          <w:spacing w:val="-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5"/>
          <w:sz w:val="32"/>
          <w:szCs w:val="32"/>
        </w:rPr>
        <w:t>万元</w:t>
      </w:r>
      <w:r>
        <w:rPr>
          <w:rFonts w:ascii="仿宋" w:hAnsi="仿宋" w:eastAsia="仿宋" w:cs="仿宋"/>
          <w:spacing w:val="-25"/>
          <w:sz w:val="30"/>
          <w:szCs w:val="30"/>
        </w:rPr>
        <w:t>，完成年初预算的</w:t>
      </w:r>
      <w:r>
        <w:rPr>
          <w:rFonts w:ascii="仿宋" w:hAnsi="仿宋" w:eastAsia="仿宋" w:cs="仿宋"/>
          <w:spacing w:val="-5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5"/>
          <w:sz w:val="30"/>
          <w:szCs w:val="30"/>
        </w:rPr>
        <w:t>０</w:t>
      </w:r>
      <w:r>
        <w:rPr>
          <w:rFonts w:ascii="仿宋" w:hAnsi="仿宋" w:eastAsia="仿宋" w:cs="仿宋"/>
          <w:spacing w:val="-4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5"/>
          <w:sz w:val="30"/>
          <w:szCs w:val="30"/>
        </w:rPr>
        <w:t>%，主要原因是：</w:t>
      </w:r>
      <w:r>
        <w:rPr>
          <w:rFonts w:ascii="仿宋" w:hAnsi="仿宋" w:eastAsia="仿宋" w:cs="仿宋"/>
          <w:spacing w:val="6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5"/>
          <w:sz w:val="30"/>
          <w:szCs w:val="30"/>
        </w:rPr>
        <w:t>无年初预算。</w:t>
      </w:r>
    </w:p>
    <w:p w14:paraId="21BD9249">
      <w:pPr>
        <w:spacing w:before="2" w:line="201" w:lineRule="auto"/>
        <w:ind w:firstLine="62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1"/>
          <w:sz w:val="32"/>
          <w:szCs w:val="32"/>
        </w:rPr>
        <w:t>（四）卫生健康支出年初预算数为</w:t>
      </w:r>
      <w:r>
        <w:rPr>
          <w:rFonts w:ascii="仿宋" w:hAnsi="仿宋" w:eastAsia="仿宋" w:cs="仿宋"/>
          <w:spacing w:val="-5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1"/>
          <w:sz w:val="32"/>
          <w:szCs w:val="32"/>
        </w:rPr>
        <w:t>０</w:t>
      </w:r>
      <w:r>
        <w:rPr>
          <w:rFonts w:ascii="仿宋" w:hAnsi="仿宋" w:eastAsia="仿宋" w:cs="仿宋"/>
          <w:spacing w:val="-2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1"/>
          <w:sz w:val="32"/>
          <w:szCs w:val="32"/>
        </w:rPr>
        <w:t>万元，决算数为</w:t>
      </w:r>
      <w:r>
        <w:rPr>
          <w:rFonts w:ascii="仿宋" w:hAnsi="仿宋" w:eastAsia="仿宋" w:cs="仿宋"/>
          <w:spacing w:val="50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31"/>
          <w:sz w:val="32"/>
          <w:szCs w:val="32"/>
        </w:rPr>
        <w:t>０</w:t>
      </w:r>
    </w:p>
    <w:p w14:paraId="7A5E770E">
      <w:pPr>
        <w:spacing w:before="274" w:line="188" w:lineRule="auto"/>
        <w:ind w:firstLine="37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8"/>
          <w:sz w:val="32"/>
          <w:szCs w:val="32"/>
        </w:rPr>
        <w:t>万元</w:t>
      </w:r>
      <w:r>
        <w:rPr>
          <w:rFonts w:ascii="仿宋" w:hAnsi="仿宋" w:eastAsia="仿宋" w:cs="仿宋"/>
          <w:spacing w:val="-18"/>
          <w:sz w:val="30"/>
          <w:szCs w:val="30"/>
        </w:rPr>
        <w:t>，完成年初预算的</w:t>
      </w:r>
      <w:r>
        <w:rPr>
          <w:rFonts w:ascii="仿宋" w:hAnsi="仿宋" w:eastAsia="仿宋" w:cs="仿宋"/>
          <w:spacing w:val="-4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8"/>
          <w:sz w:val="30"/>
          <w:szCs w:val="30"/>
        </w:rPr>
        <w:t>０</w:t>
      </w:r>
      <w:r>
        <w:rPr>
          <w:rFonts w:ascii="仿宋" w:hAnsi="仿宋" w:eastAsia="仿宋" w:cs="仿宋"/>
          <w:spacing w:val="-4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8"/>
          <w:sz w:val="30"/>
          <w:szCs w:val="30"/>
        </w:rPr>
        <w:t>%，主要原因是：</w:t>
      </w:r>
      <w:r>
        <w:rPr>
          <w:rFonts w:ascii="仿宋" w:hAnsi="仿宋" w:eastAsia="仿宋" w:cs="仿宋"/>
          <w:spacing w:val="6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8"/>
          <w:sz w:val="30"/>
          <w:szCs w:val="30"/>
        </w:rPr>
        <w:t>无年初预算。</w:t>
      </w:r>
    </w:p>
    <w:p w14:paraId="2245D703">
      <w:pPr>
        <w:spacing w:before="298" w:line="360" w:lineRule="auto"/>
        <w:ind w:left="114" w:right="128" w:firstLine="50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1"/>
          <w:sz w:val="32"/>
          <w:szCs w:val="32"/>
        </w:rPr>
        <w:t>（五）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住房保障支出年初预算数为</w:t>
      </w:r>
      <w:r>
        <w:rPr>
          <w:rFonts w:ascii="仿宋" w:hAnsi="仿宋" w:eastAsia="仿宋" w:cs="仿宋"/>
          <w:spacing w:val="-6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0</w:t>
      </w:r>
      <w:r>
        <w:rPr>
          <w:rFonts w:ascii="仿宋" w:hAnsi="仿宋" w:eastAsia="仿宋" w:cs="仿宋"/>
          <w:spacing w:val="-5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万元，决算数为</w:t>
      </w:r>
      <w:r>
        <w:rPr>
          <w:rFonts w:ascii="仿宋" w:hAnsi="仿宋" w:eastAsia="仿宋" w:cs="仿宋"/>
          <w:spacing w:val="3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1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5"/>
          <w:sz w:val="32"/>
          <w:szCs w:val="32"/>
        </w:rPr>
        <w:t>０</w:t>
      </w:r>
      <w:r>
        <w:rPr>
          <w:rFonts w:ascii="仿宋" w:hAnsi="仿宋" w:eastAsia="仿宋" w:cs="仿宋"/>
          <w:spacing w:val="-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5"/>
          <w:sz w:val="32"/>
          <w:szCs w:val="32"/>
        </w:rPr>
        <w:t>万元</w:t>
      </w:r>
      <w:r>
        <w:rPr>
          <w:rFonts w:ascii="仿宋" w:hAnsi="仿宋" w:eastAsia="仿宋" w:cs="仿宋"/>
          <w:spacing w:val="-25"/>
          <w:sz w:val="30"/>
          <w:szCs w:val="30"/>
        </w:rPr>
        <w:t>，完成年初预算的</w:t>
      </w:r>
      <w:r>
        <w:rPr>
          <w:rFonts w:ascii="仿宋" w:hAnsi="仿宋" w:eastAsia="仿宋" w:cs="仿宋"/>
          <w:spacing w:val="-5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5"/>
          <w:sz w:val="30"/>
          <w:szCs w:val="30"/>
        </w:rPr>
        <w:t>０</w:t>
      </w:r>
      <w:r>
        <w:rPr>
          <w:rFonts w:ascii="仿宋" w:hAnsi="仿宋" w:eastAsia="仿宋" w:cs="仿宋"/>
          <w:spacing w:val="-4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5"/>
          <w:sz w:val="30"/>
          <w:szCs w:val="30"/>
        </w:rPr>
        <w:t>%，主要原因是：</w:t>
      </w:r>
      <w:r>
        <w:rPr>
          <w:rFonts w:ascii="仿宋" w:hAnsi="仿宋" w:eastAsia="仿宋" w:cs="仿宋"/>
          <w:spacing w:val="6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5"/>
          <w:sz w:val="30"/>
          <w:szCs w:val="30"/>
        </w:rPr>
        <w:t>无年初预算。</w:t>
      </w:r>
    </w:p>
    <w:p w14:paraId="71CACC61">
      <w:pPr>
        <w:spacing w:before="9" w:line="197" w:lineRule="auto"/>
        <w:ind w:firstLine="62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2"/>
          <w:sz w:val="30"/>
          <w:szCs w:val="30"/>
        </w:rPr>
        <w:t>四、一般公共预算财政拨款基本支出决算情况说明</w:t>
      </w:r>
    </w:p>
    <w:p w14:paraId="64F76FB3">
      <w:pPr>
        <w:spacing w:before="304" w:line="189" w:lineRule="auto"/>
        <w:ind w:firstLine="62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本部门</w:t>
      </w:r>
      <w:r>
        <w:rPr>
          <w:rFonts w:ascii="仿宋" w:hAnsi="仿宋" w:eastAsia="仿宋" w:cs="仿宋"/>
          <w:spacing w:val="-5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2020</w:t>
      </w:r>
      <w:r>
        <w:rPr>
          <w:rFonts w:ascii="仿宋" w:hAnsi="仿宋" w:eastAsia="仿宋" w:cs="仿宋"/>
          <w:spacing w:val="-5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年度一般公共预算财政拨款基本支出</w:t>
      </w:r>
      <w:r>
        <w:rPr>
          <w:rFonts w:ascii="仿宋" w:hAnsi="仿宋" w:eastAsia="仿宋" w:cs="仿宋"/>
          <w:spacing w:val="-6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8.5</w:t>
      </w:r>
      <w:r>
        <w:rPr>
          <w:rFonts w:ascii="仿宋" w:hAnsi="仿宋" w:eastAsia="仿宋" w:cs="仿宋"/>
          <w:spacing w:val="2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万</w:t>
      </w:r>
    </w:p>
    <w:p w14:paraId="77624C15">
      <w:pPr>
        <w:spacing w:before="317" w:line="189" w:lineRule="auto"/>
        <w:ind w:firstLine="38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元，其中：</w:t>
      </w:r>
    </w:p>
    <w:p w14:paraId="78503818">
      <w:pPr>
        <w:spacing w:before="317" w:line="384" w:lineRule="auto"/>
        <w:ind w:left="33" w:firstLine="58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4"/>
          <w:sz w:val="30"/>
          <w:szCs w:val="30"/>
        </w:rPr>
        <w:t>（一）工资福利支出</w:t>
      </w:r>
      <w:r>
        <w:rPr>
          <w:rFonts w:ascii="仿宋" w:hAnsi="仿宋" w:eastAsia="仿宋" w:cs="仿宋"/>
          <w:spacing w:val="2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4"/>
          <w:sz w:val="30"/>
          <w:szCs w:val="30"/>
        </w:rPr>
        <w:t>4.26</w:t>
      </w:r>
      <w:r>
        <w:rPr>
          <w:rFonts w:ascii="仿宋" w:hAnsi="仿宋" w:eastAsia="仿宋" w:cs="仿宋"/>
          <w:spacing w:val="-5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4"/>
          <w:sz w:val="30"/>
          <w:szCs w:val="30"/>
        </w:rPr>
        <w:t>万元，较</w:t>
      </w:r>
      <w:r>
        <w:rPr>
          <w:rFonts w:ascii="仿宋" w:hAnsi="仿宋" w:eastAsia="仿宋" w:cs="仿宋"/>
          <w:spacing w:val="-6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4"/>
          <w:sz w:val="30"/>
          <w:szCs w:val="30"/>
        </w:rPr>
        <w:t>2019</w:t>
      </w:r>
      <w:r>
        <w:rPr>
          <w:rFonts w:ascii="仿宋" w:hAnsi="仿宋" w:eastAsia="仿宋" w:cs="仿宋"/>
          <w:spacing w:val="-4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4"/>
          <w:sz w:val="30"/>
          <w:szCs w:val="30"/>
        </w:rPr>
        <w:t>年增加</w:t>
      </w:r>
      <w:r>
        <w:rPr>
          <w:rFonts w:ascii="仿宋" w:hAnsi="仿宋" w:eastAsia="仿宋" w:cs="仿宋"/>
          <w:spacing w:val="-5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4"/>
          <w:sz w:val="30"/>
          <w:szCs w:val="30"/>
        </w:rPr>
        <w:t>3.26</w:t>
      </w:r>
      <w:r>
        <w:rPr>
          <w:rFonts w:ascii="仿宋" w:hAnsi="仿宋" w:eastAsia="仿宋" w:cs="仿宋"/>
          <w:spacing w:val="2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4"/>
          <w:sz w:val="30"/>
          <w:szCs w:val="30"/>
        </w:rPr>
        <w:t>万元，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3"/>
          <w:sz w:val="30"/>
          <w:szCs w:val="30"/>
        </w:rPr>
        <w:t>增长</w:t>
      </w:r>
      <w:r>
        <w:rPr>
          <w:rFonts w:ascii="仿宋" w:hAnsi="仿宋" w:eastAsia="仿宋" w:cs="仿宋"/>
          <w:spacing w:val="-5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3"/>
          <w:sz w:val="30"/>
          <w:szCs w:val="30"/>
        </w:rPr>
        <w:t>3.26</w:t>
      </w:r>
      <w:r>
        <w:rPr>
          <w:rFonts w:ascii="仿宋" w:hAnsi="仿宋" w:eastAsia="仿宋" w:cs="仿宋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13"/>
          <w:sz w:val="30"/>
          <w:szCs w:val="30"/>
        </w:rPr>
        <w:t>%，主要原因是：</w:t>
      </w:r>
      <w:r>
        <w:rPr>
          <w:rFonts w:ascii="仿宋" w:hAnsi="仿宋" w:eastAsia="仿宋" w:cs="仿宋"/>
          <w:spacing w:val="7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3"/>
          <w:sz w:val="30"/>
          <w:szCs w:val="30"/>
        </w:rPr>
        <w:t>临时人员工资。</w:t>
      </w:r>
    </w:p>
    <w:p w14:paraId="307B86DB">
      <w:pPr>
        <w:spacing w:before="3" w:line="383" w:lineRule="auto"/>
        <w:ind w:left="38" w:right="233" w:firstLine="58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1"/>
          <w:sz w:val="30"/>
          <w:szCs w:val="30"/>
        </w:rPr>
        <w:t>（二）</w:t>
      </w:r>
      <w:r>
        <w:rPr>
          <w:rFonts w:ascii="仿宋" w:hAnsi="仿宋" w:eastAsia="仿宋" w:cs="仿宋"/>
          <w:spacing w:val="4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1"/>
          <w:sz w:val="30"/>
          <w:szCs w:val="30"/>
        </w:rPr>
        <w:t>商品和服务支出</w:t>
      </w:r>
      <w:r>
        <w:rPr>
          <w:rFonts w:ascii="仿宋" w:hAnsi="仿宋" w:eastAsia="仿宋" w:cs="仿宋"/>
          <w:spacing w:val="-6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1"/>
          <w:sz w:val="30"/>
          <w:szCs w:val="30"/>
        </w:rPr>
        <w:t>4.2</w:t>
      </w:r>
      <w:r>
        <w:rPr>
          <w:rFonts w:ascii="仿宋" w:hAnsi="仿宋" w:eastAsia="仿宋" w:cs="仿宋"/>
          <w:spacing w:val="2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1"/>
          <w:sz w:val="30"/>
          <w:szCs w:val="30"/>
        </w:rPr>
        <w:t>万元，较</w:t>
      </w:r>
      <w:r>
        <w:rPr>
          <w:rFonts w:ascii="仿宋" w:hAnsi="仿宋" w:eastAsia="仿宋" w:cs="仿宋"/>
          <w:spacing w:val="-6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1"/>
          <w:sz w:val="30"/>
          <w:szCs w:val="30"/>
        </w:rPr>
        <w:t>2019</w:t>
      </w:r>
      <w:r>
        <w:rPr>
          <w:rFonts w:ascii="仿宋" w:hAnsi="仿宋" w:eastAsia="仿宋" w:cs="仿宋"/>
          <w:spacing w:val="-5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1"/>
          <w:sz w:val="30"/>
          <w:szCs w:val="30"/>
        </w:rPr>
        <w:t>年减少</w:t>
      </w:r>
      <w:r>
        <w:rPr>
          <w:rFonts w:ascii="仿宋" w:hAnsi="仿宋" w:eastAsia="仿宋" w:cs="仿宋"/>
          <w:spacing w:val="-5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1"/>
          <w:sz w:val="30"/>
          <w:szCs w:val="30"/>
        </w:rPr>
        <w:t>2.22</w:t>
      </w:r>
      <w:r>
        <w:rPr>
          <w:rFonts w:ascii="仿宋" w:hAnsi="仿宋" w:eastAsia="仿宋" w:cs="仿宋"/>
          <w:spacing w:val="-5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1"/>
          <w:sz w:val="30"/>
          <w:szCs w:val="30"/>
        </w:rPr>
        <w:t>万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2"/>
          <w:sz w:val="30"/>
          <w:szCs w:val="30"/>
        </w:rPr>
        <w:t>元，下降</w:t>
      </w:r>
      <w:r>
        <w:rPr>
          <w:rFonts w:ascii="仿宋" w:hAnsi="仿宋" w:eastAsia="仿宋" w:cs="仿宋"/>
          <w:spacing w:val="-5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2"/>
          <w:sz w:val="30"/>
          <w:szCs w:val="30"/>
        </w:rPr>
        <w:t>34.58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2"/>
          <w:sz w:val="30"/>
          <w:szCs w:val="30"/>
        </w:rPr>
        <w:t>%，主要原因是：</w:t>
      </w:r>
      <w:r>
        <w:rPr>
          <w:rFonts w:ascii="仿宋" w:hAnsi="仿宋" w:eastAsia="仿宋" w:cs="仿宋"/>
          <w:spacing w:val="6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2"/>
          <w:sz w:val="30"/>
          <w:szCs w:val="30"/>
        </w:rPr>
        <w:t>缩减开支。</w:t>
      </w:r>
    </w:p>
    <w:p w14:paraId="69C98751">
      <w:pPr>
        <w:spacing w:line="384" w:lineRule="auto"/>
        <w:ind w:left="26" w:right="307" w:firstLine="59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0"/>
          <w:sz w:val="30"/>
          <w:szCs w:val="30"/>
        </w:rPr>
        <w:t>（三）</w:t>
      </w:r>
      <w:r>
        <w:rPr>
          <w:rFonts w:ascii="仿宋" w:hAnsi="仿宋" w:eastAsia="仿宋" w:cs="仿宋"/>
          <w:spacing w:val="3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0"/>
          <w:sz w:val="30"/>
          <w:szCs w:val="30"/>
        </w:rPr>
        <w:t>对个人和家庭补助支出</w:t>
      </w:r>
      <w:r>
        <w:rPr>
          <w:rFonts w:ascii="仿宋" w:hAnsi="仿宋" w:eastAsia="仿宋" w:cs="仿宋"/>
          <w:spacing w:val="-6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0"/>
          <w:sz w:val="30"/>
          <w:szCs w:val="30"/>
        </w:rPr>
        <w:t>0.06</w:t>
      </w:r>
      <w:r>
        <w:rPr>
          <w:rFonts w:ascii="仿宋" w:hAnsi="仿宋" w:eastAsia="仿宋" w:cs="仿宋"/>
          <w:spacing w:val="-5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0"/>
          <w:sz w:val="30"/>
          <w:szCs w:val="30"/>
        </w:rPr>
        <w:t>万元，较</w:t>
      </w:r>
      <w:r>
        <w:rPr>
          <w:rFonts w:ascii="仿宋" w:hAnsi="仿宋" w:eastAsia="仿宋" w:cs="仿宋"/>
          <w:spacing w:val="-6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0"/>
          <w:sz w:val="30"/>
          <w:szCs w:val="30"/>
        </w:rPr>
        <w:t>2019</w:t>
      </w:r>
      <w:r>
        <w:rPr>
          <w:rFonts w:ascii="仿宋" w:hAnsi="仿宋" w:eastAsia="仿宋" w:cs="仿宋"/>
          <w:spacing w:val="-4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0"/>
          <w:sz w:val="30"/>
          <w:szCs w:val="30"/>
        </w:rPr>
        <w:t>年减少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0"/>
          <w:sz w:val="30"/>
          <w:szCs w:val="30"/>
        </w:rPr>
        <w:t>0.23</w:t>
      </w:r>
      <w:r>
        <w:rPr>
          <w:rFonts w:ascii="仿宋" w:hAnsi="仿宋" w:eastAsia="仿宋" w:cs="仿宋"/>
          <w:spacing w:val="11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10"/>
          <w:sz w:val="30"/>
          <w:szCs w:val="30"/>
        </w:rPr>
        <w:t>万元，下降</w:t>
      </w:r>
      <w:r>
        <w:rPr>
          <w:rFonts w:ascii="仿宋" w:hAnsi="仿宋" w:eastAsia="仿宋" w:cs="仿宋"/>
          <w:spacing w:val="-5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0"/>
          <w:sz w:val="30"/>
          <w:szCs w:val="30"/>
        </w:rPr>
        <w:t>79.31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10"/>
          <w:sz w:val="30"/>
          <w:szCs w:val="30"/>
        </w:rPr>
        <w:t>%，主要原因是：</w:t>
      </w:r>
      <w:r>
        <w:rPr>
          <w:rFonts w:ascii="仿宋" w:hAnsi="仿宋" w:eastAsia="仿宋" w:cs="仿宋"/>
          <w:spacing w:val="6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0"/>
          <w:sz w:val="30"/>
          <w:szCs w:val="30"/>
        </w:rPr>
        <w:t>缩减开支。</w:t>
      </w:r>
    </w:p>
    <w:p w14:paraId="08DCBF93">
      <w:pPr>
        <w:spacing w:before="1" w:line="204" w:lineRule="auto"/>
        <w:ind w:firstLine="61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1"/>
          <w:sz w:val="30"/>
          <w:szCs w:val="30"/>
        </w:rPr>
        <w:t>（四）</w:t>
      </w:r>
      <w:r>
        <w:rPr>
          <w:rFonts w:ascii="仿宋" w:hAnsi="仿宋" w:eastAsia="仿宋" w:cs="仿宋"/>
          <w:spacing w:val="3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1"/>
          <w:sz w:val="30"/>
          <w:szCs w:val="30"/>
        </w:rPr>
        <w:t>资本性支出</w:t>
      </w:r>
      <w:r>
        <w:rPr>
          <w:rFonts w:ascii="仿宋" w:hAnsi="仿宋" w:eastAsia="仿宋" w:cs="仿宋"/>
          <w:spacing w:val="1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1"/>
          <w:sz w:val="30"/>
          <w:szCs w:val="30"/>
        </w:rPr>
        <w:t>0</w:t>
      </w:r>
      <w:r>
        <w:rPr>
          <w:rFonts w:ascii="仿宋" w:hAnsi="仿宋" w:eastAsia="仿宋" w:cs="仿宋"/>
          <w:spacing w:val="-5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1"/>
          <w:sz w:val="30"/>
          <w:szCs w:val="30"/>
        </w:rPr>
        <w:t>万元，较</w:t>
      </w:r>
      <w:r>
        <w:rPr>
          <w:rFonts w:ascii="仿宋" w:hAnsi="仿宋" w:eastAsia="仿宋" w:cs="仿宋"/>
          <w:spacing w:val="-6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1"/>
          <w:sz w:val="30"/>
          <w:szCs w:val="30"/>
        </w:rPr>
        <w:t>2019</w:t>
      </w:r>
      <w:r>
        <w:rPr>
          <w:rFonts w:ascii="仿宋" w:hAnsi="仿宋" w:eastAsia="仿宋" w:cs="仿宋"/>
          <w:spacing w:val="-5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1"/>
          <w:sz w:val="30"/>
          <w:szCs w:val="30"/>
        </w:rPr>
        <w:t>年减少</w:t>
      </w:r>
      <w:r>
        <w:rPr>
          <w:rFonts w:ascii="仿宋" w:hAnsi="仿宋" w:eastAsia="仿宋" w:cs="仿宋"/>
          <w:spacing w:val="-4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1"/>
          <w:sz w:val="30"/>
          <w:szCs w:val="30"/>
        </w:rPr>
        <w:t>1.66</w:t>
      </w:r>
      <w:r>
        <w:rPr>
          <w:rFonts w:ascii="仿宋" w:hAnsi="仿宋" w:eastAsia="仿宋" w:cs="仿宋"/>
          <w:spacing w:val="-5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1"/>
          <w:sz w:val="30"/>
          <w:szCs w:val="30"/>
        </w:rPr>
        <w:t>万元，下</w:t>
      </w:r>
    </w:p>
    <w:p w14:paraId="5CADE53B">
      <w:pPr>
        <w:sectPr>
          <w:pgSz w:w="11906" w:h="16839"/>
          <w:pgMar w:top="1431" w:right="1712" w:bottom="0" w:left="1785" w:header="0" w:footer="0" w:gutter="0"/>
          <w:cols w:space="720" w:num="1"/>
        </w:sectPr>
      </w:pPr>
    </w:p>
    <w:p w14:paraId="5B426536">
      <w:pPr>
        <w:spacing w:before="171" w:line="189" w:lineRule="auto"/>
        <w:ind w:firstLine="4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8"/>
          <w:sz w:val="30"/>
          <w:szCs w:val="30"/>
        </w:rPr>
        <w:t>降</w:t>
      </w:r>
      <w:r>
        <w:rPr>
          <w:rFonts w:ascii="仿宋" w:hAnsi="仿宋" w:eastAsia="仿宋" w:cs="仿宋"/>
          <w:spacing w:val="-3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8"/>
          <w:sz w:val="30"/>
          <w:szCs w:val="30"/>
        </w:rPr>
        <w:t>100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8"/>
          <w:sz w:val="30"/>
          <w:szCs w:val="30"/>
        </w:rPr>
        <w:t>%，主要原因是：</w:t>
      </w:r>
      <w:r>
        <w:rPr>
          <w:rFonts w:ascii="仿宋" w:hAnsi="仿宋" w:eastAsia="仿宋" w:cs="仿宋"/>
          <w:spacing w:val="6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8"/>
          <w:sz w:val="30"/>
          <w:szCs w:val="30"/>
        </w:rPr>
        <w:t>未开支。</w:t>
      </w:r>
    </w:p>
    <w:p w14:paraId="555865F4">
      <w:pPr>
        <w:spacing w:before="317" w:line="187" w:lineRule="auto"/>
        <w:ind w:firstLine="66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6"/>
          <w:sz w:val="30"/>
          <w:szCs w:val="30"/>
        </w:rPr>
        <w:t>五、一般公共预算财政拨款“三公”经费支出决算情况说明</w:t>
      </w:r>
    </w:p>
    <w:p w14:paraId="323DE24A">
      <w:pPr>
        <w:spacing w:before="319" w:line="384" w:lineRule="auto"/>
        <w:ind w:left="39" w:right="4" w:firstLine="62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本部门</w:t>
      </w:r>
      <w:r>
        <w:rPr>
          <w:rFonts w:ascii="仿宋" w:hAnsi="仿宋" w:eastAsia="仿宋" w:cs="仿宋"/>
          <w:spacing w:val="-3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2020</w:t>
      </w:r>
      <w:r>
        <w:rPr>
          <w:rFonts w:ascii="仿宋" w:hAnsi="仿宋" w:eastAsia="仿宋" w:cs="仿宋"/>
          <w:spacing w:val="-5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年度一般公共预算财政拨款“三公”经费支出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年初预算数为</w:t>
      </w:r>
      <w:r>
        <w:rPr>
          <w:rFonts w:ascii="仿宋" w:hAnsi="仿宋" w:eastAsia="仿宋" w:cs="仿宋"/>
          <w:spacing w:val="-6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0.42</w:t>
      </w:r>
      <w:r>
        <w:rPr>
          <w:rFonts w:ascii="仿宋" w:hAnsi="仿宋" w:eastAsia="仿宋" w:cs="仿宋"/>
          <w:spacing w:val="2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万元，决算数为</w:t>
      </w:r>
      <w:r>
        <w:rPr>
          <w:rFonts w:ascii="仿宋" w:hAnsi="仿宋" w:eastAsia="仿宋" w:cs="仿宋"/>
          <w:spacing w:val="-6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0</w:t>
      </w:r>
      <w:r>
        <w:rPr>
          <w:rFonts w:ascii="仿宋" w:hAnsi="仿宋" w:eastAsia="仿宋" w:cs="仿宋"/>
          <w:spacing w:val="1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.05</w:t>
      </w:r>
      <w:r>
        <w:rPr>
          <w:rFonts w:ascii="仿宋" w:hAnsi="仿宋" w:eastAsia="仿宋" w:cs="仿宋"/>
          <w:spacing w:val="-5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万元，完成预算的</w:t>
      </w:r>
      <w:r>
        <w:rPr>
          <w:rFonts w:ascii="仿宋" w:hAnsi="仿宋" w:eastAsia="仿宋" w:cs="仿宋"/>
          <w:sz w:val="30"/>
          <w:szCs w:val="30"/>
        </w:rPr>
        <w:t xml:space="preserve">   </w:t>
      </w:r>
      <w:r>
        <w:rPr>
          <w:rFonts w:ascii="仿宋" w:hAnsi="仿宋" w:eastAsia="仿宋" w:cs="仿宋"/>
          <w:spacing w:val="-11"/>
          <w:sz w:val="30"/>
          <w:szCs w:val="30"/>
        </w:rPr>
        <w:t>11.9</w:t>
      </w:r>
      <w:r>
        <w:rPr>
          <w:rFonts w:ascii="仿宋" w:hAnsi="仿宋" w:eastAsia="仿宋" w:cs="仿宋"/>
          <w:spacing w:val="-5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1"/>
          <w:sz w:val="30"/>
          <w:szCs w:val="30"/>
        </w:rPr>
        <w:t>%，决算数较</w:t>
      </w:r>
      <w:r>
        <w:rPr>
          <w:rFonts w:ascii="仿宋" w:hAnsi="仿宋" w:eastAsia="仿宋" w:cs="仿宋"/>
          <w:spacing w:val="-6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1"/>
          <w:sz w:val="30"/>
          <w:szCs w:val="30"/>
        </w:rPr>
        <w:t>2019</w:t>
      </w:r>
      <w:r>
        <w:rPr>
          <w:rFonts w:ascii="仿宋" w:hAnsi="仿宋" w:eastAsia="仿宋" w:cs="仿宋"/>
          <w:spacing w:val="-5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1"/>
          <w:sz w:val="30"/>
          <w:szCs w:val="30"/>
        </w:rPr>
        <w:t>年增加</w:t>
      </w:r>
      <w:r>
        <w:rPr>
          <w:rFonts w:ascii="仿宋" w:hAnsi="仿宋" w:eastAsia="仿宋" w:cs="仿宋"/>
          <w:spacing w:val="-6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1"/>
          <w:sz w:val="30"/>
          <w:szCs w:val="30"/>
        </w:rPr>
        <w:t>0.04</w:t>
      </w:r>
      <w:r>
        <w:rPr>
          <w:rFonts w:ascii="仿宋" w:hAnsi="仿宋" w:eastAsia="仿宋" w:cs="仿宋"/>
          <w:spacing w:val="10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11"/>
          <w:sz w:val="30"/>
          <w:szCs w:val="30"/>
        </w:rPr>
        <w:t>万元，增长</w:t>
      </w:r>
      <w:r>
        <w:rPr>
          <w:rFonts w:ascii="仿宋" w:hAnsi="仿宋" w:eastAsia="仿宋" w:cs="仿宋"/>
          <w:spacing w:val="-6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1"/>
          <w:sz w:val="30"/>
          <w:szCs w:val="30"/>
        </w:rPr>
        <w:t>400</w:t>
      </w:r>
      <w:r>
        <w:rPr>
          <w:rFonts w:ascii="仿宋" w:hAnsi="仿宋" w:eastAsia="仿宋" w:cs="仿宋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11"/>
          <w:sz w:val="30"/>
          <w:szCs w:val="30"/>
        </w:rPr>
        <w:t>%，其中：</w:t>
      </w:r>
    </w:p>
    <w:p w14:paraId="1781EC97">
      <w:pPr>
        <w:spacing w:line="384" w:lineRule="auto"/>
        <w:ind w:left="26" w:firstLine="63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2"/>
          <w:sz w:val="30"/>
          <w:szCs w:val="30"/>
        </w:rPr>
        <w:t>（一）因公出国（境）</w:t>
      </w:r>
      <w:r>
        <w:rPr>
          <w:rFonts w:ascii="仿宋" w:hAnsi="仿宋" w:eastAsia="仿宋" w:cs="仿宋"/>
          <w:spacing w:val="-1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2"/>
          <w:sz w:val="30"/>
          <w:szCs w:val="30"/>
        </w:rPr>
        <w:t>支出年初预算数为</w:t>
      </w:r>
      <w:r>
        <w:rPr>
          <w:rFonts w:ascii="仿宋" w:hAnsi="仿宋" w:eastAsia="仿宋" w:cs="仿宋"/>
          <w:spacing w:val="-6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2"/>
          <w:sz w:val="30"/>
          <w:szCs w:val="30"/>
        </w:rPr>
        <w:t>0</w:t>
      </w:r>
      <w:r>
        <w:rPr>
          <w:rFonts w:ascii="仿宋" w:hAnsi="仿宋" w:eastAsia="仿宋" w:cs="仿宋"/>
          <w:spacing w:val="-5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2"/>
          <w:sz w:val="30"/>
          <w:szCs w:val="30"/>
        </w:rPr>
        <w:t>万元，决算数为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4"/>
          <w:w w:val="98"/>
          <w:sz w:val="30"/>
          <w:szCs w:val="30"/>
        </w:rPr>
        <w:t>0</w:t>
      </w:r>
      <w:r>
        <w:rPr>
          <w:rFonts w:ascii="仿宋" w:hAnsi="仿宋" w:eastAsia="仿宋" w:cs="仿宋"/>
          <w:spacing w:val="-3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4"/>
          <w:w w:val="98"/>
          <w:sz w:val="30"/>
          <w:szCs w:val="30"/>
        </w:rPr>
        <w:t>万元，完成预算的</w:t>
      </w:r>
      <w:r>
        <w:rPr>
          <w:rFonts w:ascii="仿宋" w:hAnsi="仿宋" w:eastAsia="仿宋" w:cs="仿宋"/>
          <w:spacing w:val="-6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4"/>
          <w:w w:val="98"/>
          <w:sz w:val="30"/>
          <w:szCs w:val="30"/>
        </w:rPr>
        <w:t>0</w:t>
      </w:r>
      <w:r>
        <w:rPr>
          <w:rFonts w:ascii="仿宋" w:hAnsi="仿宋" w:eastAsia="仿宋" w:cs="仿宋"/>
          <w:spacing w:val="-7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4"/>
          <w:w w:val="98"/>
          <w:sz w:val="30"/>
          <w:szCs w:val="30"/>
        </w:rPr>
        <w:t>%，决算数较</w:t>
      </w:r>
      <w:r>
        <w:rPr>
          <w:rFonts w:ascii="仿宋" w:hAnsi="仿宋" w:eastAsia="仿宋" w:cs="仿宋"/>
          <w:spacing w:val="-6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4"/>
          <w:w w:val="98"/>
          <w:sz w:val="30"/>
          <w:szCs w:val="30"/>
        </w:rPr>
        <w:t>2019</w:t>
      </w:r>
      <w:r>
        <w:rPr>
          <w:rFonts w:ascii="仿宋" w:hAnsi="仿宋" w:eastAsia="仿宋" w:cs="仿宋"/>
          <w:spacing w:val="-5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4"/>
          <w:w w:val="98"/>
          <w:sz w:val="30"/>
          <w:szCs w:val="30"/>
        </w:rPr>
        <w:t>年增加</w:t>
      </w:r>
      <w:r>
        <w:rPr>
          <w:rFonts w:ascii="仿宋" w:hAnsi="仿宋" w:eastAsia="仿宋" w:cs="仿宋"/>
          <w:spacing w:val="-6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4"/>
          <w:w w:val="98"/>
          <w:sz w:val="30"/>
          <w:szCs w:val="30"/>
        </w:rPr>
        <w:t>0</w:t>
      </w:r>
      <w:r>
        <w:rPr>
          <w:rFonts w:ascii="仿宋" w:hAnsi="仿宋" w:eastAsia="仿宋" w:cs="仿宋"/>
          <w:spacing w:val="-5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4"/>
          <w:w w:val="98"/>
          <w:sz w:val="30"/>
          <w:szCs w:val="30"/>
        </w:rPr>
        <w:t>万元，增长</w:t>
      </w:r>
      <w:r>
        <w:rPr>
          <w:rFonts w:ascii="仿宋" w:hAnsi="仿宋" w:eastAsia="仿宋" w:cs="仿宋"/>
          <w:spacing w:val="-6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4"/>
          <w:w w:val="98"/>
          <w:sz w:val="30"/>
          <w:szCs w:val="30"/>
        </w:rPr>
        <w:t>0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4"/>
          <w:w w:val="98"/>
          <w:sz w:val="30"/>
          <w:szCs w:val="30"/>
        </w:rPr>
        <w:t>%，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主要原因是本单位无该项支出。决算数较年初预算数增加的主要</w:t>
      </w:r>
      <w:r>
        <w:rPr>
          <w:rFonts w:ascii="仿宋" w:hAnsi="仿宋" w:eastAsia="仿宋" w:cs="仿宋"/>
          <w:spacing w:val="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5"/>
          <w:w w:val="99"/>
          <w:sz w:val="30"/>
          <w:szCs w:val="30"/>
        </w:rPr>
        <w:t>原因是：</w:t>
      </w:r>
      <w:r>
        <w:rPr>
          <w:rFonts w:ascii="仿宋" w:hAnsi="仿宋" w:eastAsia="仿宋" w:cs="仿宋"/>
          <w:spacing w:val="13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5"/>
          <w:w w:val="99"/>
          <w:sz w:val="30"/>
          <w:szCs w:val="30"/>
        </w:rPr>
        <w:t>本单位无该项支出。全年安排因公出国（境）</w:t>
      </w:r>
      <w:r>
        <w:rPr>
          <w:rFonts w:ascii="仿宋" w:hAnsi="仿宋" w:eastAsia="仿宋" w:cs="仿宋"/>
          <w:spacing w:val="2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5"/>
          <w:w w:val="99"/>
          <w:sz w:val="30"/>
          <w:szCs w:val="30"/>
        </w:rPr>
        <w:t>团组</w:t>
      </w:r>
      <w:r>
        <w:rPr>
          <w:rFonts w:ascii="仿宋" w:hAnsi="仿宋" w:eastAsia="仿宋" w:cs="仿宋"/>
          <w:spacing w:val="6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15"/>
          <w:w w:val="99"/>
          <w:sz w:val="30"/>
          <w:szCs w:val="30"/>
        </w:rPr>
        <w:t>0</w:t>
      </w:r>
      <w:r>
        <w:rPr>
          <w:rFonts w:ascii="仿宋" w:hAnsi="仿宋" w:eastAsia="仿宋" w:cs="仿宋"/>
          <w:w w:val="101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13"/>
          <w:sz w:val="30"/>
          <w:szCs w:val="30"/>
        </w:rPr>
        <w:t>个，累计</w:t>
      </w:r>
      <w:r>
        <w:rPr>
          <w:rFonts w:ascii="仿宋" w:hAnsi="仿宋" w:eastAsia="仿宋" w:cs="仿宋"/>
          <w:spacing w:val="-5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3"/>
          <w:sz w:val="30"/>
          <w:szCs w:val="30"/>
        </w:rPr>
        <w:t>0</w:t>
      </w:r>
      <w:r>
        <w:rPr>
          <w:rFonts w:ascii="仿宋" w:hAnsi="仿宋" w:eastAsia="仿宋" w:cs="仿宋"/>
          <w:spacing w:val="-4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3"/>
          <w:sz w:val="30"/>
          <w:szCs w:val="30"/>
        </w:rPr>
        <w:t>人次，主要为：</w:t>
      </w:r>
      <w:r>
        <w:rPr>
          <w:rFonts w:ascii="仿宋" w:hAnsi="仿宋" w:eastAsia="仿宋" w:cs="仿宋"/>
          <w:spacing w:val="6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3"/>
          <w:sz w:val="30"/>
          <w:szCs w:val="30"/>
        </w:rPr>
        <w:t>本单位无该项支出。</w:t>
      </w:r>
    </w:p>
    <w:p w14:paraId="7B7AFFAE">
      <w:pPr>
        <w:spacing w:line="384" w:lineRule="auto"/>
        <w:ind w:left="26" w:firstLine="63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0"/>
          <w:sz w:val="30"/>
          <w:szCs w:val="30"/>
        </w:rPr>
        <w:t>（二）</w:t>
      </w:r>
      <w:r>
        <w:rPr>
          <w:rFonts w:ascii="仿宋" w:hAnsi="仿宋" w:eastAsia="仿宋" w:cs="仿宋"/>
          <w:spacing w:val="1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0"/>
          <w:sz w:val="30"/>
          <w:szCs w:val="30"/>
        </w:rPr>
        <w:t>公务接待费支出年初预算数为</w:t>
      </w:r>
      <w:r>
        <w:rPr>
          <w:rFonts w:ascii="仿宋" w:hAnsi="仿宋" w:eastAsia="仿宋" w:cs="仿宋"/>
          <w:spacing w:val="-6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0"/>
          <w:sz w:val="30"/>
          <w:szCs w:val="30"/>
        </w:rPr>
        <w:t>0.42</w:t>
      </w:r>
      <w:r>
        <w:rPr>
          <w:rFonts w:ascii="仿宋" w:hAnsi="仿宋" w:eastAsia="仿宋" w:cs="仿宋"/>
          <w:spacing w:val="2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0"/>
          <w:sz w:val="30"/>
          <w:szCs w:val="30"/>
        </w:rPr>
        <w:t>万元，决算数为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0.05</w:t>
      </w:r>
      <w:r>
        <w:rPr>
          <w:rFonts w:ascii="仿宋" w:hAnsi="仿宋" w:eastAsia="仿宋" w:cs="仿宋"/>
          <w:spacing w:val="-5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万元，完成预算的</w:t>
      </w:r>
      <w:r>
        <w:rPr>
          <w:rFonts w:ascii="仿宋" w:hAnsi="仿宋" w:eastAsia="仿宋" w:cs="仿宋"/>
          <w:spacing w:val="-4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11.90%，决算数较</w:t>
      </w:r>
      <w:r>
        <w:rPr>
          <w:rFonts w:ascii="仿宋" w:hAnsi="仿宋" w:eastAsia="仿宋" w:cs="仿宋"/>
          <w:spacing w:val="-5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2019</w:t>
      </w:r>
      <w:r>
        <w:rPr>
          <w:rFonts w:ascii="仿宋" w:hAnsi="仿宋" w:eastAsia="仿宋" w:cs="仿宋"/>
          <w:spacing w:val="-5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年增加</w:t>
      </w:r>
      <w:r>
        <w:rPr>
          <w:rFonts w:ascii="仿宋" w:hAnsi="仿宋" w:eastAsia="仿宋" w:cs="仿宋"/>
          <w:spacing w:val="-6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0.04</w:t>
      </w:r>
      <w:r>
        <w:rPr>
          <w:rFonts w:ascii="仿宋" w:hAnsi="仿宋" w:eastAsia="仿宋" w:cs="仿宋"/>
          <w:spacing w:val="-5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万</w:t>
      </w:r>
      <w:r>
        <w:rPr>
          <w:rFonts w:ascii="仿宋" w:hAnsi="仿宋" w:eastAsia="仿宋" w:cs="仿宋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1"/>
          <w:sz w:val="30"/>
          <w:szCs w:val="30"/>
        </w:rPr>
        <w:t>元，增长</w:t>
      </w:r>
      <w:r>
        <w:rPr>
          <w:rFonts w:ascii="仿宋" w:hAnsi="仿宋" w:eastAsia="仿宋" w:cs="仿宋"/>
          <w:spacing w:val="-6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400</w:t>
      </w:r>
      <w:r>
        <w:rPr>
          <w:rFonts w:ascii="仿宋" w:hAnsi="仿宋" w:eastAsia="仿宋" w:cs="仿宋"/>
          <w:spacing w:val="-1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%，主要原因是正常公务接待。决算数较年初预算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4"/>
          <w:sz w:val="30"/>
          <w:szCs w:val="30"/>
        </w:rPr>
        <w:t>数减少的主要原因是：</w:t>
      </w:r>
      <w:r>
        <w:rPr>
          <w:rFonts w:ascii="仿宋" w:hAnsi="仿宋" w:eastAsia="仿宋" w:cs="仿宋"/>
          <w:spacing w:val="9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4"/>
          <w:sz w:val="30"/>
          <w:szCs w:val="30"/>
        </w:rPr>
        <w:t>正常公务接待。全年国内公务接待</w:t>
      </w:r>
      <w:r>
        <w:rPr>
          <w:rFonts w:ascii="仿宋" w:hAnsi="仿宋" w:eastAsia="仿宋" w:cs="仿宋"/>
          <w:spacing w:val="3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4"/>
          <w:sz w:val="30"/>
          <w:szCs w:val="30"/>
        </w:rPr>
        <w:t>1</w:t>
      </w:r>
      <w:r>
        <w:rPr>
          <w:rFonts w:ascii="仿宋" w:hAnsi="仿宋" w:eastAsia="仿宋" w:cs="仿宋"/>
          <w:spacing w:val="-5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4"/>
          <w:sz w:val="30"/>
          <w:szCs w:val="30"/>
        </w:rPr>
        <w:t>批，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5"/>
          <w:sz w:val="30"/>
          <w:szCs w:val="30"/>
        </w:rPr>
        <w:t>累计接待</w:t>
      </w:r>
      <w:r>
        <w:rPr>
          <w:rFonts w:ascii="仿宋" w:hAnsi="仿宋" w:eastAsia="仿宋" w:cs="仿宋"/>
          <w:spacing w:val="-4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5"/>
          <w:sz w:val="30"/>
          <w:szCs w:val="30"/>
        </w:rPr>
        <w:t>4</w:t>
      </w:r>
      <w:r>
        <w:rPr>
          <w:rFonts w:ascii="仿宋" w:hAnsi="仿宋" w:eastAsia="仿宋" w:cs="仿宋"/>
          <w:spacing w:val="-5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5"/>
          <w:sz w:val="30"/>
          <w:szCs w:val="30"/>
        </w:rPr>
        <w:t>人次，其中外事接待</w:t>
      </w:r>
      <w:r>
        <w:rPr>
          <w:rFonts w:ascii="仿宋" w:hAnsi="仿宋" w:eastAsia="仿宋" w:cs="仿宋"/>
          <w:spacing w:val="-6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5"/>
          <w:sz w:val="30"/>
          <w:szCs w:val="30"/>
        </w:rPr>
        <w:t>0</w:t>
      </w:r>
      <w:r>
        <w:rPr>
          <w:rFonts w:ascii="仿宋" w:hAnsi="仿宋" w:eastAsia="仿宋" w:cs="仿宋"/>
          <w:spacing w:val="1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5"/>
          <w:sz w:val="30"/>
          <w:szCs w:val="30"/>
        </w:rPr>
        <w:t>批，累计接待</w:t>
      </w:r>
      <w:r>
        <w:rPr>
          <w:rFonts w:ascii="仿宋" w:hAnsi="仿宋" w:eastAsia="仿宋" w:cs="仿宋"/>
          <w:spacing w:val="-6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5"/>
          <w:sz w:val="30"/>
          <w:szCs w:val="30"/>
        </w:rPr>
        <w:t>0</w:t>
      </w:r>
      <w:r>
        <w:rPr>
          <w:rFonts w:ascii="仿宋" w:hAnsi="仿宋" w:eastAsia="仿宋" w:cs="仿宋"/>
          <w:spacing w:val="-5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5"/>
          <w:sz w:val="30"/>
          <w:szCs w:val="30"/>
        </w:rPr>
        <w:t>人次，主要</w:t>
      </w:r>
      <w:r>
        <w:rPr>
          <w:rFonts w:ascii="仿宋" w:hAnsi="仿宋" w:eastAsia="仿宋" w:cs="仿宋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27"/>
          <w:sz w:val="30"/>
          <w:szCs w:val="30"/>
        </w:rPr>
        <w:t>为：</w:t>
      </w:r>
      <w:r>
        <w:rPr>
          <w:rFonts w:ascii="仿宋" w:hAnsi="仿宋" w:eastAsia="仿宋" w:cs="仿宋"/>
          <w:spacing w:val="8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7"/>
          <w:sz w:val="30"/>
          <w:szCs w:val="30"/>
        </w:rPr>
        <w:t>正常公务接待。</w:t>
      </w:r>
    </w:p>
    <w:p w14:paraId="08D5C991">
      <w:pPr>
        <w:spacing w:line="384" w:lineRule="auto"/>
        <w:ind w:left="33" w:firstLine="62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0"/>
          <w:sz w:val="30"/>
          <w:szCs w:val="30"/>
        </w:rPr>
        <w:t>（三）</w:t>
      </w:r>
      <w:r>
        <w:rPr>
          <w:rFonts w:ascii="仿宋" w:hAnsi="仿宋" w:eastAsia="仿宋" w:cs="仿宋"/>
          <w:spacing w:val="4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0"/>
          <w:sz w:val="30"/>
          <w:szCs w:val="30"/>
        </w:rPr>
        <w:t>公务用车购置及运行维护费支出</w:t>
      </w:r>
      <w:r>
        <w:rPr>
          <w:rFonts w:ascii="仿宋" w:hAnsi="仿宋" w:eastAsia="仿宋" w:cs="仿宋"/>
          <w:spacing w:val="-6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0"/>
          <w:sz w:val="30"/>
          <w:szCs w:val="30"/>
        </w:rPr>
        <w:t>0</w:t>
      </w:r>
      <w:r>
        <w:rPr>
          <w:rFonts w:ascii="仿宋" w:hAnsi="仿宋" w:eastAsia="仿宋" w:cs="仿宋"/>
          <w:spacing w:val="2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0"/>
          <w:sz w:val="30"/>
          <w:szCs w:val="30"/>
        </w:rPr>
        <w:t>万元，其中公务</w:t>
      </w:r>
      <w:r>
        <w:rPr>
          <w:rFonts w:ascii="仿宋" w:hAnsi="仿宋" w:eastAsia="仿宋" w:cs="仿宋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4"/>
          <w:sz w:val="30"/>
          <w:szCs w:val="30"/>
        </w:rPr>
        <w:t>用车购置年初预算数为</w:t>
      </w:r>
      <w:r>
        <w:rPr>
          <w:rFonts w:ascii="仿宋" w:hAnsi="仿宋" w:eastAsia="仿宋" w:cs="仿宋"/>
          <w:spacing w:val="1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0</w:t>
      </w:r>
      <w:r>
        <w:rPr>
          <w:rFonts w:ascii="仿宋" w:hAnsi="仿宋" w:eastAsia="仿宋" w:cs="仿宋"/>
          <w:spacing w:val="2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万元，决算数为</w:t>
      </w:r>
      <w:r>
        <w:rPr>
          <w:rFonts w:ascii="仿宋" w:hAnsi="仿宋" w:eastAsia="仿宋" w:cs="仿宋"/>
          <w:spacing w:val="1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0</w:t>
      </w:r>
      <w:r>
        <w:rPr>
          <w:rFonts w:ascii="仿宋" w:hAnsi="仿宋" w:eastAsia="仿宋" w:cs="仿宋"/>
          <w:spacing w:val="-5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万元，完成预算</w:t>
      </w:r>
      <w:r>
        <w:rPr>
          <w:rFonts w:ascii="仿宋" w:hAnsi="仿宋" w:eastAsia="仿宋" w:cs="仿宋"/>
          <w:spacing w:val="-6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0</w:t>
      </w:r>
      <w:r>
        <w:rPr>
          <w:rFonts w:ascii="仿宋" w:hAnsi="仿宋" w:eastAsia="仿宋" w:cs="仿宋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12"/>
          <w:sz w:val="30"/>
          <w:szCs w:val="30"/>
        </w:rPr>
        <w:t>的</w:t>
      </w:r>
      <w:r>
        <w:rPr>
          <w:rFonts w:ascii="仿宋" w:hAnsi="仿宋" w:eastAsia="仿宋" w:cs="仿宋"/>
          <w:spacing w:val="1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2"/>
          <w:sz w:val="30"/>
          <w:szCs w:val="30"/>
        </w:rPr>
        <w:t>%，决算数较</w:t>
      </w:r>
      <w:r>
        <w:rPr>
          <w:rFonts w:ascii="仿宋" w:hAnsi="仿宋" w:eastAsia="仿宋" w:cs="仿宋"/>
          <w:spacing w:val="-6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2"/>
          <w:sz w:val="30"/>
          <w:szCs w:val="30"/>
        </w:rPr>
        <w:t>2019</w:t>
      </w:r>
      <w:r>
        <w:rPr>
          <w:rFonts w:ascii="仿宋" w:hAnsi="仿宋" w:eastAsia="仿宋" w:cs="仿宋"/>
          <w:spacing w:val="-4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2"/>
          <w:sz w:val="30"/>
          <w:szCs w:val="30"/>
        </w:rPr>
        <w:t>年增加</w:t>
      </w:r>
      <w:r>
        <w:rPr>
          <w:rFonts w:ascii="仿宋" w:hAnsi="仿宋" w:eastAsia="仿宋" w:cs="仿宋"/>
          <w:spacing w:val="-6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2"/>
          <w:sz w:val="30"/>
          <w:szCs w:val="30"/>
        </w:rPr>
        <w:t>0</w:t>
      </w:r>
      <w:r>
        <w:rPr>
          <w:rFonts w:ascii="仿宋" w:hAnsi="仿宋" w:eastAsia="仿宋" w:cs="仿宋"/>
          <w:spacing w:val="-5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2"/>
          <w:sz w:val="30"/>
          <w:szCs w:val="30"/>
        </w:rPr>
        <w:t>万元，增长</w:t>
      </w:r>
      <w:r>
        <w:rPr>
          <w:rFonts w:ascii="仿宋" w:hAnsi="仿宋" w:eastAsia="仿宋" w:cs="仿宋"/>
          <w:spacing w:val="-6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2"/>
          <w:sz w:val="30"/>
          <w:szCs w:val="30"/>
        </w:rPr>
        <w:t>0</w:t>
      </w:r>
      <w:r>
        <w:rPr>
          <w:rFonts w:ascii="仿宋" w:hAnsi="仿宋" w:eastAsia="仿宋" w:cs="仿宋"/>
          <w:spacing w:val="1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12"/>
          <w:sz w:val="30"/>
          <w:szCs w:val="30"/>
        </w:rPr>
        <w:t>%，主要原因是无，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全年购置公务用车</w:t>
      </w:r>
      <w:r>
        <w:rPr>
          <w:rFonts w:ascii="仿宋" w:hAnsi="仿宋" w:eastAsia="仿宋" w:cs="仿宋"/>
          <w:spacing w:val="1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0</w:t>
      </w:r>
      <w:r>
        <w:rPr>
          <w:rFonts w:ascii="仿宋" w:hAnsi="仿宋" w:eastAsia="仿宋" w:cs="仿宋"/>
          <w:spacing w:val="-5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辆。决算数较年初预算数增加的主要原因</w:t>
      </w:r>
      <w:r>
        <w:rPr>
          <w:rFonts w:ascii="仿宋" w:hAnsi="仿宋" w:eastAsia="仿宋" w:cs="仿宋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14"/>
          <w:w w:val="98"/>
          <w:sz w:val="30"/>
          <w:szCs w:val="30"/>
        </w:rPr>
        <w:t>是：</w:t>
      </w:r>
      <w:r>
        <w:rPr>
          <w:rFonts w:ascii="仿宋" w:hAnsi="仿宋" w:eastAsia="仿宋" w:cs="仿宋"/>
          <w:spacing w:val="11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4"/>
          <w:w w:val="98"/>
          <w:sz w:val="30"/>
          <w:szCs w:val="30"/>
        </w:rPr>
        <w:t>无；</w:t>
      </w:r>
      <w:r>
        <w:rPr>
          <w:rFonts w:ascii="仿宋" w:hAnsi="仿宋" w:eastAsia="仿宋" w:cs="仿宋"/>
          <w:spacing w:val="6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4"/>
          <w:w w:val="98"/>
          <w:sz w:val="30"/>
          <w:szCs w:val="30"/>
        </w:rPr>
        <w:t>公务用车运行维护费支出年初预算数为</w:t>
      </w:r>
      <w:r>
        <w:rPr>
          <w:rFonts w:ascii="仿宋" w:hAnsi="仿宋" w:eastAsia="仿宋" w:cs="仿宋"/>
          <w:spacing w:val="1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4"/>
          <w:w w:val="98"/>
          <w:sz w:val="30"/>
          <w:szCs w:val="30"/>
        </w:rPr>
        <w:t>0</w:t>
      </w:r>
      <w:r>
        <w:rPr>
          <w:rFonts w:ascii="仿宋" w:hAnsi="仿宋" w:eastAsia="仿宋" w:cs="仿宋"/>
          <w:spacing w:val="-5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4"/>
          <w:w w:val="98"/>
          <w:sz w:val="30"/>
          <w:szCs w:val="30"/>
        </w:rPr>
        <w:t>万元，决算</w:t>
      </w:r>
      <w:r>
        <w:rPr>
          <w:rFonts w:ascii="仿宋" w:hAnsi="仿宋" w:eastAsia="仿宋" w:cs="仿宋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8"/>
          <w:sz w:val="30"/>
          <w:szCs w:val="30"/>
        </w:rPr>
        <w:t>数为</w:t>
      </w:r>
      <w:r>
        <w:rPr>
          <w:rFonts w:ascii="仿宋" w:hAnsi="仿宋" w:eastAsia="仿宋" w:cs="仿宋"/>
          <w:spacing w:val="-3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8"/>
          <w:sz w:val="30"/>
          <w:szCs w:val="30"/>
        </w:rPr>
        <w:t>0</w:t>
      </w:r>
      <w:r>
        <w:rPr>
          <w:rFonts w:ascii="仿宋" w:hAnsi="仿宋" w:eastAsia="仿宋" w:cs="仿宋"/>
          <w:spacing w:val="-5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8"/>
          <w:sz w:val="30"/>
          <w:szCs w:val="30"/>
        </w:rPr>
        <w:t>万元，完成预算的</w:t>
      </w:r>
      <w:r>
        <w:rPr>
          <w:rFonts w:ascii="仿宋" w:hAnsi="仿宋" w:eastAsia="仿宋" w:cs="仿宋"/>
          <w:spacing w:val="1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8"/>
          <w:sz w:val="30"/>
          <w:szCs w:val="30"/>
        </w:rPr>
        <w:t>0%，决算数较</w:t>
      </w:r>
      <w:r>
        <w:rPr>
          <w:rFonts w:ascii="仿宋" w:hAnsi="仿宋" w:eastAsia="仿宋" w:cs="仿宋"/>
          <w:spacing w:val="-6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8"/>
          <w:sz w:val="30"/>
          <w:szCs w:val="30"/>
        </w:rPr>
        <w:t>2019</w:t>
      </w:r>
      <w:r>
        <w:rPr>
          <w:rFonts w:ascii="仿宋" w:hAnsi="仿宋" w:eastAsia="仿宋" w:cs="仿宋"/>
          <w:spacing w:val="-4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8"/>
          <w:sz w:val="30"/>
          <w:szCs w:val="30"/>
        </w:rPr>
        <w:t>年增加</w:t>
      </w:r>
      <w:r>
        <w:rPr>
          <w:rFonts w:ascii="仿宋" w:hAnsi="仿宋" w:eastAsia="仿宋" w:cs="仿宋"/>
          <w:spacing w:val="-6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8"/>
          <w:sz w:val="30"/>
          <w:szCs w:val="30"/>
        </w:rPr>
        <w:t>0</w:t>
      </w:r>
      <w:r>
        <w:rPr>
          <w:rFonts w:ascii="仿宋" w:hAnsi="仿宋" w:eastAsia="仿宋" w:cs="仿宋"/>
          <w:spacing w:val="-5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8"/>
          <w:sz w:val="30"/>
          <w:szCs w:val="30"/>
        </w:rPr>
        <w:t>万元，增</w:t>
      </w:r>
    </w:p>
    <w:p w14:paraId="5871B3B4">
      <w:pPr>
        <w:sectPr>
          <w:pgSz w:w="11906" w:h="16839"/>
          <w:pgMar w:top="1431" w:right="1712" w:bottom="0" w:left="1785" w:header="0" w:footer="0" w:gutter="0"/>
          <w:cols w:space="720" w:num="1"/>
        </w:sectPr>
      </w:pPr>
    </w:p>
    <w:p w14:paraId="1DC1129A">
      <w:pPr>
        <w:spacing w:before="172" w:line="384" w:lineRule="auto"/>
        <w:ind w:left="33" w:right="13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4"/>
          <w:sz w:val="30"/>
          <w:szCs w:val="30"/>
        </w:rPr>
        <w:t>长</w:t>
      </w:r>
      <w:r>
        <w:rPr>
          <w:rFonts w:ascii="仿宋" w:hAnsi="仿宋" w:eastAsia="仿宋" w:cs="仿宋"/>
          <w:spacing w:val="-4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0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4"/>
          <w:sz w:val="30"/>
          <w:szCs w:val="30"/>
        </w:rPr>
        <w:t>%，主要原因是无，年末公务用车保有</w:t>
      </w:r>
      <w:r>
        <w:rPr>
          <w:rFonts w:ascii="仿宋" w:hAnsi="仿宋" w:eastAsia="仿宋" w:cs="仿宋"/>
          <w:spacing w:val="1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0</w:t>
      </w:r>
      <w:r>
        <w:rPr>
          <w:rFonts w:ascii="仿宋" w:hAnsi="仿宋" w:eastAsia="仿宋" w:cs="仿宋"/>
          <w:spacing w:val="1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辆。决算数较年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7"/>
          <w:sz w:val="30"/>
          <w:szCs w:val="30"/>
        </w:rPr>
        <w:t>初预算数增加的主要原因是：</w:t>
      </w:r>
      <w:r>
        <w:rPr>
          <w:rFonts w:ascii="仿宋" w:hAnsi="仿宋" w:eastAsia="仿宋" w:cs="仿宋"/>
          <w:spacing w:val="8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7"/>
          <w:sz w:val="30"/>
          <w:szCs w:val="30"/>
        </w:rPr>
        <w:t>无。</w:t>
      </w:r>
    </w:p>
    <w:p w14:paraId="107961D2">
      <w:pPr>
        <w:spacing w:line="204" w:lineRule="auto"/>
        <w:ind w:firstLine="663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2"/>
          <w:sz w:val="30"/>
          <w:szCs w:val="30"/>
        </w:rPr>
        <w:t>六、机关运行经费支出情况说明</w:t>
      </w:r>
    </w:p>
    <w:p w14:paraId="2BEA6100">
      <w:pPr>
        <w:spacing w:before="291" w:line="384" w:lineRule="auto"/>
        <w:ind w:left="33" w:right="13" w:firstLine="63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本部门</w:t>
      </w:r>
      <w:r>
        <w:rPr>
          <w:rFonts w:ascii="仿宋" w:hAnsi="仿宋" w:eastAsia="仿宋" w:cs="仿宋"/>
          <w:spacing w:val="-5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5"/>
          <w:sz w:val="30"/>
          <w:szCs w:val="30"/>
        </w:rPr>
        <w:t>2020</w:t>
      </w:r>
      <w:r>
        <w:rPr>
          <w:rFonts w:ascii="仿宋" w:hAnsi="仿宋" w:eastAsia="仿宋" w:cs="仿宋"/>
          <w:spacing w:val="-5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5"/>
          <w:sz w:val="30"/>
          <w:szCs w:val="30"/>
        </w:rPr>
        <w:t>年度机关运行经费支出</w:t>
      </w:r>
      <w:r>
        <w:rPr>
          <w:rFonts w:ascii="仿宋" w:hAnsi="仿宋" w:eastAsia="仿宋" w:cs="仿宋"/>
          <w:spacing w:val="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5"/>
          <w:sz w:val="30"/>
          <w:szCs w:val="30"/>
        </w:rPr>
        <w:t>4.2</w:t>
      </w:r>
      <w:r>
        <w:rPr>
          <w:rFonts w:ascii="仿宋" w:hAnsi="仿宋" w:eastAsia="仿宋" w:cs="仿宋"/>
          <w:spacing w:val="-5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5"/>
          <w:sz w:val="30"/>
          <w:szCs w:val="30"/>
        </w:rPr>
        <w:t>万元（与部门决算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中行政单位和参照公务员法管理事业单位一般公共预算财政拨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3"/>
          <w:sz w:val="30"/>
          <w:szCs w:val="30"/>
        </w:rPr>
        <w:t>款基本支出中公用经费之和一致</w:t>
      </w:r>
      <w:r>
        <w:rPr>
          <w:rFonts w:ascii="仿宋" w:hAnsi="仿宋" w:eastAsia="仿宋" w:cs="仿宋"/>
          <w:spacing w:val="-89"/>
          <w:sz w:val="30"/>
          <w:szCs w:val="30"/>
        </w:rPr>
        <w:t>）</w:t>
      </w:r>
      <w:r>
        <w:rPr>
          <w:rFonts w:ascii="仿宋" w:hAnsi="仿宋" w:eastAsia="仿宋" w:cs="仿宋"/>
          <w:spacing w:val="3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89"/>
          <w:sz w:val="30"/>
          <w:szCs w:val="30"/>
        </w:rPr>
        <w:t>，</w:t>
      </w:r>
      <w:r>
        <w:rPr>
          <w:rFonts w:ascii="仿宋" w:hAnsi="仿宋" w:eastAsia="仿宋" w:cs="仿宋"/>
          <w:spacing w:val="-3"/>
          <w:sz w:val="30"/>
          <w:szCs w:val="30"/>
        </w:rPr>
        <w:t>较上年决算数减少</w:t>
      </w:r>
      <w:r>
        <w:rPr>
          <w:rFonts w:ascii="仿宋" w:hAnsi="仿宋" w:eastAsia="仿宋" w:cs="仿宋"/>
          <w:spacing w:val="-5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3.88</w:t>
      </w:r>
      <w:r>
        <w:rPr>
          <w:rFonts w:ascii="仿宋" w:hAnsi="仿宋" w:eastAsia="仿宋" w:cs="仿宋"/>
          <w:spacing w:val="2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万</w:t>
      </w:r>
    </w:p>
    <w:p w14:paraId="3A26FDDE">
      <w:pPr>
        <w:spacing w:before="1" w:line="204" w:lineRule="auto"/>
        <w:ind w:firstLine="38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2"/>
          <w:sz w:val="30"/>
          <w:szCs w:val="30"/>
        </w:rPr>
        <w:t>元，降低</w:t>
      </w:r>
      <w:r>
        <w:rPr>
          <w:rFonts w:ascii="仿宋" w:hAnsi="仿宋" w:eastAsia="仿宋" w:cs="仿宋"/>
          <w:spacing w:val="-5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2"/>
          <w:sz w:val="30"/>
          <w:szCs w:val="30"/>
        </w:rPr>
        <w:t>48.02%，主要原因是：</w:t>
      </w:r>
      <w:r>
        <w:rPr>
          <w:rFonts w:ascii="仿宋" w:hAnsi="仿宋" w:eastAsia="仿宋" w:cs="仿宋"/>
          <w:spacing w:val="6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2"/>
          <w:sz w:val="30"/>
          <w:szCs w:val="30"/>
        </w:rPr>
        <w:t>缩减开支。</w:t>
      </w:r>
    </w:p>
    <w:p w14:paraId="1C52FC53">
      <w:pPr>
        <w:spacing w:before="291" w:line="187" w:lineRule="auto"/>
        <w:ind w:firstLine="804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1"/>
          <w:sz w:val="30"/>
          <w:szCs w:val="30"/>
        </w:rPr>
        <w:t>七、政府采购支出情况说明</w:t>
      </w:r>
    </w:p>
    <w:p w14:paraId="070A3955">
      <w:pPr>
        <w:spacing w:before="320" w:line="384" w:lineRule="auto"/>
        <w:ind w:left="33" w:right="13" w:firstLine="601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7"/>
          <w:sz w:val="30"/>
          <w:szCs w:val="30"/>
        </w:rPr>
        <w:t>本部门</w:t>
      </w:r>
      <w:r>
        <w:rPr>
          <w:rFonts w:ascii="仿宋" w:hAnsi="仿宋" w:eastAsia="仿宋" w:cs="仿宋"/>
          <w:spacing w:val="-4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7"/>
          <w:sz w:val="30"/>
          <w:szCs w:val="30"/>
        </w:rPr>
        <w:t>2020</w:t>
      </w:r>
      <w:r>
        <w:rPr>
          <w:rFonts w:ascii="仿宋" w:hAnsi="仿宋" w:eastAsia="仿宋" w:cs="仿宋"/>
          <w:spacing w:val="-4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7"/>
          <w:sz w:val="30"/>
          <w:szCs w:val="30"/>
        </w:rPr>
        <w:t>年度政府采购支出总额</w:t>
      </w:r>
      <w:r>
        <w:rPr>
          <w:rFonts w:ascii="仿宋" w:hAnsi="仿宋" w:eastAsia="仿宋" w:cs="仿宋"/>
          <w:spacing w:val="-5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7"/>
          <w:sz w:val="30"/>
          <w:szCs w:val="30"/>
        </w:rPr>
        <w:t>０</w:t>
      </w:r>
      <w:r>
        <w:rPr>
          <w:rFonts w:ascii="仿宋" w:hAnsi="仿宋" w:eastAsia="仿宋" w:cs="仿宋"/>
          <w:spacing w:val="-3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7"/>
          <w:sz w:val="30"/>
          <w:szCs w:val="30"/>
        </w:rPr>
        <w:t>万元，其中：</w:t>
      </w:r>
      <w:r>
        <w:rPr>
          <w:rFonts w:ascii="仿宋" w:hAnsi="仿宋" w:eastAsia="仿宋" w:cs="仿宋"/>
          <w:spacing w:val="6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7"/>
          <w:sz w:val="30"/>
          <w:szCs w:val="30"/>
        </w:rPr>
        <w:t>政府采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1"/>
          <w:sz w:val="30"/>
          <w:szCs w:val="30"/>
        </w:rPr>
        <w:t>购货物支出</w:t>
      </w:r>
      <w:r>
        <w:rPr>
          <w:rFonts w:ascii="仿宋" w:hAnsi="仿宋" w:eastAsia="仿宋" w:cs="仿宋"/>
          <w:spacing w:val="11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1"/>
          <w:sz w:val="30"/>
          <w:szCs w:val="30"/>
        </w:rPr>
        <w:t>０</w:t>
      </w:r>
      <w:r>
        <w:rPr>
          <w:rFonts w:ascii="仿宋" w:hAnsi="仿宋" w:eastAsia="仿宋" w:cs="仿宋"/>
          <w:spacing w:val="-2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1"/>
          <w:sz w:val="30"/>
          <w:szCs w:val="30"/>
        </w:rPr>
        <w:t>万元、政府采购工程支出</w:t>
      </w:r>
      <w:r>
        <w:rPr>
          <w:rFonts w:ascii="仿宋" w:hAnsi="仿宋" w:eastAsia="仿宋" w:cs="仿宋"/>
          <w:spacing w:val="-5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1"/>
          <w:sz w:val="30"/>
          <w:szCs w:val="30"/>
        </w:rPr>
        <w:t>０</w:t>
      </w:r>
      <w:r>
        <w:rPr>
          <w:rFonts w:ascii="仿宋" w:hAnsi="仿宋" w:eastAsia="仿宋" w:cs="仿宋"/>
          <w:spacing w:val="11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1"/>
          <w:sz w:val="30"/>
          <w:szCs w:val="30"/>
        </w:rPr>
        <w:t>万元、政府采购服务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1"/>
          <w:sz w:val="30"/>
          <w:szCs w:val="30"/>
        </w:rPr>
        <w:t>支出</w:t>
      </w:r>
      <w:r>
        <w:rPr>
          <w:rFonts w:ascii="仿宋" w:hAnsi="仿宋" w:eastAsia="仿宋" w:cs="仿宋"/>
          <w:spacing w:val="11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1"/>
          <w:sz w:val="30"/>
          <w:szCs w:val="30"/>
        </w:rPr>
        <w:t>０</w:t>
      </w:r>
      <w:r>
        <w:rPr>
          <w:rFonts w:ascii="仿宋" w:hAnsi="仿宋" w:eastAsia="仿宋" w:cs="仿宋"/>
          <w:spacing w:val="-2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1"/>
          <w:sz w:val="30"/>
          <w:szCs w:val="30"/>
        </w:rPr>
        <w:t>万元。授予中小企业合同金额</w:t>
      </w:r>
      <w:r>
        <w:rPr>
          <w:rFonts w:ascii="仿宋" w:hAnsi="仿宋" w:eastAsia="仿宋" w:cs="仿宋"/>
          <w:spacing w:val="9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1"/>
          <w:sz w:val="30"/>
          <w:szCs w:val="30"/>
        </w:rPr>
        <w:t>０</w:t>
      </w:r>
      <w:r>
        <w:rPr>
          <w:rFonts w:ascii="仿宋" w:hAnsi="仿宋" w:eastAsia="仿宋" w:cs="仿宋"/>
          <w:spacing w:val="-2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1"/>
          <w:sz w:val="30"/>
          <w:szCs w:val="30"/>
        </w:rPr>
        <w:t>万元，占政府采购支出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6"/>
          <w:sz w:val="30"/>
          <w:szCs w:val="30"/>
        </w:rPr>
        <w:t>总额的</w:t>
      </w:r>
      <w:r>
        <w:rPr>
          <w:rFonts w:ascii="仿宋" w:hAnsi="仿宋" w:eastAsia="仿宋" w:cs="仿宋"/>
          <w:spacing w:val="12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6"/>
          <w:sz w:val="30"/>
          <w:szCs w:val="30"/>
        </w:rPr>
        <w:t>０</w:t>
      </w:r>
      <w:r>
        <w:rPr>
          <w:rFonts w:ascii="仿宋" w:hAnsi="仿宋" w:eastAsia="仿宋" w:cs="仿宋"/>
          <w:spacing w:val="-4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6"/>
          <w:sz w:val="30"/>
          <w:szCs w:val="30"/>
        </w:rPr>
        <w:t>%，其中：</w:t>
      </w:r>
      <w:r>
        <w:rPr>
          <w:rFonts w:ascii="仿宋" w:hAnsi="仿宋" w:eastAsia="仿宋" w:cs="仿宋"/>
          <w:spacing w:val="6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6"/>
          <w:sz w:val="30"/>
          <w:szCs w:val="30"/>
        </w:rPr>
        <w:t>授予小微企业合同金额</w:t>
      </w:r>
      <w:r>
        <w:rPr>
          <w:rFonts w:ascii="仿宋" w:hAnsi="仿宋" w:eastAsia="仿宋" w:cs="仿宋"/>
          <w:spacing w:val="-5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6"/>
          <w:sz w:val="30"/>
          <w:szCs w:val="30"/>
        </w:rPr>
        <w:t>０</w:t>
      </w:r>
      <w:r>
        <w:rPr>
          <w:rFonts w:ascii="仿宋" w:hAnsi="仿宋" w:eastAsia="仿宋" w:cs="仿宋"/>
          <w:spacing w:val="12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6"/>
          <w:sz w:val="30"/>
          <w:szCs w:val="30"/>
        </w:rPr>
        <w:t>万元，</w:t>
      </w:r>
      <w:r>
        <w:rPr>
          <w:rFonts w:ascii="仿宋" w:hAnsi="仿宋" w:eastAsia="仿宋" w:cs="仿宋"/>
          <w:spacing w:val="-7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6"/>
          <w:sz w:val="30"/>
          <w:szCs w:val="30"/>
        </w:rPr>
        <w:t>占政府采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4"/>
          <w:sz w:val="30"/>
          <w:szCs w:val="30"/>
        </w:rPr>
        <w:t>购支出总额的</w:t>
      </w:r>
      <w:r>
        <w:rPr>
          <w:rFonts w:ascii="仿宋" w:hAnsi="仿宋" w:eastAsia="仿宋" w:cs="仿宋"/>
          <w:spacing w:val="-4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4"/>
          <w:sz w:val="30"/>
          <w:szCs w:val="30"/>
        </w:rPr>
        <w:t>０</w:t>
      </w:r>
      <w:r>
        <w:rPr>
          <w:rFonts w:ascii="仿宋" w:hAnsi="仿宋" w:eastAsia="仿宋" w:cs="仿宋"/>
          <w:spacing w:val="9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4"/>
          <w:sz w:val="30"/>
          <w:szCs w:val="30"/>
        </w:rPr>
        <w:t>%。（省级部门公开的政府采购金额的计算</w:t>
      </w:r>
      <w:r>
        <w:rPr>
          <w:rFonts w:ascii="仿宋" w:hAnsi="仿宋" w:eastAsia="仿宋" w:cs="仿宋"/>
          <w:spacing w:val="-7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4"/>
          <w:sz w:val="30"/>
          <w:szCs w:val="30"/>
        </w:rPr>
        <w:t>口径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8"/>
          <w:sz w:val="30"/>
          <w:szCs w:val="30"/>
        </w:rPr>
        <w:t>为：</w:t>
      </w:r>
      <w:r>
        <w:rPr>
          <w:rFonts w:ascii="仿宋" w:hAnsi="仿宋" w:eastAsia="仿宋" w:cs="仿宋"/>
          <w:spacing w:val="7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8"/>
          <w:sz w:val="30"/>
          <w:szCs w:val="30"/>
        </w:rPr>
        <w:t>本部门纳入</w:t>
      </w:r>
      <w:r>
        <w:rPr>
          <w:rFonts w:ascii="仿宋" w:hAnsi="仿宋" w:eastAsia="仿宋" w:cs="仿宋"/>
          <w:spacing w:val="-6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8"/>
          <w:sz w:val="30"/>
          <w:szCs w:val="30"/>
        </w:rPr>
        <w:t>2020</w:t>
      </w:r>
      <w:r>
        <w:rPr>
          <w:rFonts w:ascii="仿宋" w:hAnsi="仿宋" w:eastAsia="仿宋" w:cs="仿宋"/>
          <w:spacing w:val="-4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8"/>
          <w:sz w:val="30"/>
          <w:szCs w:val="30"/>
        </w:rPr>
        <w:t>年部门预算范围的各项政府采购支出金额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之和，不包括涉密采购项目的支出金额。）</w:t>
      </w:r>
    </w:p>
    <w:p w14:paraId="6F03CA18">
      <w:pPr>
        <w:spacing w:line="204" w:lineRule="auto"/>
        <w:ind w:firstLine="654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1"/>
          <w:sz w:val="30"/>
          <w:szCs w:val="30"/>
        </w:rPr>
        <w:t>八、国有资产占用情况说明。</w:t>
      </w:r>
    </w:p>
    <w:p w14:paraId="5E73CA37">
      <w:pPr>
        <w:spacing w:before="292" w:line="624" w:lineRule="exact"/>
        <w:ind w:firstLine="662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pacing w:val="-15"/>
          <w:position w:val="23"/>
          <w:sz w:val="30"/>
          <w:szCs w:val="30"/>
          <w:lang w:eastAsia="zh-CN"/>
        </w:rPr>
        <w:t>截至</w:t>
      </w:r>
      <w:r>
        <w:rPr>
          <w:rFonts w:ascii="仿宋" w:hAnsi="仿宋" w:eastAsia="仿宋" w:cs="仿宋"/>
          <w:spacing w:val="-42"/>
          <w:position w:val="2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5"/>
          <w:position w:val="23"/>
          <w:sz w:val="30"/>
          <w:szCs w:val="30"/>
        </w:rPr>
        <w:t>2020</w:t>
      </w:r>
      <w:r>
        <w:rPr>
          <w:rFonts w:ascii="仿宋" w:hAnsi="仿宋" w:eastAsia="仿宋" w:cs="仿宋"/>
          <w:spacing w:val="-51"/>
          <w:position w:val="2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5"/>
          <w:position w:val="23"/>
          <w:sz w:val="30"/>
          <w:szCs w:val="30"/>
        </w:rPr>
        <w:t>年</w:t>
      </w:r>
      <w:r>
        <w:rPr>
          <w:rFonts w:ascii="仿宋" w:hAnsi="仿宋" w:eastAsia="仿宋" w:cs="仿宋"/>
          <w:spacing w:val="-43"/>
          <w:position w:val="2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5"/>
          <w:position w:val="23"/>
          <w:sz w:val="30"/>
          <w:szCs w:val="30"/>
        </w:rPr>
        <w:t>12</w:t>
      </w:r>
      <w:r>
        <w:rPr>
          <w:rFonts w:ascii="仿宋" w:hAnsi="仿宋" w:eastAsia="仿宋" w:cs="仿宋"/>
          <w:spacing w:val="-43"/>
          <w:position w:val="2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5"/>
          <w:position w:val="23"/>
          <w:sz w:val="30"/>
          <w:szCs w:val="30"/>
        </w:rPr>
        <w:t>月</w:t>
      </w:r>
      <w:r>
        <w:rPr>
          <w:rFonts w:ascii="仿宋" w:hAnsi="仿宋" w:eastAsia="仿宋" w:cs="仿宋"/>
          <w:spacing w:val="-57"/>
          <w:position w:val="2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5"/>
          <w:position w:val="23"/>
          <w:sz w:val="30"/>
          <w:szCs w:val="30"/>
        </w:rPr>
        <w:t>31</w:t>
      </w:r>
      <w:r>
        <w:rPr>
          <w:rFonts w:ascii="仿宋" w:hAnsi="仿宋" w:eastAsia="仿宋" w:cs="仿宋"/>
          <w:spacing w:val="6"/>
          <w:position w:val="2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5"/>
          <w:position w:val="23"/>
          <w:sz w:val="30"/>
          <w:szCs w:val="30"/>
        </w:rPr>
        <w:t>日，本部门（单位）</w:t>
      </w:r>
      <w:r>
        <w:rPr>
          <w:rFonts w:ascii="仿宋" w:hAnsi="仿宋" w:eastAsia="仿宋" w:cs="仿宋"/>
          <w:spacing w:val="31"/>
          <w:position w:val="2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5"/>
          <w:position w:val="23"/>
          <w:sz w:val="30"/>
          <w:szCs w:val="30"/>
        </w:rPr>
        <w:t>国有资产占用情</w:t>
      </w:r>
    </w:p>
    <w:p w14:paraId="440D5B9B">
      <w:pPr>
        <w:spacing w:before="2" w:line="204" w:lineRule="auto"/>
        <w:ind w:firstLine="3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1"/>
          <w:sz w:val="30"/>
          <w:szCs w:val="30"/>
        </w:rPr>
        <w:t>况见公开</w:t>
      </w:r>
      <w:r>
        <w:rPr>
          <w:rFonts w:ascii="仿宋" w:hAnsi="仿宋" w:eastAsia="仿宋" w:cs="仿宋"/>
          <w:spacing w:val="-4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1"/>
          <w:sz w:val="30"/>
          <w:szCs w:val="30"/>
        </w:rPr>
        <w:t>10</w:t>
      </w:r>
      <w:r>
        <w:rPr>
          <w:rFonts w:ascii="仿宋" w:hAnsi="仿宋" w:eastAsia="仿宋" w:cs="仿宋"/>
          <w:spacing w:val="-5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1"/>
          <w:sz w:val="30"/>
          <w:szCs w:val="30"/>
        </w:rPr>
        <w:t>表《国有资产占用情况表》</w:t>
      </w:r>
      <w:r>
        <w:rPr>
          <w:rFonts w:ascii="仿宋" w:hAnsi="仿宋" w:eastAsia="仿宋" w:cs="仿宋"/>
          <w:spacing w:val="-1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1"/>
          <w:sz w:val="30"/>
          <w:szCs w:val="30"/>
        </w:rPr>
        <w:t>。</w:t>
      </w:r>
    </w:p>
    <w:p w14:paraId="3F5E5FB2">
      <w:pPr>
        <w:spacing w:before="291" w:line="187" w:lineRule="auto"/>
        <w:ind w:firstLine="661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2"/>
          <w:sz w:val="30"/>
          <w:szCs w:val="30"/>
        </w:rPr>
        <w:t>九、预算绩效情况说明</w:t>
      </w:r>
    </w:p>
    <w:p w14:paraId="73F411B9">
      <w:pPr>
        <w:spacing w:before="320" w:line="189" w:lineRule="auto"/>
        <w:ind w:firstLine="48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（一）绩效管理工作开展情况。</w:t>
      </w:r>
    </w:p>
    <w:p w14:paraId="05F0EABB">
      <w:pPr>
        <w:spacing w:before="317" w:line="384" w:lineRule="auto"/>
        <w:ind w:left="33" w:right="13" w:firstLine="601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根据预算绩效管理要求，我部门组织对2020年度一般公共预</w:t>
      </w:r>
      <w:r>
        <w:rPr>
          <w:rFonts w:ascii="仿宋" w:hAnsi="仿宋" w:eastAsia="仿宋" w:cs="仿宋"/>
          <w:spacing w:val="2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算项目支出所有二级项目0</w:t>
      </w:r>
      <w:r>
        <w:rPr>
          <w:rFonts w:ascii="仿宋" w:hAnsi="仿宋" w:eastAsia="仿宋" w:cs="仿宋"/>
          <w:spacing w:val="3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个全面开展绩效自评，共涉及资金</w:t>
      </w:r>
    </w:p>
    <w:p w14:paraId="3C47511D">
      <w:p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 w14:paraId="6C195C8D">
      <w:pPr>
        <w:spacing w:before="171" w:line="189" w:lineRule="auto"/>
        <w:ind w:firstLine="2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0万元，</w:t>
      </w:r>
      <w:r>
        <w:rPr>
          <w:rFonts w:ascii="仿宋" w:hAnsi="仿宋" w:eastAsia="仿宋" w:cs="仿宋"/>
          <w:spacing w:val="-6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5"/>
          <w:sz w:val="30"/>
          <w:szCs w:val="30"/>
        </w:rPr>
        <w:t>占一般公共预算项目支出总额的0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5"/>
          <w:sz w:val="30"/>
          <w:szCs w:val="30"/>
        </w:rPr>
        <w:t>%。</w:t>
      </w:r>
    </w:p>
    <w:p w14:paraId="24EDAF61">
      <w:pPr>
        <w:spacing w:before="317" w:line="384" w:lineRule="auto"/>
        <w:ind w:left="26" w:right="220" w:firstLine="608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组织对0</w:t>
      </w:r>
      <w:r>
        <w:rPr>
          <w:rFonts w:ascii="仿宋" w:hAnsi="仿宋" w:eastAsia="仿宋" w:cs="仿宋"/>
          <w:spacing w:val="2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个项目开展了部门评价，涉及一般公共预算支出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0万元，政府性基金预算支出</w:t>
      </w:r>
      <w:r>
        <w:rPr>
          <w:rFonts w:ascii="仿宋" w:hAnsi="仿宋" w:eastAsia="仿宋" w:cs="仿宋"/>
          <w:spacing w:val="2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0万元。</w:t>
      </w:r>
    </w:p>
    <w:p w14:paraId="409F5FB5">
      <w:pPr>
        <w:shd w:val="clear" w:fill="FFFFFF"/>
        <w:spacing w:before="56" w:line="348" w:lineRule="auto"/>
        <w:ind w:left="35" w:right="11" w:firstLine="69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0"/>
          <w:szCs w:val="30"/>
        </w:rPr>
        <w:t>组织对本部门（单位）</w:t>
      </w:r>
      <w:r>
        <w:rPr>
          <w:rFonts w:ascii="仿宋" w:hAnsi="仿宋" w:eastAsia="仿宋" w:cs="仿宋"/>
          <w:spacing w:val="1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开展整体支出绩效评价试点，涉及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7"/>
          <w:sz w:val="30"/>
          <w:szCs w:val="30"/>
        </w:rPr>
        <w:t>一般公共预算支出</w:t>
      </w:r>
      <w:r>
        <w:rPr>
          <w:rFonts w:ascii="仿宋" w:hAnsi="仿宋" w:eastAsia="仿宋" w:cs="仿宋"/>
          <w:spacing w:val="-4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7"/>
          <w:sz w:val="30"/>
          <w:szCs w:val="30"/>
        </w:rPr>
        <w:t>8.52</w:t>
      </w:r>
      <w:r>
        <w:rPr>
          <w:rFonts w:ascii="仿宋" w:hAnsi="仿宋" w:eastAsia="仿宋" w:cs="仿宋"/>
          <w:spacing w:val="-5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7"/>
          <w:sz w:val="30"/>
          <w:szCs w:val="30"/>
        </w:rPr>
        <w:t>万元，政府性基金预算支出</w:t>
      </w:r>
      <w:r>
        <w:rPr>
          <w:rFonts w:ascii="仿宋" w:hAnsi="仿宋" w:eastAsia="仿宋" w:cs="仿宋"/>
          <w:spacing w:val="1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7"/>
          <w:sz w:val="30"/>
          <w:szCs w:val="30"/>
        </w:rPr>
        <w:t>0</w:t>
      </w:r>
      <w:r>
        <w:rPr>
          <w:rFonts w:ascii="仿宋" w:hAnsi="仿宋" w:eastAsia="仿宋" w:cs="仿宋"/>
          <w:spacing w:val="2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7"/>
          <w:sz w:val="30"/>
          <w:szCs w:val="30"/>
        </w:rPr>
        <w:t>万元。从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"/>
          <w:sz w:val="30"/>
          <w:szCs w:val="30"/>
        </w:rPr>
        <w:t>评价情况来看，</w:t>
      </w:r>
      <w:r>
        <w:rPr>
          <w:rFonts w:ascii="仿宋" w:hAnsi="仿宋" w:eastAsia="仿宋" w:cs="仿宋"/>
          <w:spacing w:val="3"/>
          <w:sz w:val="32"/>
          <w:szCs w:val="32"/>
        </w:rPr>
        <w:t>以实现城市基层党建工作“三化”要求为</w:t>
      </w:r>
      <w:bookmarkStart w:id="0" w:name="_GoBack"/>
      <w:bookmarkEnd w:id="0"/>
      <w:r>
        <w:rPr>
          <w:rFonts w:ascii="仿宋" w:hAnsi="仿宋" w:eastAsia="仿宋" w:cs="仿宋"/>
          <w:spacing w:val="3"/>
          <w:sz w:val="32"/>
          <w:szCs w:val="32"/>
        </w:rPr>
        <w:t>落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脚点，抓好基础。</w:t>
      </w:r>
      <w:r>
        <w:rPr>
          <w:rFonts w:ascii="仿宋" w:hAnsi="仿宋" w:eastAsia="仿宋" w:cs="仿宋"/>
          <w:spacing w:val="-4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１</w:t>
      </w:r>
      <w:r>
        <w:rPr>
          <w:rFonts w:ascii="仿宋" w:hAnsi="仿宋" w:eastAsia="仿宋" w:cs="仿宋"/>
          <w:spacing w:val="-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、完善标准化。一是按照全市党建“三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化”建设的要求，拟定《珠山区直机关工委推进机关党建标</w:t>
      </w:r>
      <w:r>
        <w:rPr>
          <w:rFonts w:ascii="仿宋" w:hAnsi="仿宋" w:eastAsia="仿宋" w:cs="仿宋"/>
          <w:spacing w:val="1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准化规范化信息化“三化”建设工作方案（试行）》并点对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点的指导各支部对照要求落实任务；</w:t>
      </w:r>
      <w:r>
        <w:rPr>
          <w:rFonts w:ascii="仿宋" w:hAnsi="仿宋" w:eastAsia="仿宋" w:cs="仿宋"/>
          <w:spacing w:val="9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二是结合支部工作要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求，出台《机关党建工作考评细则》</w:t>
      </w:r>
      <w:r>
        <w:rPr>
          <w:rFonts w:ascii="仿宋" w:hAnsi="仿宋" w:eastAsia="仿宋" w:cs="仿宋"/>
          <w:spacing w:val="3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，每年对区直属机关各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级党组织开展全覆盖检查，对检查结果给予《检查情况回执</w:t>
      </w:r>
      <w:r>
        <w:rPr>
          <w:rFonts w:ascii="仿宋" w:hAnsi="仿宋" w:eastAsia="仿宋" w:cs="仿宋"/>
          <w:spacing w:val="1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单》</w:t>
      </w:r>
      <w:r>
        <w:rPr>
          <w:rFonts w:ascii="仿宋" w:hAnsi="仿宋" w:eastAsia="仿宋" w:cs="仿宋"/>
          <w:spacing w:val="4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，并对各支部整改情况进行“回头看”</w:t>
      </w:r>
      <w:r>
        <w:rPr>
          <w:rFonts w:ascii="仿宋" w:hAnsi="仿宋" w:eastAsia="仿宋" w:cs="仿宋"/>
          <w:spacing w:val="-11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，进一步帮助支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部完善和规范各项工作流程；</w:t>
      </w:r>
      <w:r>
        <w:rPr>
          <w:rFonts w:ascii="仿宋" w:hAnsi="仿宋" w:eastAsia="仿宋" w:cs="仿宋"/>
          <w:spacing w:val="8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三是针对部分支部人员调整后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党员发展工作未及时跟进、支部换届时间不明的现象，制订</w:t>
      </w:r>
      <w:r>
        <w:rPr>
          <w:rFonts w:ascii="仿宋" w:hAnsi="仿宋" w:eastAsia="仿宋" w:cs="仿宋"/>
          <w:spacing w:val="1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了党员发展及支部换届到期提醒制度，今年共有</w:t>
      </w:r>
      <w:r>
        <w:rPr>
          <w:rFonts w:ascii="仿宋" w:hAnsi="仿宋" w:eastAsia="仿宋" w:cs="仿宋"/>
          <w:spacing w:val="-5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6"/>
          <w:w w:val="73"/>
          <w:sz w:val="32"/>
          <w:szCs w:val="32"/>
        </w:rPr>
        <w:t>１</w:t>
      </w:r>
      <w:r>
        <w:rPr>
          <w:rFonts w:ascii="仿宋" w:hAnsi="仿宋" w:eastAsia="仿宋" w:cs="仿宋"/>
          <w:spacing w:val="3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6"/>
          <w:w w:val="73"/>
          <w:sz w:val="32"/>
          <w:szCs w:val="32"/>
        </w:rPr>
        <w:t>４</w:t>
      </w:r>
      <w:r>
        <w:rPr>
          <w:rFonts w:ascii="仿宋" w:hAnsi="仿宋" w:eastAsia="仿宋" w:cs="仿宋"/>
          <w:spacing w:val="-4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个支部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都按时换届。</w:t>
      </w:r>
      <w:r>
        <w:rPr>
          <w:rFonts w:ascii="仿宋" w:hAnsi="仿宋" w:eastAsia="仿宋" w:cs="仿宋"/>
          <w:spacing w:val="-4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２</w:t>
      </w:r>
      <w:r>
        <w:rPr>
          <w:rFonts w:ascii="仿宋" w:hAnsi="仿宋" w:eastAsia="仿宋" w:cs="仿宋"/>
          <w:spacing w:val="-1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、落实规范化。一是进一步理顺组织架构。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6"/>
          <w:sz w:val="32"/>
          <w:szCs w:val="32"/>
        </w:rPr>
        <w:t>对党员达到</w:t>
      </w:r>
      <w:r>
        <w:rPr>
          <w:rFonts w:ascii="仿宋" w:hAnsi="仿宋" w:eastAsia="仿宋" w:cs="仿宋"/>
          <w:spacing w:val="-5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6"/>
          <w:sz w:val="32"/>
          <w:szCs w:val="32"/>
        </w:rPr>
        <w:t>３</w:t>
      </w:r>
      <w:r>
        <w:rPr>
          <w:rFonts w:ascii="仿宋" w:hAnsi="仿宋" w:eastAsia="仿宋" w:cs="仿宋"/>
          <w:spacing w:val="-4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6"/>
          <w:sz w:val="32"/>
          <w:szCs w:val="32"/>
        </w:rPr>
        <w:t>人以上的</w:t>
      </w:r>
      <w:r>
        <w:rPr>
          <w:rFonts w:ascii="仿宋" w:hAnsi="仿宋" w:eastAsia="仿宋" w:cs="仿宋"/>
          <w:spacing w:val="-6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6"/>
          <w:sz w:val="32"/>
          <w:szCs w:val="32"/>
        </w:rPr>
        <w:t>３</w:t>
      </w:r>
      <w:r>
        <w:rPr>
          <w:rFonts w:ascii="仿宋" w:hAnsi="仿宋" w:eastAsia="仿宋" w:cs="仿宋"/>
          <w:spacing w:val="-3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6"/>
          <w:sz w:val="32"/>
          <w:szCs w:val="32"/>
        </w:rPr>
        <w:t>家单位督促其成立党支部，对</w:t>
      </w:r>
      <w:r>
        <w:rPr>
          <w:rFonts w:ascii="仿宋" w:hAnsi="仿宋" w:eastAsia="仿宋" w:cs="仿宋"/>
          <w:spacing w:val="-7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6"/>
          <w:sz w:val="32"/>
          <w:szCs w:val="32"/>
        </w:rPr>
        <w:t>７</w:t>
      </w:r>
      <w:r>
        <w:rPr>
          <w:rFonts w:ascii="仿宋" w:hAnsi="仿宋" w:eastAsia="仿宋" w:cs="仿宋"/>
          <w:spacing w:val="-4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6"/>
          <w:sz w:val="32"/>
          <w:szCs w:val="32"/>
        </w:rPr>
        <w:t>个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党员人数较少，分散管理难度较大的支部进行调整合并，整</w:t>
      </w:r>
      <w:r>
        <w:rPr>
          <w:rFonts w:ascii="仿宋" w:hAnsi="仿宋" w:eastAsia="仿宋" w:cs="仿宋"/>
          <w:spacing w:val="1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9"/>
          <w:sz w:val="32"/>
          <w:szCs w:val="32"/>
        </w:rPr>
        <w:t>建制转出</w:t>
      </w:r>
      <w:r>
        <w:rPr>
          <w:rFonts w:ascii="仿宋" w:hAnsi="仿宋" w:eastAsia="仿宋" w:cs="仿宋"/>
          <w:spacing w:val="-5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9"/>
          <w:sz w:val="32"/>
          <w:szCs w:val="32"/>
        </w:rPr>
        <w:t>２</w:t>
      </w:r>
      <w:r>
        <w:rPr>
          <w:rFonts w:ascii="仿宋" w:hAnsi="仿宋" w:eastAsia="仿宋" w:cs="仿宋"/>
          <w:spacing w:val="-3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9"/>
          <w:sz w:val="32"/>
          <w:szCs w:val="32"/>
        </w:rPr>
        <w:t>个隶属关系调整的支部；</w:t>
      </w:r>
      <w:r>
        <w:rPr>
          <w:rFonts w:ascii="仿宋" w:hAnsi="仿宋" w:eastAsia="仿宋" w:cs="仿宋"/>
          <w:spacing w:val="7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9"/>
          <w:sz w:val="32"/>
          <w:szCs w:val="32"/>
        </w:rPr>
        <w:t>二是编印并下发了《党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9"/>
          <w:sz w:val="32"/>
          <w:szCs w:val="32"/>
        </w:rPr>
        <w:t>支部</w:t>
      </w:r>
      <w:r>
        <w:rPr>
          <w:rFonts w:ascii="仿宋" w:hAnsi="仿宋" w:eastAsia="仿宋" w:cs="仿宋"/>
          <w:spacing w:val="-4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3"/>
          <w:w w:val="71"/>
          <w:sz w:val="32"/>
          <w:szCs w:val="32"/>
        </w:rPr>
        <w:t>１</w:t>
      </w:r>
      <w:r>
        <w:rPr>
          <w:rFonts w:ascii="仿宋" w:hAnsi="仿宋" w:eastAsia="仿宋" w:cs="仿宋"/>
          <w:spacing w:val="4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3"/>
          <w:w w:val="71"/>
          <w:sz w:val="32"/>
          <w:szCs w:val="32"/>
        </w:rPr>
        <w:t>３</w:t>
      </w:r>
      <w:r>
        <w:rPr>
          <w:rFonts w:ascii="仿宋" w:hAnsi="仿宋" w:eastAsia="仿宋" w:cs="仿宋"/>
          <w:spacing w:val="-4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9"/>
          <w:sz w:val="32"/>
          <w:szCs w:val="32"/>
        </w:rPr>
        <w:t>种会议记录格式》</w:t>
      </w:r>
      <w:r>
        <w:rPr>
          <w:rFonts w:ascii="仿宋" w:hAnsi="仿宋" w:eastAsia="仿宋" w:cs="仿宋"/>
          <w:spacing w:val="3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9"/>
          <w:sz w:val="32"/>
          <w:szCs w:val="32"/>
        </w:rPr>
        <w:t>、《发展党员工作流程》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9"/>
          <w:sz w:val="32"/>
          <w:szCs w:val="32"/>
        </w:rPr>
        <w:t>、《基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层党组织设置变更工作指导手册》</w:t>
      </w:r>
      <w:r>
        <w:rPr>
          <w:rFonts w:ascii="仿宋" w:hAnsi="仿宋" w:eastAsia="仿宋" w:cs="仿宋"/>
          <w:spacing w:val="3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等，使支部党务工作者能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更快、更准确的掌握党建各项业务知识；</w:t>
      </w:r>
      <w:r>
        <w:rPr>
          <w:rFonts w:ascii="仿宋" w:hAnsi="仿宋" w:eastAsia="仿宋" w:cs="仿宋"/>
          <w:spacing w:val="8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三是组建区直机关</w:t>
      </w:r>
    </w:p>
    <w:p w14:paraId="456A38B4">
      <w:p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 w14:paraId="42B230E4">
      <w:pPr>
        <w:spacing w:before="273" w:line="346" w:lineRule="auto"/>
        <w:ind w:left="132" w:right="112" w:firstLine="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工作委员会，党员发展及重要事项由委员集体讨论，进一步</w:t>
      </w:r>
      <w:r>
        <w:rPr>
          <w:rFonts w:ascii="仿宋" w:hAnsi="仿宋" w:eastAsia="仿宋" w:cs="仿宋"/>
          <w:spacing w:val="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规范了委员参事议事程序。</w:t>
      </w:r>
      <w:r>
        <w:rPr>
          <w:rFonts w:ascii="仿宋" w:hAnsi="仿宋" w:eastAsia="仿宋" w:cs="仿宋"/>
          <w:spacing w:val="-7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３</w:t>
      </w:r>
      <w:r>
        <w:rPr>
          <w:rFonts w:ascii="仿宋" w:hAnsi="仿宋" w:eastAsia="仿宋" w:cs="仿宋"/>
          <w:spacing w:val="-2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、做细信息化。不断完善党员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信息管理,</w:t>
      </w:r>
      <w:r>
        <w:rPr>
          <w:rFonts w:ascii="仿宋" w:hAnsi="仿宋" w:eastAsia="仿宋" w:cs="仿宋"/>
          <w:spacing w:val="-5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目前区直属机关下设的</w:t>
      </w:r>
      <w:r>
        <w:rPr>
          <w:rFonts w:ascii="仿宋" w:hAnsi="仿宋" w:eastAsia="仿宋" w:cs="仿宋"/>
          <w:spacing w:val="-4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１</w:t>
      </w:r>
      <w:r>
        <w:rPr>
          <w:rFonts w:ascii="仿宋" w:hAnsi="仿宋" w:eastAsia="仿宋" w:cs="仿宋"/>
          <w:spacing w:val="-2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个党委、</w:t>
      </w:r>
      <w:r>
        <w:rPr>
          <w:rFonts w:ascii="仿宋" w:hAnsi="仿宋" w:eastAsia="仿宋" w:cs="仿宋"/>
          <w:spacing w:val="-7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４</w:t>
      </w:r>
      <w:r>
        <w:rPr>
          <w:rFonts w:ascii="仿宋" w:hAnsi="仿宋" w:eastAsia="仿宋" w:cs="仿宋"/>
          <w:spacing w:val="-3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个总支、</w:t>
      </w:r>
      <w:r>
        <w:rPr>
          <w:rFonts w:ascii="仿宋" w:hAnsi="仿宋" w:eastAsia="仿宋" w:cs="仿宋"/>
          <w:spacing w:val="-6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５</w:t>
      </w:r>
    </w:p>
    <w:p w14:paraId="0D7F72EE">
      <w:pPr>
        <w:spacing w:before="4" w:line="306" w:lineRule="auto"/>
        <w:ind w:left="136" w:right="112" w:firstLine="7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"/>
          <w:sz w:val="32"/>
          <w:szCs w:val="32"/>
        </w:rPr>
        <w:t>６</w:t>
      </w:r>
      <w:r>
        <w:rPr>
          <w:rFonts w:ascii="仿宋" w:hAnsi="仿宋" w:eastAsia="仿宋" w:cs="仿宋"/>
          <w:spacing w:val="-1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个支部</w:t>
      </w:r>
      <w:r>
        <w:rPr>
          <w:rFonts w:ascii="仿宋" w:hAnsi="仿宋" w:eastAsia="仿宋" w:cs="仿宋"/>
          <w:spacing w:val="-136"/>
          <w:w w:val="94"/>
          <w:sz w:val="32"/>
          <w:szCs w:val="32"/>
        </w:rPr>
        <w:t>，</w:t>
      </w:r>
      <w:r>
        <w:rPr>
          <w:rFonts w:ascii="仿宋" w:hAnsi="仿宋" w:eastAsia="仿宋" w:cs="仿宋"/>
          <w:spacing w:val="-6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36"/>
          <w:w w:val="94"/>
          <w:sz w:val="32"/>
          <w:szCs w:val="32"/>
        </w:rPr>
        <w:t>７</w:t>
      </w:r>
      <w:r>
        <w:rPr>
          <w:rFonts w:ascii="仿宋" w:hAnsi="仿宋" w:eastAsia="仿宋" w:cs="仿宋"/>
          <w:spacing w:val="4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36"/>
          <w:w w:val="94"/>
          <w:sz w:val="32"/>
          <w:szCs w:val="32"/>
        </w:rPr>
        <w:t>９</w:t>
      </w:r>
      <w:r>
        <w:rPr>
          <w:rFonts w:ascii="仿宋" w:hAnsi="仿宋" w:eastAsia="仿宋" w:cs="仿宋"/>
          <w:spacing w:val="4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36"/>
          <w:w w:val="94"/>
          <w:sz w:val="32"/>
          <w:szCs w:val="32"/>
        </w:rPr>
        <w:t>３</w:t>
      </w:r>
      <w:r>
        <w:rPr>
          <w:rFonts w:ascii="仿宋" w:hAnsi="仿宋" w:eastAsia="仿宋" w:cs="仿宋"/>
          <w:spacing w:val="-3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名党员信息全部录入到全国党员信息系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统，已实现党组织关系网上一键转接。每年对党员人数、奖</w:t>
      </w:r>
      <w:r>
        <w:rPr>
          <w:rFonts w:ascii="仿宋" w:hAnsi="仿宋" w:eastAsia="仿宋" w:cs="仿宋"/>
          <w:spacing w:val="1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惩情况、支部设立等数据变更进行汇总，形成党内统计年报</w:t>
      </w:r>
      <w:r>
        <w:rPr>
          <w:rFonts w:ascii="仿宋" w:hAnsi="仿宋" w:eastAsia="仿宋" w:cs="仿宋"/>
          <w:spacing w:val="1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3"/>
          <w:sz w:val="32"/>
          <w:szCs w:val="32"/>
        </w:rPr>
        <w:t>表。</w:t>
      </w:r>
    </w:p>
    <w:p w14:paraId="2D897098">
      <w:pPr>
        <w:spacing w:before="112" w:line="192" w:lineRule="auto"/>
        <w:ind w:firstLine="147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-10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附件</w:t>
      </w:r>
      <w:r>
        <w:rPr>
          <w:rFonts w:ascii="楷体" w:hAnsi="楷体" w:eastAsia="楷体" w:cs="楷体"/>
          <w:spacing w:val="-73"/>
          <w:sz w:val="32"/>
          <w:szCs w:val="32"/>
        </w:rPr>
        <w:t xml:space="preserve"> </w:t>
      </w:r>
      <w:r>
        <w:rPr>
          <w:rFonts w:ascii="楷体" w:hAnsi="楷体" w:eastAsia="楷体" w:cs="楷体"/>
          <w:spacing w:val="-10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4：</w:t>
      </w:r>
    </w:p>
    <w:p w14:paraId="7991EF34">
      <w:pPr>
        <w:spacing w:before="113" w:line="180" w:lineRule="auto"/>
        <w:ind w:firstLine="1854"/>
        <w:rPr>
          <w:rFonts w:ascii="微软雅黑" w:hAnsi="微软雅黑" w:eastAsia="微软雅黑" w:cs="微软雅黑"/>
          <w:sz w:val="44"/>
          <w:szCs w:val="44"/>
        </w:rPr>
      </w:pPr>
      <w:r>
        <w:rPr>
          <w:rFonts w:ascii="微软雅黑" w:hAnsi="微软雅黑" w:eastAsia="微软雅黑" w:cs="微软雅黑"/>
          <w:spacing w:val="-1"/>
          <w:sz w:val="44"/>
          <w:szCs w:val="44"/>
        </w:rPr>
        <w:t>部门整体支出绩效自评表</w:t>
      </w:r>
    </w:p>
    <w:p w14:paraId="0FE8CB0A">
      <w:pPr>
        <w:spacing w:before="22" w:line="192" w:lineRule="auto"/>
        <w:ind w:firstLine="3676"/>
        <w:rPr>
          <w:rFonts w:ascii="楷体" w:hAnsi="楷体" w:eastAsia="楷体" w:cs="楷体"/>
          <w:sz w:val="18"/>
          <w:szCs w:val="18"/>
        </w:rPr>
      </w:pPr>
      <w:r>
        <w:rPr>
          <w:rFonts w:ascii="楷体" w:hAnsi="楷体" w:eastAsia="楷体" w:cs="楷体"/>
          <w:spacing w:val="-4"/>
          <w:sz w:val="18"/>
          <w:szCs w:val="18"/>
        </w:rPr>
        <w:t>（</w:t>
      </w:r>
      <w:r>
        <w:rPr>
          <w:rFonts w:ascii="楷体" w:hAnsi="楷体" w:eastAsia="楷体" w:cs="楷体"/>
          <w:spacing w:val="7"/>
          <w:sz w:val="18"/>
          <w:szCs w:val="18"/>
        </w:rPr>
        <w:t xml:space="preserve"> </w:t>
      </w:r>
      <w:r>
        <w:rPr>
          <w:rFonts w:ascii="楷体" w:hAnsi="楷体" w:eastAsia="楷体" w:cs="楷体"/>
          <w:spacing w:val="-4"/>
          <w:sz w:val="18"/>
          <w:szCs w:val="18"/>
        </w:rPr>
        <w:t>2020</w:t>
      </w:r>
      <w:r>
        <w:rPr>
          <w:rFonts w:ascii="楷体" w:hAnsi="楷体" w:eastAsia="楷体" w:cs="楷体"/>
          <w:spacing w:val="-40"/>
          <w:sz w:val="18"/>
          <w:szCs w:val="18"/>
        </w:rPr>
        <w:t xml:space="preserve"> </w:t>
      </w:r>
      <w:r>
        <w:rPr>
          <w:rFonts w:ascii="楷体" w:hAnsi="楷体" w:eastAsia="楷体" w:cs="楷体"/>
          <w:spacing w:val="-4"/>
          <w:sz w:val="18"/>
          <w:szCs w:val="18"/>
        </w:rPr>
        <w:t>年度）</w:t>
      </w:r>
    </w:p>
    <w:p w14:paraId="3215079F">
      <w:pPr>
        <w:spacing w:line="100" w:lineRule="exact"/>
      </w:pPr>
    </w:p>
    <w:tbl>
      <w:tblPr>
        <w:tblStyle w:val="4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0"/>
        <w:gridCol w:w="250"/>
        <w:gridCol w:w="1367"/>
        <w:gridCol w:w="523"/>
        <w:gridCol w:w="230"/>
        <w:gridCol w:w="4541"/>
        <w:gridCol w:w="1025"/>
      </w:tblGrid>
      <w:tr w14:paraId="5DEC18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840" w:type="dxa"/>
            <w:gridSpan w:val="2"/>
            <w:vAlign w:val="top"/>
          </w:tcPr>
          <w:p w14:paraId="3C20A68B">
            <w:pPr>
              <w:spacing w:before="36" w:line="215" w:lineRule="auto"/>
              <w:ind w:left="175" w:right="146" w:hanging="2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评价部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18"/>
                <w:szCs w:val="18"/>
              </w:rPr>
              <w:t>门名称</w:t>
            </w:r>
          </w:p>
        </w:tc>
        <w:tc>
          <w:tcPr>
            <w:tcW w:w="1890" w:type="dxa"/>
            <w:gridSpan w:val="2"/>
            <w:vAlign w:val="top"/>
          </w:tcPr>
          <w:p w14:paraId="7DB7DF4D">
            <w:pPr>
              <w:spacing w:before="36" w:line="215" w:lineRule="auto"/>
              <w:ind w:left="140" w:right="133" w:firstLine="1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中共景德镇市珠山区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直属机关工作委员会</w:t>
            </w:r>
          </w:p>
        </w:tc>
        <w:tc>
          <w:tcPr>
            <w:tcW w:w="4771" w:type="dxa"/>
            <w:gridSpan w:val="2"/>
            <w:vAlign w:val="top"/>
          </w:tcPr>
          <w:p w14:paraId="750A6310">
            <w:pPr>
              <w:spacing w:before="156" w:line="184" w:lineRule="auto"/>
              <w:ind w:firstLine="185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下属单位个数</w:t>
            </w:r>
          </w:p>
        </w:tc>
        <w:tc>
          <w:tcPr>
            <w:tcW w:w="1025" w:type="dxa"/>
            <w:vAlign w:val="top"/>
          </w:tcPr>
          <w:p w14:paraId="095AE3E4">
            <w:pPr>
              <w:spacing w:before="183" w:line="180" w:lineRule="auto"/>
              <w:ind w:firstLine="47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０</w:t>
            </w:r>
          </w:p>
        </w:tc>
      </w:tr>
      <w:tr w14:paraId="312729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840" w:type="dxa"/>
            <w:gridSpan w:val="2"/>
            <w:vMerge w:val="restart"/>
            <w:tcBorders>
              <w:bottom w:val="nil"/>
            </w:tcBorders>
            <w:vAlign w:val="top"/>
          </w:tcPr>
          <w:p w14:paraId="2746AA99">
            <w:pPr>
              <w:spacing w:line="314" w:lineRule="auto"/>
              <w:rPr>
                <w:rFonts w:ascii="宋体"/>
                <w:sz w:val="21"/>
              </w:rPr>
            </w:pPr>
          </w:p>
          <w:p w14:paraId="62630D67">
            <w:pPr>
              <w:spacing w:line="315" w:lineRule="auto"/>
              <w:rPr>
                <w:rFonts w:ascii="宋体"/>
                <w:sz w:val="21"/>
              </w:rPr>
            </w:pPr>
          </w:p>
          <w:p w14:paraId="7ECA358B">
            <w:pPr>
              <w:spacing w:line="315" w:lineRule="auto"/>
              <w:rPr>
                <w:rFonts w:ascii="宋体"/>
                <w:sz w:val="21"/>
              </w:rPr>
            </w:pPr>
          </w:p>
          <w:p w14:paraId="0D5798DE">
            <w:pPr>
              <w:spacing w:before="59" w:line="246" w:lineRule="auto"/>
              <w:ind w:left="170" w:right="146" w:hanging="1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整体支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出规模</w:t>
            </w:r>
          </w:p>
        </w:tc>
        <w:tc>
          <w:tcPr>
            <w:tcW w:w="1367" w:type="dxa"/>
            <w:vAlign w:val="top"/>
          </w:tcPr>
          <w:p w14:paraId="6C11B39E">
            <w:pPr>
              <w:rPr>
                <w:rFonts w:ascii="宋体"/>
                <w:sz w:val="21"/>
              </w:rPr>
            </w:pPr>
          </w:p>
        </w:tc>
        <w:tc>
          <w:tcPr>
            <w:tcW w:w="753" w:type="dxa"/>
            <w:gridSpan w:val="2"/>
            <w:vAlign w:val="top"/>
          </w:tcPr>
          <w:p w14:paraId="2364451D">
            <w:pPr>
              <w:spacing w:before="31" w:line="184" w:lineRule="auto"/>
              <w:ind w:firstLine="19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全年</w:t>
            </w:r>
          </w:p>
          <w:p w14:paraId="6DC633DB">
            <w:pPr>
              <w:spacing w:before="60" w:line="184" w:lineRule="auto"/>
              <w:ind w:firstLine="20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预算</w:t>
            </w:r>
          </w:p>
          <w:p w14:paraId="30F6582C">
            <w:pPr>
              <w:spacing w:before="60" w:line="184" w:lineRule="auto"/>
              <w:ind w:firstLine="29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数</w:t>
            </w:r>
          </w:p>
        </w:tc>
        <w:tc>
          <w:tcPr>
            <w:tcW w:w="4541" w:type="dxa"/>
            <w:vAlign w:val="top"/>
          </w:tcPr>
          <w:p w14:paraId="07A4DD12">
            <w:pPr>
              <w:spacing w:before="271" w:line="184" w:lineRule="auto"/>
              <w:ind w:firstLine="182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全年执行数</w:t>
            </w:r>
          </w:p>
        </w:tc>
        <w:tc>
          <w:tcPr>
            <w:tcW w:w="1025" w:type="dxa"/>
            <w:vAlign w:val="top"/>
          </w:tcPr>
          <w:p w14:paraId="0B32A7F6">
            <w:pPr>
              <w:spacing w:before="271" w:line="184" w:lineRule="auto"/>
              <w:ind w:firstLine="24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执行率</w:t>
            </w:r>
          </w:p>
        </w:tc>
      </w:tr>
      <w:tr w14:paraId="164951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40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4CB51B45">
            <w:pPr>
              <w:rPr>
                <w:rFonts w:ascii="宋体"/>
                <w:sz w:val="21"/>
              </w:rPr>
            </w:pPr>
          </w:p>
        </w:tc>
        <w:tc>
          <w:tcPr>
            <w:tcW w:w="1367" w:type="dxa"/>
            <w:vAlign w:val="top"/>
          </w:tcPr>
          <w:p w14:paraId="40EF60E4">
            <w:pPr>
              <w:spacing w:before="34" w:line="215" w:lineRule="auto"/>
              <w:ind w:left="325" w:right="27" w:hanging="20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资金来源</w:t>
            </w:r>
            <w:r>
              <w:rPr>
                <w:rFonts w:ascii="宋体" w:hAnsi="宋体" w:eastAsia="宋体" w:cs="宋体"/>
                <w:spacing w:val="-72"/>
                <w:sz w:val="18"/>
                <w:szCs w:val="18"/>
              </w:rPr>
              <w:t>：（</w:t>
            </w:r>
            <w:r>
              <w:rPr>
                <w:rFonts w:ascii="宋体" w:hAnsi="宋体" w:eastAsia="宋体" w:cs="宋体"/>
                <w:spacing w:val="-4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1）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财政拨款</w:t>
            </w:r>
          </w:p>
        </w:tc>
        <w:tc>
          <w:tcPr>
            <w:tcW w:w="753" w:type="dxa"/>
            <w:gridSpan w:val="2"/>
            <w:vAlign w:val="top"/>
          </w:tcPr>
          <w:p w14:paraId="7C957409">
            <w:pPr>
              <w:rPr>
                <w:rFonts w:ascii="宋体"/>
                <w:sz w:val="21"/>
              </w:rPr>
            </w:pPr>
          </w:p>
        </w:tc>
        <w:tc>
          <w:tcPr>
            <w:tcW w:w="4541" w:type="dxa"/>
            <w:vAlign w:val="top"/>
          </w:tcPr>
          <w:p w14:paraId="65B4972E">
            <w:pPr>
              <w:spacing w:before="183" w:line="180" w:lineRule="auto"/>
              <w:ind w:firstLine="209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8.52</w:t>
            </w:r>
          </w:p>
        </w:tc>
        <w:tc>
          <w:tcPr>
            <w:tcW w:w="1025" w:type="dxa"/>
            <w:vAlign w:val="top"/>
          </w:tcPr>
          <w:p w14:paraId="15721B5B">
            <w:pPr>
              <w:spacing w:before="154" w:line="184" w:lineRule="auto"/>
              <w:ind w:firstLine="35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100%</w:t>
            </w:r>
          </w:p>
        </w:tc>
      </w:tr>
      <w:tr w14:paraId="06F8B5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40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5FB70CF1">
            <w:pPr>
              <w:rPr>
                <w:rFonts w:ascii="宋体"/>
                <w:sz w:val="21"/>
              </w:rPr>
            </w:pPr>
          </w:p>
        </w:tc>
        <w:tc>
          <w:tcPr>
            <w:tcW w:w="1367" w:type="dxa"/>
            <w:vAlign w:val="top"/>
          </w:tcPr>
          <w:p w14:paraId="6D24887D">
            <w:pPr>
              <w:spacing w:before="275" w:line="184" w:lineRule="auto"/>
              <w:ind w:firstLine="11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8"/>
                <w:w w:val="96"/>
                <w:sz w:val="18"/>
                <w:szCs w:val="18"/>
              </w:rPr>
              <w:t>（2）</w:t>
            </w:r>
            <w:r>
              <w:rPr>
                <w:rFonts w:ascii="宋体" w:hAnsi="宋体" w:eastAsia="宋体" w:cs="宋体"/>
                <w:spacing w:val="-18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w w:val="96"/>
                <w:sz w:val="18"/>
                <w:szCs w:val="18"/>
              </w:rPr>
              <w:t>其他资金</w:t>
            </w:r>
          </w:p>
        </w:tc>
        <w:tc>
          <w:tcPr>
            <w:tcW w:w="753" w:type="dxa"/>
            <w:gridSpan w:val="2"/>
            <w:vAlign w:val="top"/>
          </w:tcPr>
          <w:p w14:paraId="7A3AD30B">
            <w:pPr>
              <w:rPr>
                <w:rFonts w:ascii="宋体"/>
                <w:sz w:val="21"/>
              </w:rPr>
            </w:pPr>
          </w:p>
        </w:tc>
        <w:tc>
          <w:tcPr>
            <w:tcW w:w="4541" w:type="dxa"/>
            <w:vAlign w:val="top"/>
          </w:tcPr>
          <w:p w14:paraId="06CA9F1C">
            <w:pPr>
              <w:rPr>
                <w:rFonts w:ascii="宋体"/>
                <w:sz w:val="21"/>
              </w:rPr>
            </w:pPr>
          </w:p>
        </w:tc>
        <w:tc>
          <w:tcPr>
            <w:tcW w:w="1025" w:type="dxa"/>
            <w:vAlign w:val="top"/>
          </w:tcPr>
          <w:p w14:paraId="2A1E3F79">
            <w:pPr>
              <w:rPr>
                <w:rFonts w:ascii="宋体"/>
                <w:sz w:val="21"/>
              </w:rPr>
            </w:pPr>
          </w:p>
        </w:tc>
      </w:tr>
      <w:tr w14:paraId="7EAAB3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40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0DCCA487">
            <w:pPr>
              <w:rPr>
                <w:rFonts w:ascii="宋体"/>
                <w:sz w:val="21"/>
              </w:rPr>
            </w:pPr>
          </w:p>
        </w:tc>
        <w:tc>
          <w:tcPr>
            <w:tcW w:w="1367" w:type="dxa"/>
            <w:vAlign w:val="top"/>
          </w:tcPr>
          <w:p w14:paraId="678D2B30">
            <w:pPr>
              <w:spacing w:before="35" w:line="215" w:lineRule="auto"/>
              <w:ind w:left="325" w:right="27" w:hanging="20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资金结构</w:t>
            </w:r>
            <w:r>
              <w:rPr>
                <w:rFonts w:ascii="宋体" w:hAnsi="宋体" w:eastAsia="宋体" w:cs="宋体"/>
                <w:spacing w:val="-72"/>
                <w:sz w:val="18"/>
                <w:szCs w:val="18"/>
              </w:rPr>
              <w:t>：（</w:t>
            </w:r>
            <w:r>
              <w:rPr>
                <w:rFonts w:ascii="宋体" w:hAnsi="宋体" w:eastAsia="宋体" w:cs="宋体"/>
                <w:spacing w:val="-4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1）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基本支出</w:t>
            </w:r>
          </w:p>
        </w:tc>
        <w:tc>
          <w:tcPr>
            <w:tcW w:w="753" w:type="dxa"/>
            <w:gridSpan w:val="2"/>
            <w:vAlign w:val="top"/>
          </w:tcPr>
          <w:p w14:paraId="3B402D2B">
            <w:pPr>
              <w:rPr>
                <w:rFonts w:ascii="宋体"/>
                <w:sz w:val="21"/>
              </w:rPr>
            </w:pPr>
          </w:p>
        </w:tc>
        <w:tc>
          <w:tcPr>
            <w:tcW w:w="4541" w:type="dxa"/>
            <w:vAlign w:val="top"/>
          </w:tcPr>
          <w:p w14:paraId="13C62356">
            <w:pPr>
              <w:spacing w:before="183" w:line="180" w:lineRule="auto"/>
              <w:ind w:firstLine="209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8.52</w:t>
            </w:r>
          </w:p>
        </w:tc>
        <w:tc>
          <w:tcPr>
            <w:tcW w:w="1025" w:type="dxa"/>
            <w:vAlign w:val="top"/>
          </w:tcPr>
          <w:p w14:paraId="54EE87EA">
            <w:pPr>
              <w:spacing w:before="154" w:line="184" w:lineRule="auto"/>
              <w:ind w:firstLine="35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100%</w:t>
            </w:r>
          </w:p>
        </w:tc>
      </w:tr>
      <w:tr w14:paraId="7CE8C7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40" w:type="dxa"/>
            <w:gridSpan w:val="2"/>
            <w:vMerge w:val="continue"/>
            <w:tcBorders>
              <w:top w:val="nil"/>
            </w:tcBorders>
            <w:vAlign w:val="top"/>
          </w:tcPr>
          <w:p w14:paraId="150DD69A">
            <w:pPr>
              <w:rPr>
                <w:rFonts w:ascii="宋体"/>
                <w:sz w:val="21"/>
              </w:rPr>
            </w:pPr>
          </w:p>
        </w:tc>
        <w:tc>
          <w:tcPr>
            <w:tcW w:w="1367" w:type="dxa"/>
            <w:vAlign w:val="top"/>
          </w:tcPr>
          <w:p w14:paraId="701B1599">
            <w:pPr>
              <w:spacing w:before="274" w:line="184" w:lineRule="auto"/>
              <w:ind w:firstLine="11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8"/>
                <w:w w:val="96"/>
                <w:sz w:val="18"/>
                <w:szCs w:val="18"/>
              </w:rPr>
              <w:t>（2）</w:t>
            </w:r>
            <w:r>
              <w:rPr>
                <w:rFonts w:ascii="宋体" w:hAnsi="宋体" w:eastAsia="宋体" w:cs="宋体"/>
                <w:spacing w:val="-18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w w:val="96"/>
                <w:sz w:val="18"/>
                <w:szCs w:val="18"/>
              </w:rPr>
              <w:t>项目支出</w:t>
            </w:r>
          </w:p>
        </w:tc>
        <w:tc>
          <w:tcPr>
            <w:tcW w:w="753" w:type="dxa"/>
            <w:gridSpan w:val="2"/>
            <w:vAlign w:val="top"/>
          </w:tcPr>
          <w:p w14:paraId="55E2F7EA">
            <w:pPr>
              <w:rPr>
                <w:rFonts w:ascii="宋体"/>
                <w:sz w:val="21"/>
              </w:rPr>
            </w:pPr>
          </w:p>
        </w:tc>
        <w:tc>
          <w:tcPr>
            <w:tcW w:w="4541" w:type="dxa"/>
            <w:vAlign w:val="top"/>
          </w:tcPr>
          <w:p w14:paraId="39C6854F">
            <w:pPr>
              <w:rPr>
                <w:rFonts w:ascii="宋体"/>
                <w:sz w:val="21"/>
              </w:rPr>
            </w:pPr>
          </w:p>
        </w:tc>
        <w:tc>
          <w:tcPr>
            <w:tcW w:w="1025" w:type="dxa"/>
            <w:vAlign w:val="top"/>
          </w:tcPr>
          <w:p w14:paraId="219F9902">
            <w:pPr>
              <w:rPr>
                <w:rFonts w:ascii="宋体"/>
                <w:sz w:val="21"/>
              </w:rPr>
            </w:pPr>
          </w:p>
        </w:tc>
      </w:tr>
      <w:tr w14:paraId="5FB593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590" w:type="dxa"/>
            <w:vMerge w:val="restart"/>
            <w:tcBorders>
              <w:bottom w:val="nil"/>
            </w:tcBorders>
            <w:vAlign w:val="top"/>
          </w:tcPr>
          <w:p w14:paraId="20A8CEDC">
            <w:pPr>
              <w:spacing w:line="268" w:lineRule="auto"/>
              <w:rPr>
                <w:rFonts w:ascii="宋体"/>
                <w:sz w:val="21"/>
              </w:rPr>
            </w:pPr>
          </w:p>
          <w:p w14:paraId="0DA12528">
            <w:pPr>
              <w:spacing w:line="268" w:lineRule="auto"/>
              <w:rPr>
                <w:rFonts w:ascii="宋体"/>
                <w:sz w:val="21"/>
              </w:rPr>
            </w:pPr>
          </w:p>
          <w:p w14:paraId="1FF0206B">
            <w:pPr>
              <w:spacing w:line="269" w:lineRule="auto"/>
              <w:rPr>
                <w:rFonts w:ascii="宋体"/>
                <w:sz w:val="21"/>
              </w:rPr>
            </w:pPr>
          </w:p>
          <w:p w14:paraId="78174D99">
            <w:pPr>
              <w:spacing w:line="269" w:lineRule="auto"/>
              <w:rPr>
                <w:rFonts w:ascii="宋体"/>
                <w:sz w:val="21"/>
              </w:rPr>
            </w:pPr>
          </w:p>
          <w:p w14:paraId="117D6911">
            <w:pPr>
              <w:spacing w:line="269" w:lineRule="auto"/>
              <w:rPr>
                <w:rFonts w:ascii="宋体"/>
                <w:sz w:val="21"/>
              </w:rPr>
            </w:pPr>
          </w:p>
          <w:p w14:paraId="361E9292">
            <w:pPr>
              <w:spacing w:line="269" w:lineRule="auto"/>
              <w:rPr>
                <w:rFonts w:ascii="宋体"/>
                <w:sz w:val="21"/>
              </w:rPr>
            </w:pPr>
          </w:p>
          <w:p w14:paraId="6DAE566F">
            <w:pPr>
              <w:spacing w:line="269" w:lineRule="auto"/>
              <w:rPr>
                <w:rFonts w:ascii="宋体"/>
                <w:sz w:val="21"/>
              </w:rPr>
            </w:pPr>
          </w:p>
          <w:p w14:paraId="375D804C">
            <w:pPr>
              <w:spacing w:before="59" w:line="246" w:lineRule="auto"/>
              <w:ind w:left="124" w:right="112" w:hanging="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年度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总体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目标</w:t>
            </w:r>
          </w:p>
        </w:tc>
        <w:tc>
          <w:tcPr>
            <w:tcW w:w="2140" w:type="dxa"/>
            <w:gridSpan w:val="3"/>
            <w:vAlign w:val="top"/>
          </w:tcPr>
          <w:p w14:paraId="61C7D2B8">
            <w:pPr>
              <w:spacing w:before="34" w:line="184" w:lineRule="auto"/>
              <w:ind w:firstLine="53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年初设定目标</w:t>
            </w:r>
          </w:p>
        </w:tc>
        <w:tc>
          <w:tcPr>
            <w:tcW w:w="5796" w:type="dxa"/>
            <w:gridSpan w:val="3"/>
            <w:vAlign w:val="top"/>
          </w:tcPr>
          <w:p w14:paraId="765DD30E">
            <w:pPr>
              <w:spacing w:before="34" w:line="184" w:lineRule="auto"/>
              <w:ind w:firstLine="236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全年完成情况</w:t>
            </w:r>
          </w:p>
        </w:tc>
      </w:tr>
      <w:tr w14:paraId="6256CD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5" w:hRule="atLeast"/>
        </w:trPr>
        <w:tc>
          <w:tcPr>
            <w:tcW w:w="590" w:type="dxa"/>
            <w:vMerge w:val="continue"/>
            <w:tcBorders>
              <w:top w:val="nil"/>
            </w:tcBorders>
            <w:vAlign w:val="top"/>
          </w:tcPr>
          <w:p w14:paraId="0A46A2E5">
            <w:pPr>
              <w:rPr>
                <w:rFonts w:ascii="宋体"/>
                <w:sz w:val="21"/>
              </w:rPr>
            </w:pPr>
          </w:p>
        </w:tc>
        <w:tc>
          <w:tcPr>
            <w:tcW w:w="2140" w:type="dxa"/>
            <w:gridSpan w:val="3"/>
            <w:vAlign w:val="top"/>
          </w:tcPr>
          <w:p w14:paraId="77988AC9">
            <w:pPr>
              <w:spacing w:line="258" w:lineRule="auto"/>
              <w:rPr>
                <w:rFonts w:ascii="宋体"/>
                <w:sz w:val="21"/>
              </w:rPr>
            </w:pPr>
          </w:p>
          <w:p w14:paraId="4FC4DEAD">
            <w:pPr>
              <w:spacing w:line="259" w:lineRule="auto"/>
              <w:rPr>
                <w:rFonts w:ascii="宋体"/>
                <w:sz w:val="21"/>
              </w:rPr>
            </w:pPr>
          </w:p>
          <w:p w14:paraId="46550AAC">
            <w:pPr>
              <w:spacing w:line="259" w:lineRule="auto"/>
              <w:rPr>
                <w:rFonts w:ascii="宋体"/>
                <w:sz w:val="21"/>
              </w:rPr>
            </w:pPr>
          </w:p>
          <w:p w14:paraId="7B242486">
            <w:pPr>
              <w:spacing w:line="259" w:lineRule="auto"/>
              <w:rPr>
                <w:rFonts w:ascii="宋体"/>
                <w:sz w:val="21"/>
              </w:rPr>
            </w:pPr>
          </w:p>
          <w:p w14:paraId="51FD106C">
            <w:pPr>
              <w:spacing w:before="58" w:line="239" w:lineRule="auto"/>
              <w:ind w:left="109" w:right="104" w:firstLine="1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1、通过抓好日常学习、</w:t>
            </w: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找准重点学习、抓好“双</w:t>
            </w:r>
            <w:r>
              <w:rPr>
                <w:rFonts w:ascii="宋体" w:hAnsi="宋体" w:eastAsia="宋体" w:cs="宋体"/>
                <w:spacing w:val="6"/>
                <w:w w:val="10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促进”学习、加强机关党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18"/>
                <w:szCs w:val="18"/>
              </w:rPr>
              <w:t>员干部教育培训抓好党</w:t>
            </w: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员学习。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             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２</w:t>
            </w: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、抓好党建业务双融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>合。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                 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３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、夯实党建设工作基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础。</w:t>
            </w:r>
          </w:p>
        </w:tc>
        <w:tc>
          <w:tcPr>
            <w:tcW w:w="5796" w:type="dxa"/>
            <w:gridSpan w:val="3"/>
            <w:vAlign w:val="top"/>
          </w:tcPr>
          <w:p w14:paraId="3F77CD2D">
            <w:pPr>
              <w:spacing w:before="33" w:line="246" w:lineRule="auto"/>
              <w:ind w:left="111" w:right="106" w:firstLine="5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2"/>
                <w:sz w:val="18"/>
                <w:szCs w:val="18"/>
              </w:rPr>
              <w:t>１</w:t>
            </w:r>
            <w:r>
              <w:rPr>
                <w:rFonts w:ascii="宋体" w:hAnsi="宋体" w:eastAsia="宋体" w:cs="宋体"/>
                <w:spacing w:val="-20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18"/>
                <w:szCs w:val="18"/>
              </w:rPr>
              <w:t>、通过学习使党员坚定“四个意识”、</w:t>
            </w:r>
            <w:r>
              <w:rPr>
                <w:rFonts w:ascii="宋体" w:hAnsi="宋体" w:eastAsia="宋体" w:cs="宋体"/>
                <w:spacing w:val="-1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18"/>
                <w:szCs w:val="18"/>
              </w:rPr>
              <w:t>增强“四个自信”自觉做到“两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w w:val="101"/>
                <w:sz w:val="18"/>
                <w:szCs w:val="18"/>
              </w:rPr>
              <w:t>个维护”</w:t>
            </w:r>
          </w:p>
          <w:p w14:paraId="124D43B4">
            <w:pPr>
              <w:spacing w:before="1" w:line="246" w:lineRule="auto"/>
              <w:ind w:left="111" w:right="104" w:firstLine="4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２</w:t>
            </w:r>
            <w:r>
              <w:rPr>
                <w:rFonts w:ascii="宋体" w:hAnsi="宋体" w:eastAsia="宋体" w:cs="宋体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、一是为充分发挥党员先锋模范作用，不断增强党员的责任意识和奉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献意识，组织区直属机关</w:t>
            </w:r>
            <w:r>
              <w:rPr>
                <w:rFonts w:ascii="宋体" w:hAnsi="宋体" w:eastAsia="宋体" w:cs="宋体"/>
                <w:spacing w:val="-3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55"/>
                <w:w w:val="68"/>
                <w:sz w:val="18"/>
                <w:szCs w:val="18"/>
              </w:rPr>
              <w:t>５</w:t>
            </w:r>
            <w:r>
              <w:rPr>
                <w:rFonts w:ascii="宋体" w:hAnsi="宋体" w:eastAsia="宋体" w:cs="宋体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55"/>
                <w:w w:val="68"/>
                <w:sz w:val="18"/>
                <w:szCs w:val="18"/>
              </w:rPr>
              <w:t>０</w:t>
            </w:r>
            <w:r>
              <w:rPr>
                <w:rFonts w:ascii="宋体" w:hAnsi="宋体" w:eastAsia="宋体" w:cs="宋体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55"/>
                <w:w w:val="68"/>
                <w:sz w:val="18"/>
                <w:szCs w:val="18"/>
              </w:rPr>
              <w:t>０</w:t>
            </w:r>
            <w:r>
              <w:rPr>
                <w:rFonts w:ascii="宋体" w:hAnsi="宋体" w:eastAsia="宋体" w:cs="宋体"/>
                <w:spacing w:val="-2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余名在职党员，组成</w:t>
            </w:r>
            <w:r>
              <w:rPr>
                <w:rFonts w:ascii="宋体" w:hAnsi="宋体" w:eastAsia="宋体" w:cs="宋体"/>
                <w:spacing w:val="-3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55"/>
                <w:w w:val="68"/>
                <w:sz w:val="18"/>
                <w:szCs w:val="18"/>
              </w:rPr>
              <w:t>５</w:t>
            </w:r>
            <w:r>
              <w:rPr>
                <w:rFonts w:ascii="宋体" w:hAnsi="宋体" w:eastAsia="宋体" w:cs="宋体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55"/>
                <w:w w:val="68"/>
                <w:sz w:val="18"/>
                <w:szCs w:val="18"/>
              </w:rPr>
              <w:t>０</w:t>
            </w:r>
            <w:r>
              <w:rPr>
                <w:rFonts w:ascii="宋体" w:hAnsi="宋体" w:eastAsia="宋体" w:cs="宋体"/>
                <w:spacing w:val="-2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余个党员志愿</w:t>
            </w:r>
            <w:r>
              <w:rPr>
                <w:rFonts w:ascii="宋体" w:hAnsi="宋体" w:eastAsia="宋体" w:cs="宋体"/>
                <w:w w:val="10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者队伍，主动投身到防疫一线，到挂点的社区，充实社区力量；</w:t>
            </w:r>
            <w:r>
              <w:rPr>
                <w:rFonts w:ascii="宋体" w:hAnsi="宋体" w:eastAsia="宋体" w:cs="宋体"/>
                <w:spacing w:val="60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二是发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放《抗击疫情捐款倡议书》</w:t>
            </w:r>
            <w:r>
              <w:rPr>
                <w:rFonts w:ascii="宋体" w:hAnsi="宋体" w:eastAsia="宋体" w:cs="宋体"/>
                <w:spacing w:val="29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，积极倡议区直各单位、区属各部门党员干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部和职工爱心捐款，共募得款项</w:t>
            </w:r>
            <w:r>
              <w:rPr>
                <w:rFonts w:ascii="宋体" w:hAnsi="宋体" w:eastAsia="宋体" w:cs="宋体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40</w:t>
            </w:r>
            <w:r>
              <w:rPr>
                <w:rFonts w:ascii="宋体" w:hAnsi="宋体" w:eastAsia="宋体" w:cs="宋体"/>
                <w:spacing w:val="-3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余万元；</w:t>
            </w:r>
            <w:r>
              <w:rPr>
                <w:rFonts w:ascii="宋体" w:hAnsi="宋体" w:eastAsia="宋体" w:cs="宋体"/>
                <w:spacing w:val="4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三是为配合做好欢迎援鄂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医疗队胜利返景仪式的各项工作，组织党员手持鲜花及国旗在指定的点</w:t>
            </w:r>
            <w:r>
              <w:rPr>
                <w:rFonts w:ascii="宋体" w:hAnsi="宋体" w:eastAsia="宋体" w:cs="宋体"/>
                <w:spacing w:val="23"/>
                <w:w w:val="10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位高喊口号，热烈欢迎援鄂医疗队返景,营造了浓厚的“学习英雄、为</w:t>
            </w:r>
            <w:r>
              <w:rPr>
                <w:rFonts w:ascii="宋体" w:hAnsi="宋体" w:eastAsia="宋体" w:cs="宋体"/>
                <w:spacing w:val="20"/>
                <w:w w:val="10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国效力”的氛围；</w:t>
            </w:r>
          </w:p>
          <w:p w14:paraId="720E3D57">
            <w:pPr>
              <w:spacing w:line="246" w:lineRule="auto"/>
              <w:ind w:left="109" w:right="102" w:firstLine="4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３</w:t>
            </w:r>
            <w:r>
              <w:rPr>
                <w:rFonts w:ascii="宋体" w:hAnsi="宋体" w:eastAsia="宋体" w:cs="宋体"/>
                <w:spacing w:val="12"/>
                <w:w w:val="10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、根据实际及任务分工，及时出台并下发《区直机关工委关于开展区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直机关“双创双修”活动工作方案》</w:t>
            </w:r>
            <w:r>
              <w:rPr>
                <w:rFonts w:ascii="宋体" w:hAnsi="宋体" w:eastAsia="宋体" w:cs="宋体"/>
                <w:spacing w:val="30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，发动区直属各级党组织、党员到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社区报到，并指导各支部结合自身的工作职责，以与社区共建为平台，</w:t>
            </w:r>
            <w:r>
              <w:rPr>
                <w:rFonts w:ascii="宋体" w:hAnsi="宋体" w:eastAsia="宋体" w:cs="宋体"/>
                <w:spacing w:val="30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设立“党员先锋岗”</w:t>
            </w:r>
            <w:r>
              <w:rPr>
                <w:rFonts w:ascii="宋体" w:hAnsi="宋体" w:eastAsia="宋体" w:cs="宋体"/>
                <w:spacing w:val="-60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，积极有序开展“党员志愿服务”、</w:t>
            </w:r>
            <w:r>
              <w:rPr>
                <w:rFonts w:ascii="宋体" w:hAnsi="宋体" w:eastAsia="宋体" w:cs="宋体"/>
                <w:spacing w:val="-90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“我是党员我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带头”等活动，使党支部战斗堡垒作用得到进一步突显，党员队伍得到</w:t>
            </w:r>
            <w:r>
              <w:rPr>
                <w:rFonts w:ascii="宋体" w:hAnsi="宋体" w:eastAsia="宋体" w:cs="宋体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进一步锤炼；</w:t>
            </w:r>
          </w:p>
          <w:p w14:paraId="7088F3B0">
            <w:pPr>
              <w:spacing w:before="2" w:line="230" w:lineRule="auto"/>
              <w:ind w:left="111" w:right="102" w:firstLine="3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４</w:t>
            </w:r>
            <w:r>
              <w:rPr>
                <w:rFonts w:ascii="宋体" w:hAnsi="宋体" w:eastAsia="宋体" w:cs="宋体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、引导区直属各级党组织把脱贫攻坚、社区扩权赋能、市域治理、意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识形态等工作与“三会一课”、主题党日活动有机结合起来，开展一对</w:t>
            </w:r>
            <w:r>
              <w:rPr>
                <w:rFonts w:ascii="宋体" w:hAnsi="宋体" w:eastAsia="宋体" w:cs="宋体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一帮扶、党员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志愿者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、认领“微心愿”、政策宣讲、法律知识宣讲等活</w:t>
            </w:r>
            <w:r>
              <w:rPr>
                <w:rFonts w:ascii="宋体" w:hAnsi="宋体" w:eastAsia="宋体" w:cs="宋体"/>
                <w:spacing w:val="28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动,并对活动开展情况进行经常的提醒和督促。</w:t>
            </w:r>
          </w:p>
        </w:tc>
      </w:tr>
    </w:tbl>
    <w:p w14:paraId="1F71500A">
      <w:pPr>
        <w:rPr>
          <w:rFonts w:ascii="宋体"/>
          <w:sz w:val="21"/>
        </w:rPr>
      </w:pPr>
    </w:p>
    <w:p w14:paraId="37A90B4B">
      <w:pPr>
        <w:sectPr>
          <w:pgSz w:w="11906" w:h="16839"/>
          <w:pgMar w:top="1374" w:right="1687" w:bottom="0" w:left="1687" w:header="0" w:footer="0" w:gutter="0"/>
          <w:cols w:space="720" w:num="1"/>
        </w:sectPr>
      </w:pPr>
    </w:p>
    <w:p w14:paraId="69B43AFC">
      <w:pPr>
        <w:spacing w:line="91" w:lineRule="auto"/>
        <w:rPr>
          <w:rFonts w:ascii="Arial"/>
          <w:sz w:val="2"/>
        </w:rPr>
      </w:pPr>
    </w:p>
    <w:tbl>
      <w:tblPr>
        <w:tblStyle w:val="4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0"/>
        <w:gridCol w:w="190"/>
        <w:gridCol w:w="206"/>
        <w:gridCol w:w="881"/>
        <w:gridCol w:w="1052"/>
        <w:gridCol w:w="1631"/>
        <w:gridCol w:w="2070"/>
        <w:gridCol w:w="585"/>
        <w:gridCol w:w="486"/>
        <w:gridCol w:w="396"/>
        <w:gridCol w:w="629"/>
      </w:tblGrid>
      <w:tr w14:paraId="0E04D6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590" w:type="dxa"/>
            <w:gridSpan w:val="2"/>
            <w:vAlign w:val="top"/>
          </w:tcPr>
          <w:p w14:paraId="57E9386A">
            <w:pPr>
              <w:spacing w:line="250" w:lineRule="exact"/>
              <w:rPr>
                <w:rFonts w:ascii="宋体"/>
                <w:sz w:val="19"/>
              </w:rPr>
            </w:pPr>
          </w:p>
        </w:tc>
        <w:tc>
          <w:tcPr>
            <w:tcW w:w="2139" w:type="dxa"/>
            <w:gridSpan w:val="3"/>
            <w:vAlign w:val="top"/>
          </w:tcPr>
          <w:p w14:paraId="75246E77">
            <w:pPr>
              <w:spacing w:line="250" w:lineRule="exact"/>
              <w:rPr>
                <w:rFonts w:ascii="宋体"/>
                <w:sz w:val="19"/>
              </w:rPr>
            </w:pPr>
          </w:p>
        </w:tc>
        <w:tc>
          <w:tcPr>
            <w:tcW w:w="5797" w:type="dxa"/>
            <w:gridSpan w:val="6"/>
            <w:vAlign w:val="top"/>
          </w:tcPr>
          <w:p w14:paraId="7F75B48E">
            <w:pPr>
              <w:spacing w:line="250" w:lineRule="exact"/>
              <w:rPr>
                <w:rFonts w:ascii="宋体"/>
                <w:sz w:val="19"/>
              </w:rPr>
            </w:pPr>
          </w:p>
        </w:tc>
      </w:tr>
      <w:tr w14:paraId="69CC2B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8526" w:type="dxa"/>
            <w:gridSpan w:val="11"/>
            <w:vAlign w:val="top"/>
          </w:tcPr>
          <w:p w14:paraId="69CF3A73">
            <w:pPr>
              <w:spacing w:before="30" w:line="184" w:lineRule="auto"/>
              <w:ind w:firstLine="372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分解目标自评</w:t>
            </w:r>
          </w:p>
        </w:tc>
      </w:tr>
      <w:tr w14:paraId="7CF653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400" w:type="dxa"/>
            <w:textDirection w:val="tbRlV"/>
            <w:vAlign w:val="top"/>
          </w:tcPr>
          <w:p w14:paraId="79602263">
            <w:pPr>
              <w:spacing w:before="107" w:line="180" w:lineRule="auto"/>
              <w:ind w:firstLine="9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7"/>
                <w:w w:val="96"/>
                <w:sz w:val="18"/>
                <w:szCs w:val="18"/>
              </w:rPr>
              <w:t>一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7"/>
                <w:w w:val="96"/>
                <w:sz w:val="18"/>
                <w:szCs w:val="18"/>
              </w:rPr>
              <w:t>级</w:t>
            </w:r>
            <w:r>
              <w:rPr>
                <w:rFonts w:ascii="宋体" w:hAnsi="宋体" w:eastAsia="宋体" w:cs="宋体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7"/>
                <w:w w:val="96"/>
                <w:sz w:val="18"/>
                <w:szCs w:val="18"/>
              </w:rPr>
              <w:t>指</w:t>
            </w:r>
            <w:r>
              <w:rPr>
                <w:rFonts w:ascii="宋体" w:hAnsi="宋体" w:eastAsia="宋体" w:cs="宋体"/>
                <w:spacing w:val="-30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7"/>
                <w:w w:val="96"/>
                <w:sz w:val="18"/>
                <w:szCs w:val="18"/>
              </w:rPr>
              <w:t>标</w:t>
            </w:r>
          </w:p>
        </w:tc>
        <w:tc>
          <w:tcPr>
            <w:tcW w:w="396" w:type="dxa"/>
            <w:gridSpan w:val="2"/>
            <w:textDirection w:val="tbRlV"/>
            <w:vAlign w:val="top"/>
          </w:tcPr>
          <w:p w14:paraId="5239E709">
            <w:pPr>
              <w:spacing w:before="107" w:line="180" w:lineRule="auto"/>
              <w:ind w:firstLine="27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权</w:t>
            </w:r>
            <w:r>
              <w:rPr>
                <w:rFonts w:ascii="宋体" w:hAnsi="宋体" w:eastAsia="宋体" w:cs="宋体"/>
                <w:spacing w:val="-28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重</w:t>
            </w:r>
          </w:p>
        </w:tc>
        <w:tc>
          <w:tcPr>
            <w:tcW w:w="881" w:type="dxa"/>
            <w:vAlign w:val="top"/>
          </w:tcPr>
          <w:p w14:paraId="140C722B">
            <w:pPr>
              <w:spacing w:before="272" w:line="246" w:lineRule="auto"/>
              <w:ind w:left="353" w:right="169" w:hanging="17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二级指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z w:val="18"/>
                <w:szCs w:val="18"/>
              </w:rPr>
              <w:t>标</w:t>
            </w:r>
          </w:p>
        </w:tc>
        <w:tc>
          <w:tcPr>
            <w:tcW w:w="2683" w:type="dxa"/>
            <w:gridSpan w:val="2"/>
            <w:vAlign w:val="top"/>
          </w:tcPr>
          <w:p w14:paraId="651948CA">
            <w:pPr>
              <w:spacing w:line="293" w:lineRule="auto"/>
              <w:rPr>
                <w:rFonts w:ascii="宋体"/>
                <w:sz w:val="21"/>
              </w:rPr>
            </w:pPr>
          </w:p>
          <w:p w14:paraId="7517B81B">
            <w:pPr>
              <w:spacing w:before="59" w:line="184" w:lineRule="auto"/>
              <w:ind w:firstLine="9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三级指标</w:t>
            </w:r>
          </w:p>
        </w:tc>
        <w:tc>
          <w:tcPr>
            <w:tcW w:w="2070" w:type="dxa"/>
            <w:vAlign w:val="top"/>
          </w:tcPr>
          <w:p w14:paraId="055F8C5D">
            <w:pPr>
              <w:spacing w:line="293" w:lineRule="auto"/>
              <w:rPr>
                <w:rFonts w:ascii="宋体"/>
                <w:sz w:val="21"/>
              </w:rPr>
            </w:pPr>
          </w:p>
          <w:p w14:paraId="100CEDF3">
            <w:pPr>
              <w:spacing w:before="59" w:line="184" w:lineRule="auto"/>
              <w:ind w:firstLine="59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年度指标值</w:t>
            </w:r>
          </w:p>
        </w:tc>
        <w:tc>
          <w:tcPr>
            <w:tcW w:w="585" w:type="dxa"/>
            <w:vAlign w:val="top"/>
          </w:tcPr>
          <w:p w14:paraId="745BD7B8">
            <w:pPr>
              <w:spacing w:before="152" w:line="184" w:lineRule="auto"/>
              <w:ind w:firstLine="11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全年</w:t>
            </w:r>
          </w:p>
          <w:p w14:paraId="75C89143">
            <w:pPr>
              <w:spacing w:before="60" w:line="184" w:lineRule="auto"/>
              <w:ind w:firstLine="12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完成</w:t>
            </w:r>
          </w:p>
          <w:p w14:paraId="666451A8">
            <w:pPr>
              <w:spacing w:before="60" w:line="184" w:lineRule="auto"/>
              <w:ind w:firstLine="20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值</w:t>
            </w:r>
          </w:p>
        </w:tc>
        <w:tc>
          <w:tcPr>
            <w:tcW w:w="486" w:type="dxa"/>
            <w:textDirection w:val="tbRlV"/>
            <w:vAlign w:val="top"/>
          </w:tcPr>
          <w:p w14:paraId="640D1148">
            <w:pPr>
              <w:spacing w:before="147" w:line="180" w:lineRule="auto"/>
              <w:ind w:firstLine="27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分</w:t>
            </w:r>
            <w:r>
              <w:rPr>
                <w:rFonts w:ascii="宋体" w:hAnsi="宋体" w:eastAsia="宋体" w:cs="宋体"/>
                <w:spacing w:val="-28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值</w:t>
            </w:r>
          </w:p>
        </w:tc>
        <w:tc>
          <w:tcPr>
            <w:tcW w:w="396" w:type="dxa"/>
            <w:textDirection w:val="tbRlV"/>
            <w:vAlign w:val="top"/>
          </w:tcPr>
          <w:p w14:paraId="665DE56E">
            <w:pPr>
              <w:spacing w:before="104" w:line="180" w:lineRule="auto"/>
              <w:ind w:firstLine="27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得</w:t>
            </w:r>
            <w:r>
              <w:rPr>
                <w:rFonts w:ascii="宋体" w:hAnsi="宋体" w:eastAsia="宋体" w:cs="宋体"/>
                <w:spacing w:val="-28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分</w:t>
            </w:r>
          </w:p>
        </w:tc>
        <w:tc>
          <w:tcPr>
            <w:tcW w:w="629" w:type="dxa"/>
            <w:vAlign w:val="top"/>
          </w:tcPr>
          <w:p w14:paraId="54B58DD1">
            <w:pPr>
              <w:spacing w:before="32" w:line="184" w:lineRule="auto"/>
              <w:ind w:firstLine="13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偏差</w:t>
            </w:r>
          </w:p>
          <w:p w14:paraId="1921551C">
            <w:pPr>
              <w:spacing w:before="60" w:line="184" w:lineRule="auto"/>
              <w:ind w:firstLine="13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及原</w:t>
            </w:r>
          </w:p>
          <w:p w14:paraId="61336DA7">
            <w:pPr>
              <w:spacing w:before="60" w:line="184" w:lineRule="auto"/>
              <w:ind w:firstLine="15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1"/>
                <w:sz w:val="18"/>
                <w:szCs w:val="18"/>
              </w:rPr>
              <w:t>因分</w:t>
            </w:r>
          </w:p>
          <w:p w14:paraId="472A142A">
            <w:pPr>
              <w:spacing w:before="60" w:line="184" w:lineRule="auto"/>
              <w:ind w:firstLine="23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析</w:t>
            </w:r>
          </w:p>
        </w:tc>
      </w:tr>
      <w:tr w14:paraId="101196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5" w:hRule="atLeast"/>
        </w:trPr>
        <w:tc>
          <w:tcPr>
            <w:tcW w:w="400" w:type="dxa"/>
            <w:vMerge w:val="restart"/>
            <w:tcBorders>
              <w:bottom w:val="nil"/>
            </w:tcBorders>
            <w:textDirection w:val="tbRlV"/>
            <w:vAlign w:val="top"/>
          </w:tcPr>
          <w:p w14:paraId="095852F7">
            <w:pPr>
              <w:spacing w:before="107" w:line="180" w:lineRule="auto"/>
              <w:ind w:firstLine="569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管</w:t>
            </w:r>
            <w:r>
              <w:rPr>
                <w:rFonts w:ascii="宋体" w:hAnsi="宋体" w:eastAsia="宋体" w:cs="宋体"/>
                <w:spacing w:val="-2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理</w:t>
            </w:r>
            <w:r>
              <w:rPr>
                <w:rFonts w:ascii="宋体" w:hAnsi="宋体" w:eastAsia="宋体" w:cs="宋体"/>
                <w:spacing w:val="-30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指</w:t>
            </w:r>
            <w:r>
              <w:rPr>
                <w:rFonts w:ascii="宋体" w:hAnsi="宋体" w:eastAsia="宋体" w:cs="宋体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标</w:t>
            </w:r>
          </w:p>
        </w:tc>
        <w:tc>
          <w:tcPr>
            <w:tcW w:w="396" w:type="dxa"/>
            <w:gridSpan w:val="2"/>
            <w:vMerge w:val="restart"/>
            <w:tcBorders>
              <w:bottom w:val="nil"/>
            </w:tcBorders>
            <w:vAlign w:val="top"/>
          </w:tcPr>
          <w:p w14:paraId="32CFB35B">
            <w:pPr>
              <w:rPr>
                <w:rFonts w:ascii="宋体"/>
                <w:sz w:val="21"/>
              </w:rPr>
            </w:pPr>
          </w:p>
          <w:p w14:paraId="38B23303">
            <w:pPr>
              <w:rPr>
                <w:rFonts w:ascii="宋体"/>
                <w:sz w:val="21"/>
              </w:rPr>
            </w:pPr>
          </w:p>
          <w:p w14:paraId="73D172A3">
            <w:pPr>
              <w:rPr>
                <w:rFonts w:ascii="宋体"/>
                <w:sz w:val="21"/>
              </w:rPr>
            </w:pPr>
          </w:p>
          <w:p w14:paraId="7E32311A">
            <w:pPr>
              <w:rPr>
                <w:rFonts w:ascii="宋体"/>
                <w:sz w:val="21"/>
              </w:rPr>
            </w:pPr>
          </w:p>
          <w:p w14:paraId="53B69C82">
            <w:pPr>
              <w:rPr>
                <w:rFonts w:ascii="宋体"/>
                <w:sz w:val="21"/>
              </w:rPr>
            </w:pPr>
          </w:p>
          <w:p w14:paraId="53912456">
            <w:pPr>
              <w:spacing w:line="241" w:lineRule="auto"/>
              <w:rPr>
                <w:rFonts w:ascii="宋体"/>
                <w:sz w:val="21"/>
              </w:rPr>
            </w:pPr>
          </w:p>
          <w:p w14:paraId="28853B77">
            <w:pPr>
              <w:spacing w:line="241" w:lineRule="auto"/>
              <w:rPr>
                <w:rFonts w:ascii="宋体"/>
                <w:sz w:val="21"/>
              </w:rPr>
            </w:pPr>
          </w:p>
          <w:p w14:paraId="69BC8A76">
            <w:pPr>
              <w:spacing w:line="241" w:lineRule="auto"/>
              <w:rPr>
                <w:rFonts w:ascii="宋体"/>
                <w:sz w:val="21"/>
              </w:rPr>
            </w:pPr>
          </w:p>
          <w:p w14:paraId="3A0D4C78">
            <w:pPr>
              <w:spacing w:line="241" w:lineRule="auto"/>
              <w:rPr>
                <w:rFonts w:ascii="宋体"/>
                <w:sz w:val="21"/>
              </w:rPr>
            </w:pPr>
          </w:p>
          <w:p w14:paraId="4AD46FF2">
            <w:pPr>
              <w:spacing w:line="241" w:lineRule="auto"/>
              <w:rPr>
                <w:rFonts w:ascii="宋体"/>
                <w:sz w:val="21"/>
              </w:rPr>
            </w:pPr>
          </w:p>
          <w:p w14:paraId="17EF3F2E">
            <w:pPr>
              <w:spacing w:line="241" w:lineRule="auto"/>
              <w:rPr>
                <w:rFonts w:ascii="宋体"/>
                <w:sz w:val="21"/>
              </w:rPr>
            </w:pPr>
          </w:p>
          <w:p w14:paraId="7DE32A1B">
            <w:pPr>
              <w:spacing w:line="241" w:lineRule="auto"/>
              <w:rPr>
                <w:rFonts w:ascii="宋体"/>
                <w:sz w:val="21"/>
              </w:rPr>
            </w:pPr>
          </w:p>
          <w:p w14:paraId="76CD4DB5">
            <w:pPr>
              <w:spacing w:line="241" w:lineRule="auto"/>
              <w:rPr>
                <w:rFonts w:ascii="宋体"/>
                <w:sz w:val="21"/>
              </w:rPr>
            </w:pPr>
          </w:p>
          <w:p w14:paraId="5D6E7BBB">
            <w:pPr>
              <w:spacing w:line="241" w:lineRule="auto"/>
              <w:rPr>
                <w:rFonts w:ascii="宋体"/>
                <w:sz w:val="21"/>
              </w:rPr>
            </w:pPr>
          </w:p>
          <w:p w14:paraId="2FD51C75">
            <w:pPr>
              <w:spacing w:line="241" w:lineRule="auto"/>
              <w:rPr>
                <w:rFonts w:ascii="宋体"/>
                <w:sz w:val="21"/>
              </w:rPr>
            </w:pPr>
          </w:p>
          <w:p w14:paraId="22F33CDC">
            <w:pPr>
              <w:spacing w:line="241" w:lineRule="auto"/>
              <w:rPr>
                <w:rFonts w:ascii="宋体"/>
                <w:sz w:val="21"/>
              </w:rPr>
            </w:pPr>
          </w:p>
          <w:p w14:paraId="25A3409A">
            <w:pPr>
              <w:spacing w:line="241" w:lineRule="auto"/>
              <w:rPr>
                <w:rFonts w:ascii="宋体"/>
                <w:sz w:val="21"/>
              </w:rPr>
            </w:pPr>
          </w:p>
          <w:p w14:paraId="3FBD40C4">
            <w:pPr>
              <w:spacing w:line="241" w:lineRule="auto"/>
              <w:rPr>
                <w:rFonts w:ascii="宋体"/>
                <w:sz w:val="21"/>
              </w:rPr>
            </w:pPr>
          </w:p>
          <w:p w14:paraId="2EDF14F5">
            <w:pPr>
              <w:spacing w:line="241" w:lineRule="auto"/>
              <w:rPr>
                <w:rFonts w:ascii="宋体"/>
                <w:sz w:val="21"/>
              </w:rPr>
            </w:pPr>
          </w:p>
          <w:p w14:paraId="6A77BF10">
            <w:pPr>
              <w:spacing w:line="241" w:lineRule="auto"/>
              <w:rPr>
                <w:rFonts w:ascii="宋体"/>
                <w:sz w:val="21"/>
              </w:rPr>
            </w:pPr>
          </w:p>
          <w:p w14:paraId="7C406035">
            <w:pPr>
              <w:spacing w:line="241" w:lineRule="auto"/>
              <w:rPr>
                <w:rFonts w:ascii="宋体"/>
                <w:sz w:val="21"/>
              </w:rPr>
            </w:pPr>
          </w:p>
          <w:p w14:paraId="5D813A00">
            <w:pPr>
              <w:spacing w:line="241" w:lineRule="auto"/>
              <w:rPr>
                <w:rFonts w:ascii="宋体"/>
                <w:sz w:val="21"/>
              </w:rPr>
            </w:pPr>
          </w:p>
          <w:p w14:paraId="10FDB314">
            <w:pPr>
              <w:spacing w:before="59" w:line="180" w:lineRule="auto"/>
              <w:ind w:firstLine="11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30</w:t>
            </w:r>
          </w:p>
        </w:tc>
        <w:tc>
          <w:tcPr>
            <w:tcW w:w="881" w:type="dxa"/>
            <w:vMerge w:val="restart"/>
            <w:tcBorders>
              <w:bottom w:val="nil"/>
            </w:tcBorders>
            <w:vAlign w:val="top"/>
          </w:tcPr>
          <w:p w14:paraId="0C2EE689">
            <w:pPr>
              <w:spacing w:line="341" w:lineRule="auto"/>
              <w:rPr>
                <w:rFonts w:ascii="宋体"/>
                <w:sz w:val="21"/>
              </w:rPr>
            </w:pPr>
          </w:p>
          <w:p w14:paraId="4240EEDD">
            <w:pPr>
              <w:spacing w:line="342" w:lineRule="auto"/>
              <w:rPr>
                <w:rFonts w:ascii="宋体"/>
                <w:sz w:val="21"/>
              </w:rPr>
            </w:pPr>
          </w:p>
          <w:p w14:paraId="64E9F69C">
            <w:pPr>
              <w:spacing w:before="59" w:line="246" w:lineRule="auto"/>
              <w:ind w:left="181" w:right="169" w:hanging="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预算编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审管理</w:t>
            </w:r>
          </w:p>
        </w:tc>
        <w:tc>
          <w:tcPr>
            <w:tcW w:w="2683" w:type="dxa"/>
            <w:gridSpan w:val="2"/>
            <w:vAlign w:val="top"/>
          </w:tcPr>
          <w:p w14:paraId="6924360B">
            <w:pPr>
              <w:spacing w:line="327" w:lineRule="auto"/>
              <w:rPr>
                <w:rFonts w:ascii="宋体"/>
                <w:sz w:val="21"/>
              </w:rPr>
            </w:pPr>
          </w:p>
          <w:p w14:paraId="640A1205">
            <w:pPr>
              <w:spacing w:before="58" w:line="184" w:lineRule="auto"/>
              <w:ind w:firstLine="71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预算编制完整性</w:t>
            </w:r>
          </w:p>
        </w:tc>
        <w:tc>
          <w:tcPr>
            <w:tcW w:w="2070" w:type="dxa"/>
            <w:vAlign w:val="top"/>
          </w:tcPr>
          <w:p w14:paraId="1A860DA5">
            <w:pPr>
              <w:spacing w:before="41" w:line="246" w:lineRule="auto"/>
              <w:ind w:left="113" w:right="103" w:firstLine="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部门预算编制完整、齐</w:t>
            </w:r>
            <w:r>
              <w:rPr>
                <w:rFonts w:ascii="宋体" w:hAnsi="宋体" w:eastAsia="宋体" w:cs="宋体"/>
                <w:spacing w:val="5"/>
                <w:w w:val="10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全，数据是否有错，用</w:t>
            </w: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以反映和考核部门预算</w:t>
            </w: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编制完整性情况。</w:t>
            </w:r>
          </w:p>
        </w:tc>
        <w:tc>
          <w:tcPr>
            <w:tcW w:w="585" w:type="dxa"/>
            <w:vAlign w:val="top"/>
          </w:tcPr>
          <w:p w14:paraId="242CFC1A">
            <w:pPr>
              <w:spacing w:line="409" w:lineRule="auto"/>
              <w:rPr>
                <w:rFonts w:ascii="宋体"/>
                <w:sz w:val="21"/>
              </w:rPr>
            </w:pPr>
          </w:p>
          <w:p w14:paraId="7DCBD725">
            <w:pPr>
              <w:spacing w:before="69" w:line="184" w:lineRule="auto"/>
              <w:ind w:firstLine="19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是</w:t>
            </w:r>
          </w:p>
        </w:tc>
        <w:tc>
          <w:tcPr>
            <w:tcW w:w="486" w:type="dxa"/>
            <w:vAlign w:val="top"/>
          </w:tcPr>
          <w:p w14:paraId="20555080">
            <w:pPr>
              <w:spacing w:line="352" w:lineRule="auto"/>
              <w:rPr>
                <w:rFonts w:ascii="宋体"/>
                <w:sz w:val="21"/>
              </w:rPr>
            </w:pPr>
          </w:p>
          <w:p w14:paraId="42D4A29E">
            <w:pPr>
              <w:spacing w:before="58" w:line="180" w:lineRule="auto"/>
              <w:ind w:firstLine="11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</w:t>
            </w:r>
          </w:p>
        </w:tc>
        <w:tc>
          <w:tcPr>
            <w:tcW w:w="396" w:type="dxa"/>
            <w:vAlign w:val="top"/>
          </w:tcPr>
          <w:p w14:paraId="5C06CE4F">
            <w:pPr>
              <w:spacing w:line="352" w:lineRule="auto"/>
              <w:rPr>
                <w:rFonts w:ascii="宋体"/>
                <w:sz w:val="21"/>
              </w:rPr>
            </w:pPr>
          </w:p>
          <w:p w14:paraId="5BB1C08C">
            <w:pPr>
              <w:spacing w:before="58" w:line="180" w:lineRule="auto"/>
              <w:ind w:firstLine="11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</w:t>
            </w:r>
          </w:p>
        </w:tc>
        <w:tc>
          <w:tcPr>
            <w:tcW w:w="629" w:type="dxa"/>
            <w:vAlign w:val="top"/>
          </w:tcPr>
          <w:p w14:paraId="1CF47B2B">
            <w:pPr>
              <w:rPr>
                <w:rFonts w:ascii="宋体"/>
                <w:sz w:val="21"/>
              </w:rPr>
            </w:pPr>
          </w:p>
        </w:tc>
      </w:tr>
      <w:tr w14:paraId="5BB87D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5" w:hRule="atLeast"/>
        </w:trPr>
        <w:tc>
          <w:tcPr>
            <w:tcW w:w="40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E7D25D4">
            <w:pPr>
              <w:rPr>
                <w:rFonts w:ascii="宋体"/>
                <w:sz w:val="21"/>
              </w:rPr>
            </w:pPr>
          </w:p>
        </w:tc>
        <w:tc>
          <w:tcPr>
            <w:tcW w:w="396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4717F5FC">
            <w:pPr>
              <w:rPr>
                <w:rFonts w:ascii="宋体"/>
                <w:sz w:val="21"/>
              </w:rPr>
            </w:pPr>
          </w:p>
        </w:tc>
        <w:tc>
          <w:tcPr>
            <w:tcW w:w="881" w:type="dxa"/>
            <w:vMerge w:val="continue"/>
            <w:tcBorders>
              <w:top w:val="nil"/>
            </w:tcBorders>
            <w:vAlign w:val="top"/>
          </w:tcPr>
          <w:p w14:paraId="4D3E7E55">
            <w:pPr>
              <w:rPr>
                <w:rFonts w:ascii="宋体"/>
                <w:sz w:val="21"/>
              </w:rPr>
            </w:pPr>
          </w:p>
        </w:tc>
        <w:tc>
          <w:tcPr>
            <w:tcW w:w="2683" w:type="dxa"/>
            <w:gridSpan w:val="2"/>
            <w:vAlign w:val="top"/>
          </w:tcPr>
          <w:p w14:paraId="07966DE1">
            <w:pPr>
              <w:spacing w:line="328" w:lineRule="auto"/>
              <w:rPr>
                <w:rFonts w:ascii="宋体"/>
                <w:sz w:val="21"/>
              </w:rPr>
            </w:pPr>
          </w:p>
          <w:p w14:paraId="10253D9F">
            <w:pPr>
              <w:spacing w:before="58" w:line="184" w:lineRule="auto"/>
              <w:ind w:firstLine="71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预算编制准确性</w:t>
            </w:r>
          </w:p>
        </w:tc>
        <w:tc>
          <w:tcPr>
            <w:tcW w:w="2070" w:type="dxa"/>
            <w:vAlign w:val="top"/>
          </w:tcPr>
          <w:p w14:paraId="1DD38CC9">
            <w:pPr>
              <w:spacing w:before="40" w:line="246" w:lineRule="auto"/>
              <w:ind w:left="113" w:right="103" w:firstLine="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部门预算编列预算科目</w:t>
            </w:r>
            <w:r>
              <w:rPr>
                <w:rFonts w:ascii="宋体" w:hAnsi="宋体" w:eastAsia="宋体" w:cs="宋体"/>
                <w:spacing w:val="5"/>
                <w:w w:val="10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准确，细化，用以反映</w:t>
            </w: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和考核部门预算编制准</w:t>
            </w: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确性情况。</w:t>
            </w:r>
          </w:p>
        </w:tc>
        <w:tc>
          <w:tcPr>
            <w:tcW w:w="585" w:type="dxa"/>
            <w:vAlign w:val="top"/>
          </w:tcPr>
          <w:p w14:paraId="6A64FAEE">
            <w:pPr>
              <w:spacing w:line="328" w:lineRule="auto"/>
              <w:rPr>
                <w:rFonts w:ascii="宋体"/>
                <w:sz w:val="21"/>
              </w:rPr>
            </w:pPr>
          </w:p>
          <w:p w14:paraId="1C253B45">
            <w:pPr>
              <w:spacing w:before="58" w:line="184" w:lineRule="auto"/>
              <w:ind w:firstLine="11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</w:t>
            </w:r>
          </w:p>
        </w:tc>
        <w:tc>
          <w:tcPr>
            <w:tcW w:w="486" w:type="dxa"/>
            <w:vAlign w:val="top"/>
          </w:tcPr>
          <w:p w14:paraId="41AB0917">
            <w:pPr>
              <w:spacing w:line="353" w:lineRule="auto"/>
              <w:rPr>
                <w:rFonts w:ascii="宋体"/>
                <w:sz w:val="21"/>
              </w:rPr>
            </w:pPr>
          </w:p>
          <w:p w14:paraId="36B78A00">
            <w:pPr>
              <w:spacing w:before="58" w:line="180" w:lineRule="auto"/>
              <w:ind w:firstLine="11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396" w:type="dxa"/>
            <w:vAlign w:val="top"/>
          </w:tcPr>
          <w:p w14:paraId="6A82F43F">
            <w:pPr>
              <w:spacing w:line="353" w:lineRule="auto"/>
              <w:rPr>
                <w:rFonts w:ascii="宋体"/>
                <w:sz w:val="21"/>
              </w:rPr>
            </w:pPr>
          </w:p>
          <w:p w14:paraId="6D74C8ED">
            <w:pPr>
              <w:spacing w:before="58" w:line="180" w:lineRule="auto"/>
              <w:ind w:firstLine="11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629" w:type="dxa"/>
            <w:vAlign w:val="top"/>
          </w:tcPr>
          <w:p w14:paraId="28FA6EAF">
            <w:pPr>
              <w:rPr>
                <w:rFonts w:ascii="宋体"/>
                <w:sz w:val="21"/>
              </w:rPr>
            </w:pPr>
          </w:p>
        </w:tc>
      </w:tr>
      <w:tr w14:paraId="7AE659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4" w:hRule="atLeast"/>
        </w:trPr>
        <w:tc>
          <w:tcPr>
            <w:tcW w:w="40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4154640">
            <w:pPr>
              <w:rPr>
                <w:rFonts w:ascii="宋体"/>
                <w:sz w:val="21"/>
              </w:rPr>
            </w:pPr>
          </w:p>
        </w:tc>
        <w:tc>
          <w:tcPr>
            <w:tcW w:w="396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1638492C">
            <w:pPr>
              <w:rPr>
                <w:rFonts w:ascii="宋体"/>
                <w:sz w:val="21"/>
              </w:rPr>
            </w:pPr>
          </w:p>
        </w:tc>
        <w:tc>
          <w:tcPr>
            <w:tcW w:w="881" w:type="dxa"/>
            <w:vMerge w:val="restart"/>
            <w:tcBorders>
              <w:bottom w:val="nil"/>
            </w:tcBorders>
            <w:vAlign w:val="top"/>
          </w:tcPr>
          <w:p w14:paraId="5FBD84A6">
            <w:pPr>
              <w:spacing w:line="249" w:lineRule="auto"/>
              <w:rPr>
                <w:rFonts w:ascii="宋体"/>
                <w:sz w:val="21"/>
              </w:rPr>
            </w:pPr>
          </w:p>
          <w:p w14:paraId="4321D489">
            <w:pPr>
              <w:spacing w:line="249" w:lineRule="auto"/>
              <w:rPr>
                <w:rFonts w:ascii="宋体"/>
                <w:sz w:val="21"/>
              </w:rPr>
            </w:pPr>
          </w:p>
          <w:p w14:paraId="716CF6E1">
            <w:pPr>
              <w:spacing w:line="249" w:lineRule="auto"/>
              <w:rPr>
                <w:rFonts w:ascii="宋体"/>
                <w:sz w:val="21"/>
              </w:rPr>
            </w:pPr>
          </w:p>
          <w:p w14:paraId="3FE34323">
            <w:pPr>
              <w:spacing w:line="249" w:lineRule="auto"/>
              <w:rPr>
                <w:rFonts w:ascii="宋体"/>
                <w:sz w:val="21"/>
              </w:rPr>
            </w:pPr>
          </w:p>
          <w:p w14:paraId="3561BEE6">
            <w:pPr>
              <w:spacing w:line="249" w:lineRule="auto"/>
              <w:rPr>
                <w:rFonts w:ascii="宋体"/>
                <w:sz w:val="21"/>
              </w:rPr>
            </w:pPr>
          </w:p>
          <w:p w14:paraId="3BA1A83F">
            <w:pPr>
              <w:spacing w:line="250" w:lineRule="auto"/>
              <w:rPr>
                <w:rFonts w:ascii="宋体"/>
                <w:sz w:val="21"/>
              </w:rPr>
            </w:pPr>
          </w:p>
          <w:p w14:paraId="7D3FE62D">
            <w:pPr>
              <w:spacing w:line="250" w:lineRule="auto"/>
              <w:rPr>
                <w:rFonts w:ascii="宋体"/>
                <w:sz w:val="21"/>
              </w:rPr>
            </w:pPr>
          </w:p>
          <w:p w14:paraId="3423AF74">
            <w:pPr>
              <w:spacing w:line="250" w:lineRule="auto"/>
              <w:rPr>
                <w:rFonts w:ascii="宋体"/>
                <w:sz w:val="21"/>
              </w:rPr>
            </w:pPr>
          </w:p>
          <w:p w14:paraId="02EF9B17">
            <w:pPr>
              <w:spacing w:line="250" w:lineRule="auto"/>
              <w:rPr>
                <w:rFonts w:ascii="宋体"/>
                <w:sz w:val="21"/>
              </w:rPr>
            </w:pPr>
          </w:p>
          <w:p w14:paraId="5E565C6C">
            <w:pPr>
              <w:spacing w:line="250" w:lineRule="auto"/>
              <w:rPr>
                <w:rFonts w:ascii="宋体"/>
                <w:sz w:val="21"/>
              </w:rPr>
            </w:pPr>
          </w:p>
          <w:p w14:paraId="5C178A7B">
            <w:pPr>
              <w:spacing w:line="250" w:lineRule="auto"/>
              <w:rPr>
                <w:rFonts w:ascii="宋体"/>
                <w:sz w:val="21"/>
              </w:rPr>
            </w:pPr>
          </w:p>
          <w:p w14:paraId="409E9D37">
            <w:pPr>
              <w:spacing w:before="58" w:line="246" w:lineRule="auto"/>
              <w:ind w:left="175" w:right="169" w:hanging="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预算执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行管理</w:t>
            </w:r>
          </w:p>
        </w:tc>
        <w:tc>
          <w:tcPr>
            <w:tcW w:w="2683" w:type="dxa"/>
            <w:gridSpan w:val="2"/>
            <w:vAlign w:val="top"/>
          </w:tcPr>
          <w:p w14:paraId="28D83F2A">
            <w:pPr>
              <w:spacing w:line="253" w:lineRule="auto"/>
              <w:rPr>
                <w:rFonts w:ascii="宋体"/>
                <w:sz w:val="21"/>
              </w:rPr>
            </w:pPr>
          </w:p>
          <w:p w14:paraId="45BD3725">
            <w:pPr>
              <w:spacing w:line="253" w:lineRule="auto"/>
              <w:rPr>
                <w:rFonts w:ascii="宋体"/>
                <w:sz w:val="21"/>
              </w:rPr>
            </w:pPr>
          </w:p>
          <w:p w14:paraId="33CB2104">
            <w:pPr>
              <w:spacing w:line="253" w:lineRule="auto"/>
              <w:rPr>
                <w:rFonts w:ascii="宋体"/>
                <w:sz w:val="21"/>
              </w:rPr>
            </w:pPr>
          </w:p>
          <w:p w14:paraId="35063BB1">
            <w:pPr>
              <w:spacing w:line="254" w:lineRule="auto"/>
              <w:rPr>
                <w:rFonts w:ascii="宋体"/>
                <w:sz w:val="21"/>
              </w:rPr>
            </w:pPr>
          </w:p>
          <w:p w14:paraId="1C73F252">
            <w:pPr>
              <w:spacing w:before="58" w:line="184" w:lineRule="auto"/>
              <w:ind w:firstLine="1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预算完成率</w:t>
            </w:r>
          </w:p>
        </w:tc>
        <w:tc>
          <w:tcPr>
            <w:tcW w:w="2070" w:type="dxa"/>
            <w:vAlign w:val="top"/>
          </w:tcPr>
          <w:p w14:paraId="5E5A4E62">
            <w:pPr>
              <w:spacing w:before="41" w:line="246" w:lineRule="auto"/>
              <w:ind w:left="113" w:right="103" w:firstLine="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部门本年度预算完成数</w:t>
            </w:r>
            <w:r>
              <w:rPr>
                <w:rFonts w:ascii="宋体" w:hAnsi="宋体" w:eastAsia="宋体" w:cs="宋体"/>
                <w:spacing w:val="5"/>
                <w:w w:val="10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与预算数的比率，用以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反映和考核部门预算完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成程度。</w:t>
            </w:r>
          </w:p>
          <w:p w14:paraId="5E59B48A">
            <w:pPr>
              <w:spacing w:before="79" w:line="253" w:lineRule="auto"/>
              <w:ind w:left="113" w:right="1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预</w:t>
            </w:r>
            <w:r>
              <w:rPr>
                <w:rFonts w:ascii="宋体" w:hAnsi="宋体" w:eastAsia="宋体" w:cs="宋体"/>
                <w:spacing w:val="-5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算</w:t>
            </w:r>
            <w:r>
              <w:rPr>
                <w:rFonts w:ascii="宋体" w:hAnsi="宋体" w:eastAsia="宋体" w:cs="宋体"/>
                <w:spacing w:val="-5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完</w:t>
            </w:r>
            <w:r>
              <w:rPr>
                <w:rFonts w:ascii="宋体" w:hAnsi="宋体" w:eastAsia="宋体" w:cs="宋体"/>
                <w:spacing w:val="-50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成</w:t>
            </w:r>
            <w:r>
              <w:rPr>
                <w:rFonts w:ascii="宋体" w:hAnsi="宋体" w:eastAsia="宋体" w:cs="宋体"/>
                <w:spacing w:val="-5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率</w:t>
            </w:r>
            <w:r>
              <w:rPr>
                <w:rFonts w:ascii="宋体" w:hAnsi="宋体" w:eastAsia="宋体" w:cs="宋体"/>
                <w:spacing w:val="-5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大</w:t>
            </w:r>
            <w:r>
              <w:rPr>
                <w:rFonts w:ascii="宋体" w:hAnsi="宋体" w:eastAsia="宋体" w:cs="宋体"/>
                <w:spacing w:val="-5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于</w:t>
            </w:r>
            <w:r>
              <w:rPr>
                <w:rFonts w:ascii="宋体" w:hAnsi="宋体" w:eastAsia="宋体" w:cs="宋体"/>
                <w:spacing w:val="-50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等</w:t>
            </w:r>
            <w:r>
              <w:rPr>
                <w:rFonts w:ascii="宋体" w:hAnsi="宋体" w:eastAsia="宋体" w:cs="宋体"/>
                <w:spacing w:val="-5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于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w w:val="96"/>
                <w:sz w:val="18"/>
                <w:szCs w:val="18"/>
              </w:rPr>
              <w:t>95%的，得满分；</w:t>
            </w:r>
            <w:r>
              <w:rPr>
                <w:rFonts w:ascii="宋体" w:hAnsi="宋体" w:eastAsia="宋体" w:cs="宋体"/>
                <w:spacing w:val="39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w w:val="96"/>
                <w:sz w:val="18"/>
                <w:szCs w:val="18"/>
              </w:rPr>
              <w:t>完成率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小于等于</w:t>
            </w:r>
            <w:r>
              <w:rPr>
                <w:rFonts w:ascii="宋体" w:hAnsi="宋体" w:eastAsia="宋体" w:cs="宋体"/>
                <w:spacing w:val="-20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85%的</w:t>
            </w:r>
            <w:r>
              <w:rPr>
                <w:rFonts w:ascii="宋体" w:hAnsi="宋体" w:eastAsia="宋体" w:cs="宋体"/>
                <w:spacing w:val="-49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，得</w:t>
            </w:r>
            <w:r>
              <w:rPr>
                <w:rFonts w:ascii="宋体" w:hAnsi="宋体" w:eastAsia="宋体" w:cs="宋体"/>
                <w:spacing w:val="-1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0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分；</w:t>
            </w:r>
            <w:r>
              <w:rPr>
                <w:rFonts w:ascii="宋体" w:hAnsi="宋体" w:eastAsia="宋体" w:cs="宋体"/>
                <w:spacing w:val="69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完成率在</w:t>
            </w:r>
            <w:r>
              <w:rPr>
                <w:rFonts w:ascii="宋体" w:hAnsi="宋体" w:eastAsia="宋体" w:cs="宋体"/>
                <w:spacing w:val="-2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95%-85%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之间的，按公式计算得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分。</w:t>
            </w:r>
          </w:p>
        </w:tc>
        <w:tc>
          <w:tcPr>
            <w:tcW w:w="585" w:type="dxa"/>
            <w:vAlign w:val="top"/>
          </w:tcPr>
          <w:p w14:paraId="38F0AFA3">
            <w:pPr>
              <w:spacing w:line="246" w:lineRule="auto"/>
              <w:rPr>
                <w:rFonts w:ascii="宋体"/>
                <w:sz w:val="21"/>
              </w:rPr>
            </w:pPr>
          </w:p>
          <w:p w14:paraId="723D1270">
            <w:pPr>
              <w:spacing w:line="246" w:lineRule="auto"/>
              <w:rPr>
                <w:rFonts w:ascii="宋体"/>
                <w:sz w:val="21"/>
              </w:rPr>
            </w:pPr>
          </w:p>
          <w:p w14:paraId="07F33977">
            <w:pPr>
              <w:spacing w:line="246" w:lineRule="auto"/>
              <w:rPr>
                <w:rFonts w:ascii="宋体"/>
                <w:sz w:val="21"/>
              </w:rPr>
            </w:pPr>
          </w:p>
          <w:p w14:paraId="18C805A9">
            <w:pPr>
              <w:spacing w:line="246" w:lineRule="auto"/>
              <w:rPr>
                <w:rFonts w:ascii="宋体"/>
                <w:sz w:val="21"/>
              </w:rPr>
            </w:pPr>
          </w:p>
          <w:p w14:paraId="42CE611A">
            <w:pPr>
              <w:spacing w:before="58" w:line="246" w:lineRule="exact"/>
              <w:ind w:firstLine="11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-2"/>
                <w:sz w:val="18"/>
                <w:szCs w:val="18"/>
              </w:rPr>
              <w:t>≥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95%</w:t>
            </w:r>
          </w:p>
        </w:tc>
        <w:tc>
          <w:tcPr>
            <w:tcW w:w="486" w:type="dxa"/>
            <w:vAlign w:val="top"/>
          </w:tcPr>
          <w:p w14:paraId="02D6A243">
            <w:pPr>
              <w:spacing w:line="259" w:lineRule="auto"/>
              <w:rPr>
                <w:rFonts w:ascii="宋体"/>
                <w:sz w:val="21"/>
              </w:rPr>
            </w:pPr>
          </w:p>
          <w:p w14:paraId="52D31A8B">
            <w:pPr>
              <w:spacing w:line="259" w:lineRule="auto"/>
              <w:rPr>
                <w:rFonts w:ascii="宋体"/>
                <w:sz w:val="21"/>
              </w:rPr>
            </w:pPr>
          </w:p>
          <w:p w14:paraId="1E9F9583">
            <w:pPr>
              <w:spacing w:line="260" w:lineRule="auto"/>
              <w:rPr>
                <w:rFonts w:ascii="宋体"/>
                <w:sz w:val="21"/>
              </w:rPr>
            </w:pPr>
          </w:p>
          <w:p w14:paraId="6F65C538">
            <w:pPr>
              <w:spacing w:line="260" w:lineRule="auto"/>
              <w:rPr>
                <w:rFonts w:ascii="宋体"/>
                <w:sz w:val="21"/>
              </w:rPr>
            </w:pPr>
          </w:p>
          <w:p w14:paraId="273A4E1E">
            <w:pPr>
              <w:spacing w:before="58" w:line="180" w:lineRule="auto"/>
              <w:ind w:firstLine="11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396" w:type="dxa"/>
            <w:vAlign w:val="top"/>
          </w:tcPr>
          <w:p w14:paraId="4CE32451">
            <w:pPr>
              <w:spacing w:line="259" w:lineRule="auto"/>
              <w:rPr>
                <w:rFonts w:ascii="宋体"/>
                <w:sz w:val="21"/>
              </w:rPr>
            </w:pPr>
          </w:p>
          <w:p w14:paraId="56101730">
            <w:pPr>
              <w:spacing w:line="259" w:lineRule="auto"/>
              <w:rPr>
                <w:rFonts w:ascii="宋体"/>
                <w:sz w:val="21"/>
              </w:rPr>
            </w:pPr>
          </w:p>
          <w:p w14:paraId="41E1634A">
            <w:pPr>
              <w:spacing w:line="260" w:lineRule="auto"/>
              <w:rPr>
                <w:rFonts w:ascii="宋体"/>
                <w:sz w:val="21"/>
              </w:rPr>
            </w:pPr>
          </w:p>
          <w:p w14:paraId="027C2605">
            <w:pPr>
              <w:spacing w:line="260" w:lineRule="auto"/>
              <w:rPr>
                <w:rFonts w:ascii="宋体"/>
                <w:sz w:val="21"/>
              </w:rPr>
            </w:pPr>
          </w:p>
          <w:p w14:paraId="4795662F">
            <w:pPr>
              <w:spacing w:before="58" w:line="180" w:lineRule="auto"/>
              <w:ind w:firstLine="11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629" w:type="dxa"/>
            <w:vAlign w:val="top"/>
          </w:tcPr>
          <w:p w14:paraId="560047C9">
            <w:pPr>
              <w:rPr>
                <w:rFonts w:ascii="宋体"/>
                <w:sz w:val="21"/>
              </w:rPr>
            </w:pPr>
          </w:p>
        </w:tc>
      </w:tr>
      <w:tr w14:paraId="08DDB1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4" w:hRule="atLeast"/>
        </w:trPr>
        <w:tc>
          <w:tcPr>
            <w:tcW w:w="40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77D7BA1">
            <w:pPr>
              <w:rPr>
                <w:rFonts w:ascii="宋体"/>
                <w:sz w:val="21"/>
              </w:rPr>
            </w:pPr>
          </w:p>
        </w:tc>
        <w:tc>
          <w:tcPr>
            <w:tcW w:w="396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23FD136C">
            <w:pPr>
              <w:rPr>
                <w:rFonts w:ascii="宋体"/>
                <w:sz w:val="21"/>
              </w:rPr>
            </w:pPr>
          </w:p>
        </w:tc>
        <w:tc>
          <w:tcPr>
            <w:tcW w:w="881" w:type="dxa"/>
            <w:vMerge w:val="continue"/>
            <w:tcBorders>
              <w:top w:val="nil"/>
              <w:bottom w:val="nil"/>
            </w:tcBorders>
            <w:vAlign w:val="top"/>
          </w:tcPr>
          <w:p w14:paraId="013DF1DC">
            <w:pPr>
              <w:rPr>
                <w:rFonts w:ascii="宋体"/>
                <w:sz w:val="21"/>
              </w:rPr>
            </w:pPr>
          </w:p>
        </w:tc>
        <w:tc>
          <w:tcPr>
            <w:tcW w:w="2683" w:type="dxa"/>
            <w:gridSpan w:val="2"/>
            <w:vAlign w:val="top"/>
          </w:tcPr>
          <w:p w14:paraId="54246029">
            <w:pPr>
              <w:spacing w:line="262" w:lineRule="auto"/>
              <w:rPr>
                <w:rFonts w:ascii="宋体"/>
                <w:sz w:val="21"/>
              </w:rPr>
            </w:pPr>
          </w:p>
          <w:p w14:paraId="74A92B35">
            <w:pPr>
              <w:spacing w:line="262" w:lineRule="auto"/>
              <w:rPr>
                <w:rFonts w:ascii="宋体"/>
                <w:sz w:val="21"/>
              </w:rPr>
            </w:pPr>
          </w:p>
          <w:p w14:paraId="319350E6">
            <w:pPr>
              <w:spacing w:line="263" w:lineRule="auto"/>
              <w:rPr>
                <w:rFonts w:ascii="宋体"/>
                <w:sz w:val="21"/>
              </w:rPr>
            </w:pPr>
          </w:p>
          <w:p w14:paraId="40500006">
            <w:pPr>
              <w:spacing w:before="58" w:line="184" w:lineRule="auto"/>
              <w:ind w:firstLine="72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公用经费控制率</w:t>
            </w:r>
          </w:p>
        </w:tc>
        <w:tc>
          <w:tcPr>
            <w:tcW w:w="2070" w:type="dxa"/>
            <w:vAlign w:val="top"/>
          </w:tcPr>
          <w:p w14:paraId="030ED64C">
            <w:pPr>
              <w:spacing w:before="41" w:line="184" w:lineRule="auto"/>
              <w:ind w:firstLine="11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部门本年度实际支出的</w:t>
            </w:r>
          </w:p>
          <w:p w14:paraId="4FD353CF">
            <w:pPr>
              <w:spacing w:before="82" w:line="250" w:lineRule="auto"/>
              <w:ind w:left="113" w:right="103" w:firstLine="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公用经费总额与预算安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排的公用经费总额的比</w:t>
            </w: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率，用以反映和考核部</w:t>
            </w: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门对机构运转成本的实</w:t>
            </w: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z w:val="18"/>
                <w:szCs w:val="18"/>
              </w:rPr>
              <w:t>际控制程度。</w:t>
            </w:r>
            <w:r>
              <w:rPr>
                <w:rFonts w:ascii="宋体" w:hAnsi="宋体" w:eastAsia="宋体" w:cs="宋体"/>
                <w:spacing w:val="-4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z w:val="18"/>
                <w:szCs w:val="18"/>
              </w:rPr>
              <w:t>目标值为</w:t>
            </w:r>
          </w:p>
          <w:p w14:paraId="3F1E406C">
            <w:pPr>
              <w:spacing w:before="80" w:line="226" w:lineRule="auto"/>
              <w:ind w:left="113" w:right="103" w:firstLine="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≤100%；</w:t>
            </w:r>
            <w:r>
              <w:rPr>
                <w:rFonts w:ascii="宋体" w:hAnsi="宋体" w:eastAsia="宋体" w:cs="宋体"/>
                <w:spacing w:val="4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达到目标值得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满分，大于</w:t>
            </w:r>
            <w:r>
              <w:rPr>
                <w:rFonts w:ascii="宋体" w:hAnsi="宋体" w:eastAsia="宋体" w:cs="宋体"/>
                <w:spacing w:val="-2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100%得</w:t>
            </w:r>
            <w:r>
              <w:rPr>
                <w:rFonts w:ascii="宋体" w:hAnsi="宋体" w:eastAsia="宋体" w:cs="宋体"/>
                <w:spacing w:val="-3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0</w:t>
            </w:r>
            <w:r>
              <w:rPr>
                <w:rFonts w:ascii="宋体" w:hAnsi="宋体" w:eastAsia="宋体" w:cs="宋体"/>
                <w:spacing w:val="-3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分</w:t>
            </w:r>
          </w:p>
        </w:tc>
        <w:tc>
          <w:tcPr>
            <w:tcW w:w="585" w:type="dxa"/>
            <w:vAlign w:val="top"/>
          </w:tcPr>
          <w:p w14:paraId="65113EBA">
            <w:pPr>
              <w:spacing w:line="340" w:lineRule="auto"/>
              <w:rPr>
                <w:rFonts w:ascii="宋体"/>
                <w:sz w:val="21"/>
              </w:rPr>
            </w:pPr>
          </w:p>
          <w:p w14:paraId="4D561F9F">
            <w:pPr>
              <w:spacing w:line="341" w:lineRule="auto"/>
              <w:rPr>
                <w:rFonts w:ascii="宋体"/>
                <w:sz w:val="21"/>
              </w:rPr>
            </w:pPr>
          </w:p>
          <w:p w14:paraId="50D2D1D3">
            <w:pPr>
              <w:spacing w:before="59" w:line="246" w:lineRule="auto"/>
              <w:ind w:left="127" w:right="11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7"/>
                <w:w w:val="98"/>
                <w:sz w:val="18"/>
                <w:szCs w:val="18"/>
              </w:rPr>
              <w:t>≤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  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100%</w:t>
            </w:r>
          </w:p>
        </w:tc>
        <w:tc>
          <w:tcPr>
            <w:tcW w:w="486" w:type="dxa"/>
            <w:vAlign w:val="top"/>
          </w:tcPr>
          <w:p w14:paraId="38DDC636">
            <w:pPr>
              <w:spacing w:line="270" w:lineRule="auto"/>
              <w:rPr>
                <w:rFonts w:ascii="宋体"/>
                <w:sz w:val="21"/>
              </w:rPr>
            </w:pPr>
          </w:p>
          <w:p w14:paraId="43546D0E">
            <w:pPr>
              <w:spacing w:line="271" w:lineRule="auto"/>
              <w:rPr>
                <w:rFonts w:ascii="宋体"/>
                <w:sz w:val="21"/>
              </w:rPr>
            </w:pPr>
          </w:p>
          <w:p w14:paraId="2375A800">
            <w:pPr>
              <w:spacing w:line="271" w:lineRule="auto"/>
              <w:rPr>
                <w:rFonts w:ascii="宋体"/>
                <w:sz w:val="21"/>
              </w:rPr>
            </w:pPr>
          </w:p>
          <w:p w14:paraId="78187420">
            <w:pPr>
              <w:spacing w:before="58" w:line="180" w:lineRule="auto"/>
              <w:ind w:firstLine="11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</w:t>
            </w:r>
          </w:p>
        </w:tc>
        <w:tc>
          <w:tcPr>
            <w:tcW w:w="396" w:type="dxa"/>
            <w:vAlign w:val="top"/>
          </w:tcPr>
          <w:p w14:paraId="64548D22">
            <w:pPr>
              <w:spacing w:line="270" w:lineRule="auto"/>
              <w:rPr>
                <w:rFonts w:ascii="宋体"/>
                <w:sz w:val="21"/>
              </w:rPr>
            </w:pPr>
          </w:p>
          <w:p w14:paraId="6314EAE2">
            <w:pPr>
              <w:spacing w:line="271" w:lineRule="auto"/>
              <w:rPr>
                <w:rFonts w:ascii="宋体"/>
                <w:sz w:val="21"/>
              </w:rPr>
            </w:pPr>
          </w:p>
          <w:p w14:paraId="05E9F4DD">
            <w:pPr>
              <w:spacing w:line="271" w:lineRule="auto"/>
              <w:rPr>
                <w:rFonts w:ascii="宋体"/>
                <w:sz w:val="21"/>
              </w:rPr>
            </w:pPr>
          </w:p>
          <w:p w14:paraId="144CE215">
            <w:pPr>
              <w:spacing w:before="58" w:line="180" w:lineRule="auto"/>
              <w:ind w:firstLine="11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</w:t>
            </w:r>
          </w:p>
        </w:tc>
        <w:tc>
          <w:tcPr>
            <w:tcW w:w="629" w:type="dxa"/>
            <w:vAlign w:val="top"/>
          </w:tcPr>
          <w:p w14:paraId="45029869">
            <w:pPr>
              <w:rPr>
                <w:rFonts w:ascii="宋体"/>
                <w:sz w:val="21"/>
              </w:rPr>
            </w:pPr>
          </w:p>
        </w:tc>
      </w:tr>
      <w:tr w14:paraId="10640E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4" w:hRule="atLeast"/>
        </w:trPr>
        <w:tc>
          <w:tcPr>
            <w:tcW w:w="40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B0B45DE">
            <w:pPr>
              <w:rPr>
                <w:rFonts w:ascii="宋体"/>
                <w:sz w:val="21"/>
              </w:rPr>
            </w:pPr>
          </w:p>
        </w:tc>
        <w:tc>
          <w:tcPr>
            <w:tcW w:w="396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5EF77B38">
            <w:pPr>
              <w:rPr>
                <w:rFonts w:ascii="宋体"/>
                <w:sz w:val="21"/>
              </w:rPr>
            </w:pPr>
          </w:p>
        </w:tc>
        <w:tc>
          <w:tcPr>
            <w:tcW w:w="881" w:type="dxa"/>
            <w:vMerge w:val="continue"/>
            <w:tcBorders>
              <w:top w:val="nil"/>
            </w:tcBorders>
            <w:vAlign w:val="top"/>
          </w:tcPr>
          <w:p w14:paraId="69DB129F">
            <w:pPr>
              <w:rPr>
                <w:rFonts w:ascii="宋体"/>
                <w:sz w:val="21"/>
              </w:rPr>
            </w:pPr>
          </w:p>
        </w:tc>
        <w:tc>
          <w:tcPr>
            <w:tcW w:w="2683" w:type="dxa"/>
            <w:gridSpan w:val="2"/>
            <w:vAlign w:val="top"/>
          </w:tcPr>
          <w:p w14:paraId="47DA5623">
            <w:pPr>
              <w:spacing w:line="262" w:lineRule="auto"/>
              <w:rPr>
                <w:rFonts w:ascii="宋体"/>
                <w:sz w:val="21"/>
              </w:rPr>
            </w:pPr>
          </w:p>
          <w:p w14:paraId="22CD83A4">
            <w:pPr>
              <w:spacing w:line="262" w:lineRule="auto"/>
              <w:rPr>
                <w:rFonts w:ascii="宋体"/>
                <w:sz w:val="21"/>
              </w:rPr>
            </w:pPr>
          </w:p>
          <w:p w14:paraId="0A63D142">
            <w:pPr>
              <w:spacing w:line="262" w:lineRule="auto"/>
              <w:rPr>
                <w:rFonts w:ascii="宋体"/>
                <w:sz w:val="21"/>
              </w:rPr>
            </w:pPr>
          </w:p>
          <w:p w14:paraId="715FE655">
            <w:pPr>
              <w:spacing w:before="58" w:line="184" w:lineRule="auto"/>
              <w:ind w:firstLine="52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“三公经费”控制率</w:t>
            </w:r>
          </w:p>
        </w:tc>
        <w:tc>
          <w:tcPr>
            <w:tcW w:w="2070" w:type="dxa"/>
            <w:vAlign w:val="top"/>
          </w:tcPr>
          <w:p w14:paraId="53EF626B">
            <w:pPr>
              <w:spacing w:before="40" w:line="272" w:lineRule="auto"/>
              <w:ind w:left="113" w:firstLine="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部门本年度“三公经费”</w:t>
            </w: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实际支出数与预算安排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 xml:space="preserve">   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数的比率，用以反映和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 xml:space="preserve">   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考核部门对“三公经费”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 xml:space="preserve"> 的实际控制程度。</w:t>
            </w:r>
            <w:r>
              <w:rPr>
                <w:rFonts w:ascii="宋体" w:hAnsi="宋体" w:eastAsia="宋体" w:cs="宋体"/>
                <w:spacing w:val="-38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目标</w:t>
            </w:r>
            <w:r>
              <w:rPr>
                <w:rFonts w:ascii="宋体" w:hAnsi="宋体" w:eastAsia="宋体" w:cs="宋体"/>
                <w:sz w:val="17"/>
                <w:szCs w:val="17"/>
              </w:rPr>
              <w:t xml:space="preserve">   </w:t>
            </w:r>
            <w:r>
              <w:rPr>
                <w:rFonts w:ascii="宋体" w:hAnsi="宋体" w:eastAsia="宋体" w:cs="宋体"/>
                <w:spacing w:val="-6"/>
                <w:sz w:val="17"/>
                <w:szCs w:val="17"/>
              </w:rPr>
              <w:t>值为≤100%；</w:t>
            </w:r>
            <w:r>
              <w:rPr>
                <w:rFonts w:ascii="宋体" w:hAnsi="宋体" w:eastAsia="宋体" w:cs="宋体"/>
                <w:spacing w:val="62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17"/>
                <w:szCs w:val="17"/>
              </w:rPr>
              <w:t>达到目标</w:t>
            </w:r>
            <w:r>
              <w:rPr>
                <w:rFonts w:ascii="宋体" w:hAnsi="宋体" w:eastAsia="宋体" w:cs="宋体"/>
                <w:sz w:val="17"/>
                <w:szCs w:val="17"/>
              </w:rPr>
              <w:t xml:space="preserve">   值得满分，大于</w:t>
            </w:r>
            <w:r>
              <w:rPr>
                <w:rFonts w:ascii="宋体" w:hAnsi="宋体" w:eastAsia="宋体" w:cs="宋体"/>
                <w:spacing w:val="-17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z w:val="17"/>
                <w:szCs w:val="17"/>
              </w:rPr>
              <w:t xml:space="preserve">100%得   </w:t>
            </w: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0</w:t>
            </w:r>
            <w:r>
              <w:rPr>
                <w:rFonts w:ascii="宋体" w:hAnsi="宋体" w:eastAsia="宋体" w:cs="宋体"/>
                <w:spacing w:val="-33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分</w:t>
            </w:r>
          </w:p>
        </w:tc>
        <w:tc>
          <w:tcPr>
            <w:tcW w:w="585" w:type="dxa"/>
            <w:vAlign w:val="top"/>
          </w:tcPr>
          <w:p w14:paraId="25674629">
            <w:pPr>
              <w:spacing w:line="340" w:lineRule="auto"/>
              <w:rPr>
                <w:rFonts w:ascii="宋体"/>
                <w:sz w:val="21"/>
              </w:rPr>
            </w:pPr>
          </w:p>
          <w:p w14:paraId="35331458">
            <w:pPr>
              <w:spacing w:line="340" w:lineRule="auto"/>
              <w:rPr>
                <w:rFonts w:ascii="宋体"/>
                <w:sz w:val="21"/>
              </w:rPr>
            </w:pPr>
          </w:p>
          <w:p w14:paraId="7F02113E">
            <w:pPr>
              <w:spacing w:before="59" w:line="246" w:lineRule="auto"/>
              <w:ind w:left="127" w:right="11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7"/>
                <w:w w:val="98"/>
                <w:sz w:val="18"/>
                <w:szCs w:val="18"/>
              </w:rPr>
              <w:t>≤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  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100%</w:t>
            </w:r>
          </w:p>
        </w:tc>
        <w:tc>
          <w:tcPr>
            <w:tcW w:w="486" w:type="dxa"/>
            <w:vAlign w:val="top"/>
          </w:tcPr>
          <w:p w14:paraId="736D21AC">
            <w:pPr>
              <w:spacing w:line="270" w:lineRule="auto"/>
              <w:rPr>
                <w:rFonts w:ascii="宋体"/>
                <w:sz w:val="21"/>
              </w:rPr>
            </w:pPr>
          </w:p>
          <w:p w14:paraId="5DB258E2">
            <w:pPr>
              <w:spacing w:line="270" w:lineRule="auto"/>
              <w:rPr>
                <w:rFonts w:ascii="宋体"/>
                <w:sz w:val="21"/>
              </w:rPr>
            </w:pPr>
          </w:p>
          <w:p w14:paraId="0BC1385C">
            <w:pPr>
              <w:spacing w:line="271" w:lineRule="auto"/>
              <w:rPr>
                <w:rFonts w:ascii="宋体"/>
                <w:sz w:val="21"/>
              </w:rPr>
            </w:pPr>
          </w:p>
          <w:p w14:paraId="153EB421">
            <w:pPr>
              <w:spacing w:before="58" w:line="180" w:lineRule="auto"/>
              <w:ind w:firstLine="11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</w:t>
            </w:r>
          </w:p>
        </w:tc>
        <w:tc>
          <w:tcPr>
            <w:tcW w:w="396" w:type="dxa"/>
            <w:vAlign w:val="top"/>
          </w:tcPr>
          <w:p w14:paraId="1107C4CE">
            <w:pPr>
              <w:spacing w:line="270" w:lineRule="auto"/>
              <w:rPr>
                <w:rFonts w:ascii="宋体"/>
                <w:sz w:val="21"/>
              </w:rPr>
            </w:pPr>
          </w:p>
          <w:p w14:paraId="019963CC">
            <w:pPr>
              <w:spacing w:line="270" w:lineRule="auto"/>
              <w:rPr>
                <w:rFonts w:ascii="宋体"/>
                <w:sz w:val="21"/>
              </w:rPr>
            </w:pPr>
          </w:p>
          <w:p w14:paraId="11CF57F6">
            <w:pPr>
              <w:spacing w:line="271" w:lineRule="auto"/>
              <w:rPr>
                <w:rFonts w:ascii="宋体"/>
                <w:sz w:val="21"/>
              </w:rPr>
            </w:pPr>
          </w:p>
          <w:p w14:paraId="39445903">
            <w:pPr>
              <w:spacing w:before="58" w:line="180" w:lineRule="auto"/>
              <w:ind w:firstLine="11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</w:t>
            </w:r>
          </w:p>
        </w:tc>
        <w:tc>
          <w:tcPr>
            <w:tcW w:w="629" w:type="dxa"/>
            <w:vAlign w:val="top"/>
          </w:tcPr>
          <w:p w14:paraId="11AD22AA">
            <w:pPr>
              <w:rPr>
                <w:rFonts w:ascii="宋体"/>
                <w:sz w:val="21"/>
              </w:rPr>
            </w:pPr>
          </w:p>
        </w:tc>
      </w:tr>
      <w:tr w14:paraId="07B1EC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40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5863E59">
            <w:pPr>
              <w:rPr>
                <w:rFonts w:ascii="宋体"/>
                <w:sz w:val="21"/>
              </w:rPr>
            </w:pPr>
          </w:p>
        </w:tc>
        <w:tc>
          <w:tcPr>
            <w:tcW w:w="396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0CAEC771">
            <w:pPr>
              <w:rPr>
                <w:rFonts w:ascii="宋体"/>
                <w:sz w:val="21"/>
              </w:rPr>
            </w:pPr>
          </w:p>
        </w:tc>
        <w:tc>
          <w:tcPr>
            <w:tcW w:w="881" w:type="dxa"/>
            <w:vAlign w:val="top"/>
          </w:tcPr>
          <w:p w14:paraId="42E0BFE9">
            <w:pPr>
              <w:spacing w:line="243" w:lineRule="auto"/>
              <w:rPr>
                <w:rFonts w:ascii="宋体"/>
                <w:sz w:val="21"/>
              </w:rPr>
            </w:pPr>
          </w:p>
          <w:p w14:paraId="0816B0EB">
            <w:pPr>
              <w:spacing w:before="58" w:line="184" w:lineRule="auto"/>
              <w:ind w:firstLine="17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部门结</w:t>
            </w:r>
          </w:p>
          <w:p w14:paraId="7F2020C1">
            <w:pPr>
              <w:spacing w:before="60" w:line="184" w:lineRule="auto"/>
              <w:ind w:firstLine="17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转结余</w:t>
            </w:r>
          </w:p>
          <w:p w14:paraId="4DAF00E0">
            <w:pPr>
              <w:spacing w:before="60" w:line="184" w:lineRule="auto"/>
              <w:ind w:firstLine="18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资金管</w:t>
            </w:r>
          </w:p>
          <w:p w14:paraId="43CD4D20">
            <w:pPr>
              <w:spacing w:before="60" w:line="184" w:lineRule="auto"/>
              <w:ind w:firstLine="35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理</w:t>
            </w:r>
          </w:p>
        </w:tc>
        <w:tc>
          <w:tcPr>
            <w:tcW w:w="2683" w:type="dxa"/>
            <w:gridSpan w:val="2"/>
            <w:vAlign w:val="top"/>
          </w:tcPr>
          <w:p w14:paraId="1706A26D">
            <w:pPr>
              <w:spacing w:line="279" w:lineRule="auto"/>
              <w:rPr>
                <w:rFonts w:ascii="宋体"/>
                <w:sz w:val="21"/>
              </w:rPr>
            </w:pPr>
          </w:p>
          <w:p w14:paraId="49AF744D">
            <w:pPr>
              <w:spacing w:line="280" w:lineRule="auto"/>
              <w:rPr>
                <w:rFonts w:ascii="宋体"/>
                <w:sz w:val="21"/>
              </w:rPr>
            </w:pPr>
          </w:p>
          <w:p w14:paraId="2977DFF4">
            <w:pPr>
              <w:spacing w:before="59" w:line="184" w:lineRule="auto"/>
              <w:ind w:firstLine="89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结转结余率</w:t>
            </w:r>
          </w:p>
        </w:tc>
        <w:tc>
          <w:tcPr>
            <w:tcW w:w="2070" w:type="dxa"/>
            <w:vAlign w:val="top"/>
          </w:tcPr>
          <w:p w14:paraId="4FC44B6B">
            <w:pPr>
              <w:spacing w:before="43" w:line="266" w:lineRule="auto"/>
              <w:ind w:left="113" w:right="103" w:firstLine="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部门本年度结转结余总</w:t>
            </w:r>
            <w:r>
              <w:rPr>
                <w:rFonts w:ascii="宋体" w:hAnsi="宋体" w:eastAsia="宋体" w:cs="宋体"/>
                <w:spacing w:val="5"/>
                <w:w w:val="10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4"/>
                <w:sz w:val="18"/>
                <w:szCs w:val="18"/>
              </w:rPr>
              <w:t>额</w:t>
            </w:r>
            <w:r>
              <w:rPr>
                <w:rFonts w:ascii="宋体" w:hAnsi="宋体" w:eastAsia="宋体" w:cs="宋体"/>
                <w:spacing w:val="-4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4"/>
                <w:sz w:val="18"/>
                <w:szCs w:val="18"/>
              </w:rPr>
              <w:t>与</w:t>
            </w:r>
            <w:r>
              <w:rPr>
                <w:rFonts w:ascii="宋体" w:hAnsi="宋体" w:eastAsia="宋体" w:cs="宋体"/>
                <w:spacing w:val="-5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4"/>
                <w:sz w:val="18"/>
                <w:szCs w:val="18"/>
              </w:rPr>
              <w:t>支</w:t>
            </w:r>
            <w:r>
              <w:rPr>
                <w:rFonts w:ascii="宋体" w:hAnsi="宋体" w:eastAsia="宋体" w:cs="宋体"/>
                <w:spacing w:val="-3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4"/>
                <w:sz w:val="18"/>
                <w:szCs w:val="18"/>
              </w:rPr>
              <w:t>出</w:t>
            </w:r>
            <w:r>
              <w:rPr>
                <w:rFonts w:ascii="宋体" w:hAnsi="宋体" w:eastAsia="宋体" w:cs="宋体"/>
                <w:spacing w:val="-5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4"/>
                <w:sz w:val="18"/>
                <w:szCs w:val="18"/>
              </w:rPr>
              <w:t>预</w:t>
            </w:r>
            <w:r>
              <w:rPr>
                <w:rFonts w:ascii="宋体" w:hAnsi="宋体" w:eastAsia="宋体" w:cs="宋体"/>
                <w:spacing w:val="-5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4"/>
                <w:sz w:val="18"/>
                <w:szCs w:val="18"/>
              </w:rPr>
              <w:t>算</w:t>
            </w:r>
            <w:r>
              <w:rPr>
                <w:rFonts w:ascii="宋体" w:hAnsi="宋体" w:eastAsia="宋体" w:cs="宋体"/>
                <w:spacing w:val="-5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4"/>
                <w:sz w:val="18"/>
                <w:szCs w:val="18"/>
              </w:rPr>
              <w:t>数</w:t>
            </w:r>
            <w:r>
              <w:rPr>
                <w:rFonts w:ascii="宋体" w:hAnsi="宋体" w:eastAsia="宋体" w:cs="宋体"/>
                <w:spacing w:val="-3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4"/>
                <w:sz w:val="18"/>
                <w:szCs w:val="18"/>
              </w:rPr>
              <w:t>的</w:t>
            </w:r>
            <w:r>
              <w:rPr>
                <w:rFonts w:ascii="宋体" w:hAnsi="宋体" w:eastAsia="宋体" w:cs="宋体"/>
                <w:spacing w:val="-3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4"/>
                <w:sz w:val="18"/>
                <w:szCs w:val="18"/>
              </w:rPr>
              <w:t>比</w:t>
            </w:r>
          </w:p>
          <w:p w14:paraId="44CAA26F">
            <w:pPr>
              <w:spacing w:before="2" w:line="246" w:lineRule="auto"/>
              <w:ind w:left="113" w:right="1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率，用以反映和考核部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门对本年度结转结余资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金的实际控制程度。结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转结余率小于等于</w:t>
            </w:r>
            <w:r>
              <w:rPr>
                <w:rFonts w:ascii="宋体" w:hAnsi="宋体" w:eastAsia="宋体" w:cs="宋体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5%。</w:t>
            </w:r>
          </w:p>
        </w:tc>
        <w:tc>
          <w:tcPr>
            <w:tcW w:w="585" w:type="dxa"/>
            <w:vAlign w:val="top"/>
          </w:tcPr>
          <w:p w14:paraId="3D26C7E6">
            <w:pPr>
              <w:rPr>
                <w:rFonts w:ascii="宋体"/>
                <w:sz w:val="21"/>
              </w:rPr>
            </w:pPr>
          </w:p>
        </w:tc>
        <w:tc>
          <w:tcPr>
            <w:tcW w:w="486" w:type="dxa"/>
            <w:vAlign w:val="top"/>
          </w:tcPr>
          <w:p w14:paraId="0D1D8693">
            <w:pPr>
              <w:spacing w:line="291" w:lineRule="auto"/>
              <w:rPr>
                <w:rFonts w:ascii="宋体"/>
                <w:sz w:val="21"/>
              </w:rPr>
            </w:pPr>
          </w:p>
          <w:p w14:paraId="06750F18">
            <w:pPr>
              <w:spacing w:line="292" w:lineRule="auto"/>
              <w:rPr>
                <w:rFonts w:ascii="宋体"/>
                <w:sz w:val="21"/>
              </w:rPr>
            </w:pPr>
          </w:p>
          <w:p w14:paraId="3D59C557">
            <w:pPr>
              <w:spacing w:before="59" w:line="180" w:lineRule="auto"/>
              <w:ind w:firstLine="12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396" w:type="dxa"/>
            <w:vAlign w:val="top"/>
          </w:tcPr>
          <w:p w14:paraId="721C655F">
            <w:pPr>
              <w:spacing w:line="292" w:lineRule="auto"/>
              <w:rPr>
                <w:rFonts w:ascii="宋体"/>
                <w:sz w:val="21"/>
              </w:rPr>
            </w:pPr>
          </w:p>
          <w:p w14:paraId="38E12438">
            <w:pPr>
              <w:spacing w:line="292" w:lineRule="auto"/>
              <w:rPr>
                <w:rFonts w:ascii="宋体"/>
                <w:sz w:val="21"/>
              </w:rPr>
            </w:pPr>
          </w:p>
          <w:p w14:paraId="4407C87F">
            <w:pPr>
              <w:spacing w:before="59" w:line="180" w:lineRule="auto"/>
              <w:ind w:firstLine="11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29" w:type="dxa"/>
            <w:vAlign w:val="top"/>
          </w:tcPr>
          <w:p w14:paraId="716153C6">
            <w:pPr>
              <w:rPr>
                <w:rFonts w:ascii="宋体"/>
                <w:sz w:val="21"/>
              </w:rPr>
            </w:pPr>
          </w:p>
        </w:tc>
      </w:tr>
      <w:tr w14:paraId="43FD03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40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F65C768">
            <w:pPr>
              <w:rPr>
                <w:rFonts w:ascii="宋体"/>
                <w:sz w:val="21"/>
              </w:rPr>
            </w:pPr>
          </w:p>
        </w:tc>
        <w:tc>
          <w:tcPr>
            <w:tcW w:w="396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4306F79D">
            <w:pPr>
              <w:rPr>
                <w:rFonts w:ascii="宋体"/>
                <w:sz w:val="21"/>
              </w:rPr>
            </w:pPr>
          </w:p>
        </w:tc>
        <w:tc>
          <w:tcPr>
            <w:tcW w:w="881" w:type="dxa"/>
            <w:vMerge w:val="restart"/>
            <w:tcBorders>
              <w:bottom w:val="nil"/>
            </w:tcBorders>
            <w:vAlign w:val="top"/>
          </w:tcPr>
          <w:p w14:paraId="4FBF3854">
            <w:pPr>
              <w:spacing w:line="467" w:lineRule="auto"/>
              <w:rPr>
                <w:rFonts w:ascii="宋体"/>
                <w:sz w:val="21"/>
              </w:rPr>
            </w:pPr>
          </w:p>
          <w:p w14:paraId="41671B5D">
            <w:pPr>
              <w:spacing w:before="58" w:line="246" w:lineRule="auto"/>
              <w:ind w:left="173" w:right="169" w:firstLine="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预决算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信息公</w:t>
            </w:r>
            <w:r>
              <w:rPr>
                <w:rFonts w:ascii="宋体" w:hAnsi="宋体" w:eastAsia="宋体" w:cs="宋体"/>
                <w:spacing w:val="1"/>
                <w:w w:val="10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开管理</w:t>
            </w:r>
          </w:p>
        </w:tc>
        <w:tc>
          <w:tcPr>
            <w:tcW w:w="2683" w:type="dxa"/>
            <w:gridSpan w:val="2"/>
            <w:vAlign w:val="top"/>
          </w:tcPr>
          <w:p w14:paraId="23813804">
            <w:pPr>
              <w:spacing w:line="446" w:lineRule="auto"/>
              <w:rPr>
                <w:rFonts w:ascii="宋体"/>
                <w:sz w:val="21"/>
              </w:rPr>
            </w:pPr>
          </w:p>
          <w:p w14:paraId="75BDCE4D">
            <w:pPr>
              <w:spacing w:before="58" w:line="184" w:lineRule="auto"/>
              <w:ind w:firstLine="62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预决算信息公开性</w:t>
            </w:r>
          </w:p>
        </w:tc>
        <w:tc>
          <w:tcPr>
            <w:tcW w:w="2070" w:type="dxa"/>
            <w:vAlign w:val="top"/>
          </w:tcPr>
          <w:p w14:paraId="7989C7E1">
            <w:pPr>
              <w:spacing w:before="42" w:line="251" w:lineRule="auto"/>
              <w:ind w:left="113" w:right="103" w:firstLine="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部门是否按照政府信息</w:t>
            </w:r>
            <w:r>
              <w:rPr>
                <w:rFonts w:ascii="宋体" w:hAnsi="宋体" w:eastAsia="宋体" w:cs="宋体"/>
                <w:spacing w:val="5"/>
                <w:w w:val="10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公开有关规定公开相关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预决算信息，用以反映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和考核部门预决算管理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的公开透明情况。</w:t>
            </w:r>
          </w:p>
        </w:tc>
        <w:tc>
          <w:tcPr>
            <w:tcW w:w="585" w:type="dxa"/>
            <w:vAlign w:val="top"/>
          </w:tcPr>
          <w:p w14:paraId="5E3F20EE">
            <w:pPr>
              <w:spacing w:line="446" w:lineRule="auto"/>
              <w:rPr>
                <w:rFonts w:ascii="宋体"/>
                <w:sz w:val="21"/>
              </w:rPr>
            </w:pPr>
          </w:p>
          <w:p w14:paraId="07F776EA">
            <w:pPr>
              <w:spacing w:before="58" w:line="184" w:lineRule="auto"/>
              <w:ind w:firstLine="11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</w:t>
            </w:r>
          </w:p>
        </w:tc>
        <w:tc>
          <w:tcPr>
            <w:tcW w:w="486" w:type="dxa"/>
            <w:vAlign w:val="top"/>
          </w:tcPr>
          <w:p w14:paraId="6FC63019">
            <w:pPr>
              <w:spacing w:line="471" w:lineRule="auto"/>
              <w:rPr>
                <w:rFonts w:ascii="宋体"/>
                <w:sz w:val="21"/>
              </w:rPr>
            </w:pPr>
          </w:p>
          <w:p w14:paraId="451BA231">
            <w:pPr>
              <w:spacing w:before="58" w:line="180" w:lineRule="auto"/>
              <w:ind w:firstLine="11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</w:t>
            </w:r>
          </w:p>
        </w:tc>
        <w:tc>
          <w:tcPr>
            <w:tcW w:w="396" w:type="dxa"/>
            <w:vAlign w:val="top"/>
          </w:tcPr>
          <w:p w14:paraId="64169780">
            <w:pPr>
              <w:spacing w:line="471" w:lineRule="auto"/>
              <w:rPr>
                <w:rFonts w:ascii="宋体"/>
                <w:sz w:val="21"/>
              </w:rPr>
            </w:pPr>
          </w:p>
          <w:p w14:paraId="42A6ADE5">
            <w:pPr>
              <w:spacing w:before="58" w:line="180" w:lineRule="auto"/>
              <w:ind w:firstLine="11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</w:t>
            </w:r>
          </w:p>
        </w:tc>
        <w:tc>
          <w:tcPr>
            <w:tcW w:w="629" w:type="dxa"/>
            <w:vAlign w:val="top"/>
          </w:tcPr>
          <w:p w14:paraId="3917827D">
            <w:pPr>
              <w:rPr>
                <w:rFonts w:ascii="宋体"/>
                <w:sz w:val="21"/>
              </w:rPr>
            </w:pPr>
          </w:p>
        </w:tc>
      </w:tr>
      <w:tr w14:paraId="5915CC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400" w:type="dxa"/>
            <w:vMerge w:val="continue"/>
            <w:tcBorders>
              <w:top w:val="nil"/>
            </w:tcBorders>
            <w:textDirection w:val="tbRlV"/>
            <w:vAlign w:val="top"/>
          </w:tcPr>
          <w:p w14:paraId="6A17BE44">
            <w:pPr>
              <w:rPr>
                <w:rFonts w:ascii="宋体"/>
                <w:sz w:val="21"/>
              </w:rPr>
            </w:pPr>
          </w:p>
        </w:tc>
        <w:tc>
          <w:tcPr>
            <w:tcW w:w="396" w:type="dxa"/>
            <w:gridSpan w:val="2"/>
            <w:vMerge w:val="continue"/>
            <w:tcBorders>
              <w:top w:val="nil"/>
            </w:tcBorders>
            <w:vAlign w:val="top"/>
          </w:tcPr>
          <w:p w14:paraId="489668E7">
            <w:pPr>
              <w:rPr>
                <w:rFonts w:ascii="宋体"/>
                <w:sz w:val="21"/>
              </w:rPr>
            </w:pPr>
          </w:p>
        </w:tc>
        <w:tc>
          <w:tcPr>
            <w:tcW w:w="881" w:type="dxa"/>
            <w:vMerge w:val="continue"/>
            <w:tcBorders>
              <w:top w:val="nil"/>
            </w:tcBorders>
            <w:vAlign w:val="top"/>
          </w:tcPr>
          <w:p w14:paraId="68AF39AF">
            <w:pPr>
              <w:rPr>
                <w:rFonts w:ascii="宋体"/>
                <w:sz w:val="21"/>
              </w:rPr>
            </w:pPr>
          </w:p>
        </w:tc>
        <w:tc>
          <w:tcPr>
            <w:tcW w:w="2683" w:type="dxa"/>
            <w:gridSpan w:val="2"/>
            <w:vAlign w:val="top"/>
          </w:tcPr>
          <w:p w14:paraId="416ABA30">
            <w:pPr>
              <w:spacing w:before="176" w:line="184" w:lineRule="auto"/>
              <w:ind w:firstLine="71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基础信息完善性</w:t>
            </w:r>
          </w:p>
        </w:tc>
        <w:tc>
          <w:tcPr>
            <w:tcW w:w="2070" w:type="dxa"/>
            <w:vAlign w:val="top"/>
          </w:tcPr>
          <w:p w14:paraId="74681907">
            <w:pPr>
              <w:spacing w:before="46" w:line="225" w:lineRule="auto"/>
              <w:ind w:left="114" w:right="1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2"/>
                <w:sz w:val="18"/>
                <w:szCs w:val="18"/>
              </w:rPr>
              <w:t>部</w:t>
            </w:r>
            <w:r>
              <w:rPr>
                <w:rFonts w:ascii="宋体" w:hAnsi="宋体" w:eastAsia="宋体" w:cs="宋体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18"/>
                <w:szCs w:val="18"/>
              </w:rPr>
              <w:t>门</w:t>
            </w:r>
            <w:r>
              <w:rPr>
                <w:rFonts w:ascii="宋体" w:hAnsi="宋体" w:eastAsia="宋体" w:cs="宋体"/>
                <w:spacing w:val="-5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18"/>
                <w:szCs w:val="18"/>
              </w:rPr>
              <w:t>基</w:t>
            </w:r>
            <w:r>
              <w:rPr>
                <w:rFonts w:ascii="宋体" w:hAnsi="宋体" w:eastAsia="宋体" w:cs="宋体"/>
                <w:spacing w:val="-5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18"/>
                <w:szCs w:val="18"/>
              </w:rPr>
              <w:t>础</w:t>
            </w:r>
            <w:r>
              <w:rPr>
                <w:rFonts w:ascii="宋体" w:hAnsi="宋体" w:eastAsia="宋体" w:cs="宋体"/>
                <w:spacing w:val="-5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18"/>
                <w:szCs w:val="18"/>
              </w:rPr>
              <w:t>信</w:t>
            </w:r>
            <w:r>
              <w:rPr>
                <w:rFonts w:ascii="宋体" w:hAnsi="宋体" w:eastAsia="宋体" w:cs="宋体"/>
                <w:spacing w:val="-4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18"/>
                <w:szCs w:val="18"/>
              </w:rPr>
              <w:t>息</w:t>
            </w:r>
            <w:r>
              <w:rPr>
                <w:rFonts w:ascii="宋体" w:hAnsi="宋体" w:eastAsia="宋体" w:cs="宋体"/>
                <w:spacing w:val="-5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18"/>
                <w:szCs w:val="18"/>
              </w:rPr>
              <w:t>是</w:t>
            </w:r>
            <w:r>
              <w:rPr>
                <w:rFonts w:ascii="宋体" w:hAnsi="宋体" w:eastAsia="宋体" w:cs="宋体"/>
                <w:spacing w:val="-4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18"/>
                <w:szCs w:val="18"/>
              </w:rPr>
              <w:t>否</w:t>
            </w:r>
            <w:r>
              <w:rPr>
                <w:rFonts w:ascii="宋体" w:hAnsi="宋体" w:eastAsia="宋体" w:cs="宋体"/>
                <w:spacing w:val="-5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18"/>
                <w:szCs w:val="18"/>
              </w:rPr>
              <w:t>完</w:t>
            </w:r>
            <w:r>
              <w:rPr>
                <w:rFonts w:ascii="宋体" w:hAnsi="宋体" w:eastAsia="宋体" w:cs="宋体"/>
                <w:w w:val="10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善，用以反映和考核基</w:t>
            </w:r>
          </w:p>
        </w:tc>
        <w:tc>
          <w:tcPr>
            <w:tcW w:w="585" w:type="dxa"/>
            <w:vAlign w:val="top"/>
          </w:tcPr>
          <w:p w14:paraId="25558EDC">
            <w:pPr>
              <w:spacing w:before="176" w:line="184" w:lineRule="auto"/>
              <w:ind w:firstLine="11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</w:t>
            </w:r>
          </w:p>
        </w:tc>
        <w:tc>
          <w:tcPr>
            <w:tcW w:w="486" w:type="dxa"/>
            <w:vAlign w:val="top"/>
          </w:tcPr>
          <w:p w14:paraId="2EF9EF20">
            <w:pPr>
              <w:spacing w:before="204" w:line="180" w:lineRule="auto"/>
              <w:ind w:firstLine="11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396" w:type="dxa"/>
            <w:vAlign w:val="top"/>
          </w:tcPr>
          <w:p w14:paraId="1922E4E7">
            <w:pPr>
              <w:spacing w:before="204" w:line="180" w:lineRule="auto"/>
              <w:ind w:firstLine="11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629" w:type="dxa"/>
            <w:vAlign w:val="top"/>
          </w:tcPr>
          <w:p w14:paraId="57C87BC3">
            <w:pPr>
              <w:rPr>
                <w:rFonts w:ascii="宋体"/>
                <w:sz w:val="21"/>
              </w:rPr>
            </w:pPr>
          </w:p>
        </w:tc>
      </w:tr>
    </w:tbl>
    <w:p w14:paraId="12C210FE">
      <w:pPr>
        <w:rPr>
          <w:rFonts w:ascii="宋体"/>
          <w:sz w:val="21"/>
        </w:rPr>
      </w:pPr>
    </w:p>
    <w:p w14:paraId="6179C0D7">
      <w:pPr>
        <w:sectPr>
          <w:pgSz w:w="11906" w:h="16839"/>
          <w:pgMar w:top="1431" w:right="1687" w:bottom="0" w:left="1687" w:header="0" w:footer="0" w:gutter="0"/>
          <w:cols w:space="720" w:num="1"/>
        </w:sectPr>
      </w:pPr>
    </w:p>
    <w:p w14:paraId="787AB6F1">
      <w:pPr>
        <w:spacing w:line="91" w:lineRule="auto"/>
        <w:rPr>
          <w:rFonts w:ascii="Arial"/>
          <w:sz w:val="2"/>
        </w:rPr>
      </w:pPr>
    </w:p>
    <w:tbl>
      <w:tblPr>
        <w:tblStyle w:val="4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0"/>
        <w:gridCol w:w="396"/>
        <w:gridCol w:w="881"/>
        <w:gridCol w:w="2683"/>
        <w:gridCol w:w="2070"/>
        <w:gridCol w:w="585"/>
        <w:gridCol w:w="486"/>
        <w:gridCol w:w="396"/>
        <w:gridCol w:w="629"/>
      </w:tblGrid>
      <w:tr w14:paraId="257467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400" w:type="dxa"/>
            <w:vMerge w:val="restart"/>
            <w:tcBorders>
              <w:bottom w:val="nil"/>
            </w:tcBorders>
            <w:vAlign w:val="top"/>
          </w:tcPr>
          <w:p w14:paraId="5C405F8B">
            <w:pPr>
              <w:rPr>
                <w:rFonts w:ascii="宋体"/>
                <w:sz w:val="21"/>
              </w:rPr>
            </w:pPr>
          </w:p>
        </w:tc>
        <w:tc>
          <w:tcPr>
            <w:tcW w:w="396" w:type="dxa"/>
            <w:vMerge w:val="restart"/>
            <w:tcBorders>
              <w:bottom w:val="nil"/>
            </w:tcBorders>
            <w:vAlign w:val="top"/>
          </w:tcPr>
          <w:p w14:paraId="2278FDFC">
            <w:pPr>
              <w:rPr>
                <w:rFonts w:ascii="宋体"/>
                <w:sz w:val="21"/>
              </w:rPr>
            </w:pPr>
          </w:p>
        </w:tc>
        <w:tc>
          <w:tcPr>
            <w:tcW w:w="881" w:type="dxa"/>
            <w:vAlign w:val="top"/>
          </w:tcPr>
          <w:p w14:paraId="73AD3673">
            <w:pPr>
              <w:rPr>
                <w:rFonts w:ascii="宋体"/>
                <w:sz w:val="21"/>
              </w:rPr>
            </w:pPr>
          </w:p>
        </w:tc>
        <w:tc>
          <w:tcPr>
            <w:tcW w:w="2683" w:type="dxa"/>
            <w:vAlign w:val="top"/>
          </w:tcPr>
          <w:p w14:paraId="5ECDFC09">
            <w:pPr>
              <w:rPr>
                <w:rFonts w:ascii="宋体"/>
                <w:sz w:val="21"/>
              </w:rPr>
            </w:pPr>
          </w:p>
        </w:tc>
        <w:tc>
          <w:tcPr>
            <w:tcW w:w="2070" w:type="dxa"/>
            <w:vAlign w:val="top"/>
          </w:tcPr>
          <w:p w14:paraId="2097803A">
            <w:pPr>
              <w:spacing w:before="46" w:line="226" w:lineRule="auto"/>
              <w:ind w:left="127" w:right="103" w:hanging="1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础信息对预算管理工作</w:t>
            </w: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的支撑情况。</w:t>
            </w:r>
          </w:p>
        </w:tc>
        <w:tc>
          <w:tcPr>
            <w:tcW w:w="585" w:type="dxa"/>
            <w:vAlign w:val="top"/>
          </w:tcPr>
          <w:p w14:paraId="60FBAF8E">
            <w:pPr>
              <w:rPr>
                <w:rFonts w:ascii="宋体"/>
                <w:sz w:val="21"/>
              </w:rPr>
            </w:pPr>
          </w:p>
        </w:tc>
        <w:tc>
          <w:tcPr>
            <w:tcW w:w="486" w:type="dxa"/>
            <w:vAlign w:val="top"/>
          </w:tcPr>
          <w:p w14:paraId="701EFB91">
            <w:pPr>
              <w:rPr>
                <w:rFonts w:ascii="宋体"/>
                <w:sz w:val="21"/>
              </w:rPr>
            </w:pPr>
          </w:p>
        </w:tc>
        <w:tc>
          <w:tcPr>
            <w:tcW w:w="396" w:type="dxa"/>
            <w:vAlign w:val="top"/>
          </w:tcPr>
          <w:p w14:paraId="5941C3FF">
            <w:pPr>
              <w:rPr>
                <w:rFonts w:ascii="宋体"/>
                <w:sz w:val="21"/>
              </w:rPr>
            </w:pPr>
          </w:p>
        </w:tc>
        <w:tc>
          <w:tcPr>
            <w:tcW w:w="629" w:type="dxa"/>
            <w:vAlign w:val="top"/>
          </w:tcPr>
          <w:p w14:paraId="320E5E39">
            <w:pPr>
              <w:rPr>
                <w:rFonts w:ascii="宋体"/>
                <w:sz w:val="21"/>
              </w:rPr>
            </w:pPr>
          </w:p>
        </w:tc>
      </w:tr>
      <w:tr w14:paraId="01BC6F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400" w:type="dxa"/>
            <w:vMerge w:val="continue"/>
            <w:tcBorders>
              <w:top w:val="nil"/>
              <w:bottom w:val="nil"/>
            </w:tcBorders>
            <w:vAlign w:val="top"/>
          </w:tcPr>
          <w:p w14:paraId="622F4C9E">
            <w:pPr>
              <w:rPr>
                <w:rFonts w:ascii="宋体"/>
                <w:sz w:val="21"/>
              </w:rPr>
            </w:pPr>
          </w:p>
        </w:tc>
        <w:tc>
          <w:tcPr>
            <w:tcW w:w="396" w:type="dxa"/>
            <w:vMerge w:val="continue"/>
            <w:tcBorders>
              <w:top w:val="nil"/>
              <w:bottom w:val="nil"/>
            </w:tcBorders>
            <w:vAlign w:val="top"/>
          </w:tcPr>
          <w:p w14:paraId="152D0F79">
            <w:pPr>
              <w:rPr>
                <w:rFonts w:ascii="宋体"/>
                <w:sz w:val="21"/>
              </w:rPr>
            </w:pPr>
          </w:p>
        </w:tc>
        <w:tc>
          <w:tcPr>
            <w:tcW w:w="881" w:type="dxa"/>
            <w:vMerge w:val="restart"/>
            <w:tcBorders>
              <w:bottom w:val="nil"/>
            </w:tcBorders>
            <w:vAlign w:val="top"/>
          </w:tcPr>
          <w:p w14:paraId="79D46744">
            <w:pPr>
              <w:spacing w:line="243" w:lineRule="auto"/>
              <w:rPr>
                <w:rFonts w:ascii="宋体"/>
                <w:sz w:val="21"/>
              </w:rPr>
            </w:pPr>
          </w:p>
          <w:p w14:paraId="22B4A509">
            <w:pPr>
              <w:spacing w:line="243" w:lineRule="auto"/>
              <w:rPr>
                <w:rFonts w:ascii="宋体"/>
                <w:sz w:val="21"/>
              </w:rPr>
            </w:pPr>
          </w:p>
          <w:p w14:paraId="1332ACBF">
            <w:pPr>
              <w:spacing w:line="243" w:lineRule="auto"/>
              <w:rPr>
                <w:rFonts w:ascii="宋体"/>
                <w:sz w:val="21"/>
              </w:rPr>
            </w:pPr>
          </w:p>
          <w:p w14:paraId="507F1F72">
            <w:pPr>
              <w:spacing w:line="243" w:lineRule="auto"/>
              <w:rPr>
                <w:rFonts w:ascii="宋体"/>
                <w:sz w:val="21"/>
              </w:rPr>
            </w:pPr>
          </w:p>
          <w:p w14:paraId="692EDD1B">
            <w:pPr>
              <w:spacing w:line="243" w:lineRule="auto"/>
              <w:rPr>
                <w:rFonts w:ascii="宋体"/>
                <w:sz w:val="21"/>
              </w:rPr>
            </w:pPr>
          </w:p>
          <w:p w14:paraId="555454D3">
            <w:pPr>
              <w:spacing w:line="243" w:lineRule="auto"/>
              <w:rPr>
                <w:rFonts w:ascii="宋体"/>
                <w:sz w:val="21"/>
              </w:rPr>
            </w:pPr>
          </w:p>
          <w:p w14:paraId="5CF49E82">
            <w:pPr>
              <w:spacing w:line="243" w:lineRule="auto"/>
              <w:rPr>
                <w:rFonts w:ascii="宋体"/>
                <w:sz w:val="21"/>
              </w:rPr>
            </w:pPr>
          </w:p>
          <w:p w14:paraId="166332A6">
            <w:pPr>
              <w:spacing w:line="243" w:lineRule="auto"/>
              <w:rPr>
                <w:rFonts w:ascii="宋体"/>
                <w:sz w:val="21"/>
              </w:rPr>
            </w:pPr>
          </w:p>
          <w:p w14:paraId="2573102E">
            <w:pPr>
              <w:spacing w:before="59" w:line="246" w:lineRule="auto"/>
              <w:ind w:left="174" w:right="16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部门预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算管理</w:t>
            </w:r>
          </w:p>
        </w:tc>
        <w:tc>
          <w:tcPr>
            <w:tcW w:w="2683" w:type="dxa"/>
            <w:vAlign w:val="top"/>
          </w:tcPr>
          <w:p w14:paraId="615499C6">
            <w:pPr>
              <w:spacing w:line="442" w:lineRule="auto"/>
              <w:rPr>
                <w:rFonts w:ascii="宋体"/>
                <w:sz w:val="21"/>
              </w:rPr>
            </w:pPr>
          </w:p>
          <w:p w14:paraId="2A17C867">
            <w:pPr>
              <w:spacing w:before="59" w:line="184" w:lineRule="auto"/>
              <w:ind w:firstLine="10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在职人员控制率</w:t>
            </w:r>
          </w:p>
        </w:tc>
        <w:tc>
          <w:tcPr>
            <w:tcW w:w="2070" w:type="dxa"/>
            <w:vAlign w:val="top"/>
          </w:tcPr>
          <w:p w14:paraId="1882F303">
            <w:pPr>
              <w:spacing w:before="38" w:line="251" w:lineRule="auto"/>
              <w:ind w:left="114" w:right="1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部门本年度实际在职人</w:t>
            </w:r>
            <w:r>
              <w:rPr>
                <w:rFonts w:ascii="宋体" w:hAnsi="宋体" w:eastAsia="宋体" w:cs="宋体"/>
                <w:spacing w:val="5"/>
                <w:w w:val="10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员数与编制数的比率，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用以反映和考核部门对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人员成本的控制程度。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目标值为≤100%。</w:t>
            </w:r>
          </w:p>
        </w:tc>
        <w:tc>
          <w:tcPr>
            <w:tcW w:w="585" w:type="dxa"/>
            <w:vAlign w:val="top"/>
          </w:tcPr>
          <w:p w14:paraId="33B6A393">
            <w:pPr>
              <w:rPr>
                <w:rFonts w:ascii="宋体"/>
                <w:sz w:val="21"/>
              </w:rPr>
            </w:pPr>
          </w:p>
        </w:tc>
        <w:tc>
          <w:tcPr>
            <w:tcW w:w="486" w:type="dxa"/>
            <w:vAlign w:val="top"/>
          </w:tcPr>
          <w:p w14:paraId="154EB137">
            <w:pPr>
              <w:spacing w:line="466" w:lineRule="auto"/>
              <w:rPr>
                <w:rFonts w:ascii="宋体"/>
                <w:sz w:val="21"/>
              </w:rPr>
            </w:pPr>
          </w:p>
          <w:p w14:paraId="26FC56F4">
            <w:pPr>
              <w:spacing w:before="59" w:line="180" w:lineRule="auto"/>
              <w:ind w:firstLine="12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396" w:type="dxa"/>
            <w:vAlign w:val="top"/>
          </w:tcPr>
          <w:p w14:paraId="1FD457AA">
            <w:pPr>
              <w:spacing w:line="467" w:lineRule="auto"/>
              <w:rPr>
                <w:rFonts w:ascii="宋体"/>
                <w:sz w:val="21"/>
              </w:rPr>
            </w:pPr>
          </w:p>
          <w:p w14:paraId="77C50590">
            <w:pPr>
              <w:spacing w:before="59" w:line="180" w:lineRule="auto"/>
              <w:ind w:firstLine="11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29" w:type="dxa"/>
            <w:vAlign w:val="top"/>
          </w:tcPr>
          <w:p w14:paraId="3EA5872B">
            <w:pPr>
              <w:rPr>
                <w:rFonts w:ascii="宋体"/>
                <w:sz w:val="21"/>
              </w:rPr>
            </w:pPr>
          </w:p>
        </w:tc>
      </w:tr>
      <w:tr w14:paraId="65827D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4" w:hRule="atLeast"/>
        </w:trPr>
        <w:tc>
          <w:tcPr>
            <w:tcW w:w="400" w:type="dxa"/>
            <w:vMerge w:val="continue"/>
            <w:tcBorders>
              <w:top w:val="nil"/>
              <w:bottom w:val="nil"/>
            </w:tcBorders>
            <w:vAlign w:val="top"/>
          </w:tcPr>
          <w:p w14:paraId="32D3E780">
            <w:pPr>
              <w:rPr>
                <w:rFonts w:ascii="宋体"/>
                <w:sz w:val="21"/>
              </w:rPr>
            </w:pPr>
          </w:p>
        </w:tc>
        <w:tc>
          <w:tcPr>
            <w:tcW w:w="396" w:type="dxa"/>
            <w:vMerge w:val="continue"/>
            <w:tcBorders>
              <w:top w:val="nil"/>
              <w:bottom w:val="nil"/>
            </w:tcBorders>
            <w:vAlign w:val="top"/>
          </w:tcPr>
          <w:p w14:paraId="08E8C786">
            <w:pPr>
              <w:rPr>
                <w:rFonts w:ascii="宋体"/>
                <w:sz w:val="21"/>
              </w:rPr>
            </w:pPr>
          </w:p>
        </w:tc>
        <w:tc>
          <w:tcPr>
            <w:tcW w:w="881" w:type="dxa"/>
            <w:vMerge w:val="continue"/>
            <w:tcBorders>
              <w:top w:val="nil"/>
              <w:bottom w:val="nil"/>
            </w:tcBorders>
            <w:vAlign w:val="top"/>
          </w:tcPr>
          <w:p w14:paraId="65F8454F">
            <w:pPr>
              <w:rPr>
                <w:rFonts w:ascii="宋体"/>
                <w:sz w:val="21"/>
              </w:rPr>
            </w:pPr>
          </w:p>
        </w:tc>
        <w:tc>
          <w:tcPr>
            <w:tcW w:w="2683" w:type="dxa"/>
            <w:vAlign w:val="top"/>
          </w:tcPr>
          <w:p w14:paraId="5FC2390E">
            <w:pPr>
              <w:spacing w:line="335" w:lineRule="auto"/>
              <w:rPr>
                <w:rFonts w:ascii="宋体"/>
                <w:sz w:val="21"/>
              </w:rPr>
            </w:pPr>
          </w:p>
          <w:p w14:paraId="608CC0DE">
            <w:pPr>
              <w:spacing w:line="336" w:lineRule="auto"/>
              <w:rPr>
                <w:rFonts w:ascii="宋体"/>
                <w:sz w:val="21"/>
              </w:rPr>
            </w:pPr>
          </w:p>
          <w:p w14:paraId="0285FE16">
            <w:pPr>
              <w:spacing w:before="59" w:line="184" w:lineRule="auto"/>
              <w:ind w:firstLine="71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管理制度健全性</w:t>
            </w:r>
          </w:p>
        </w:tc>
        <w:tc>
          <w:tcPr>
            <w:tcW w:w="2070" w:type="dxa"/>
            <w:vAlign w:val="top"/>
          </w:tcPr>
          <w:p w14:paraId="76150C1C">
            <w:pPr>
              <w:spacing w:before="41" w:line="255" w:lineRule="auto"/>
              <w:ind w:left="113" w:right="103" w:firstLine="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部门为加强预算管理、</w:t>
            </w:r>
            <w:r>
              <w:rPr>
                <w:rFonts w:ascii="宋体" w:hAnsi="宋体" w:eastAsia="宋体" w:cs="宋体"/>
                <w:spacing w:val="5"/>
                <w:w w:val="10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规范财务行为而制定的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管</w:t>
            </w:r>
            <w:r>
              <w:rPr>
                <w:rFonts w:ascii="宋体" w:hAnsi="宋体" w:eastAsia="宋体" w:cs="宋体"/>
                <w:spacing w:val="-4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理</w:t>
            </w:r>
            <w:r>
              <w:rPr>
                <w:rFonts w:ascii="宋体" w:hAnsi="宋体" w:eastAsia="宋体" w:cs="宋体"/>
                <w:spacing w:val="-5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制</w:t>
            </w:r>
            <w:r>
              <w:rPr>
                <w:rFonts w:ascii="宋体" w:hAnsi="宋体" w:eastAsia="宋体" w:cs="宋体"/>
                <w:spacing w:val="-5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度</w:t>
            </w:r>
            <w:r>
              <w:rPr>
                <w:rFonts w:ascii="宋体" w:hAnsi="宋体" w:eastAsia="宋体" w:cs="宋体"/>
                <w:spacing w:val="-5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是</w:t>
            </w:r>
            <w:r>
              <w:rPr>
                <w:rFonts w:ascii="宋体" w:hAnsi="宋体" w:eastAsia="宋体" w:cs="宋体"/>
                <w:spacing w:val="-48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否</w:t>
            </w:r>
            <w:r>
              <w:rPr>
                <w:rFonts w:ascii="宋体" w:hAnsi="宋体" w:eastAsia="宋体" w:cs="宋体"/>
                <w:spacing w:val="-55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健</w:t>
            </w:r>
            <w:r>
              <w:rPr>
                <w:rFonts w:ascii="宋体" w:hAnsi="宋体" w:eastAsia="宋体" w:cs="宋体"/>
                <w:spacing w:val="-5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全</w:t>
            </w:r>
            <w:r>
              <w:rPr>
                <w:rFonts w:ascii="宋体" w:hAnsi="宋体" w:eastAsia="宋体" w:cs="宋体"/>
                <w:spacing w:val="-5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完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整，用以反映和考核部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门预算管理制度对完成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主要职责或促进事业发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展的保障情况。</w:t>
            </w:r>
          </w:p>
        </w:tc>
        <w:tc>
          <w:tcPr>
            <w:tcW w:w="585" w:type="dxa"/>
            <w:vAlign w:val="top"/>
          </w:tcPr>
          <w:p w14:paraId="27BAA354">
            <w:pPr>
              <w:spacing w:line="335" w:lineRule="auto"/>
              <w:rPr>
                <w:rFonts w:ascii="宋体"/>
                <w:sz w:val="21"/>
              </w:rPr>
            </w:pPr>
          </w:p>
          <w:p w14:paraId="386EBEDB">
            <w:pPr>
              <w:spacing w:line="336" w:lineRule="auto"/>
              <w:rPr>
                <w:rFonts w:ascii="宋体"/>
                <w:sz w:val="21"/>
              </w:rPr>
            </w:pPr>
          </w:p>
          <w:p w14:paraId="12ACA375">
            <w:pPr>
              <w:spacing w:before="59" w:line="184" w:lineRule="auto"/>
              <w:ind w:firstLine="11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是</w:t>
            </w:r>
          </w:p>
        </w:tc>
        <w:tc>
          <w:tcPr>
            <w:tcW w:w="486" w:type="dxa"/>
            <w:vAlign w:val="top"/>
          </w:tcPr>
          <w:p w14:paraId="19C05CBD">
            <w:pPr>
              <w:spacing w:line="348" w:lineRule="auto"/>
              <w:rPr>
                <w:rFonts w:ascii="宋体"/>
                <w:sz w:val="21"/>
              </w:rPr>
            </w:pPr>
          </w:p>
          <w:p w14:paraId="3843920A">
            <w:pPr>
              <w:spacing w:line="348" w:lineRule="auto"/>
              <w:rPr>
                <w:rFonts w:ascii="宋体"/>
                <w:sz w:val="21"/>
              </w:rPr>
            </w:pPr>
          </w:p>
          <w:p w14:paraId="5DC8B721">
            <w:pPr>
              <w:spacing w:before="59" w:line="180" w:lineRule="auto"/>
              <w:ind w:firstLine="11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396" w:type="dxa"/>
            <w:vAlign w:val="top"/>
          </w:tcPr>
          <w:p w14:paraId="77705D7F">
            <w:pPr>
              <w:spacing w:line="348" w:lineRule="auto"/>
              <w:rPr>
                <w:rFonts w:ascii="宋体"/>
                <w:sz w:val="21"/>
              </w:rPr>
            </w:pPr>
          </w:p>
          <w:p w14:paraId="134EEBBC">
            <w:pPr>
              <w:spacing w:line="348" w:lineRule="auto"/>
              <w:rPr>
                <w:rFonts w:ascii="宋体"/>
                <w:sz w:val="21"/>
              </w:rPr>
            </w:pPr>
          </w:p>
          <w:p w14:paraId="7308AA94">
            <w:pPr>
              <w:spacing w:before="59" w:line="180" w:lineRule="auto"/>
              <w:ind w:firstLine="11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629" w:type="dxa"/>
            <w:vAlign w:val="top"/>
          </w:tcPr>
          <w:p w14:paraId="7C9FF5E2">
            <w:pPr>
              <w:rPr>
                <w:rFonts w:ascii="宋体"/>
                <w:sz w:val="21"/>
              </w:rPr>
            </w:pPr>
          </w:p>
        </w:tc>
      </w:tr>
      <w:tr w14:paraId="0452B5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4" w:hRule="atLeast"/>
        </w:trPr>
        <w:tc>
          <w:tcPr>
            <w:tcW w:w="400" w:type="dxa"/>
            <w:vMerge w:val="continue"/>
            <w:tcBorders>
              <w:top w:val="nil"/>
              <w:bottom w:val="nil"/>
            </w:tcBorders>
            <w:vAlign w:val="top"/>
          </w:tcPr>
          <w:p w14:paraId="0C3DC928">
            <w:pPr>
              <w:rPr>
                <w:rFonts w:ascii="宋体"/>
                <w:sz w:val="21"/>
              </w:rPr>
            </w:pPr>
          </w:p>
        </w:tc>
        <w:tc>
          <w:tcPr>
            <w:tcW w:w="396" w:type="dxa"/>
            <w:vMerge w:val="continue"/>
            <w:tcBorders>
              <w:top w:val="nil"/>
              <w:bottom w:val="nil"/>
            </w:tcBorders>
            <w:vAlign w:val="top"/>
          </w:tcPr>
          <w:p w14:paraId="337C2817">
            <w:pPr>
              <w:rPr>
                <w:rFonts w:ascii="宋体"/>
                <w:sz w:val="21"/>
              </w:rPr>
            </w:pPr>
          </w:p>
        </w:tc>
        <w:tc>
          <w:tcPr>
            <w:tcW w:w="881" w:type="dxa"/>
            <w:vMerge w:val="restart"/>
            <w:tcBorders>
              <w:top w:val="nil"/>
              <w:bottom w:val="nil"/>
            </w:tcBorders>
            <w:vAlign w:val="top"/>
          </w:tcPr>
          <w:p w14:paraId="7F5A867F">
            <w:pPr>
              <w:spacing w:line="243" w:lineRule="auto"/>
              <w:rPr>
                <w:rFonts w:ascii="宋体"/>
                <w:sz w:val="21"/>
              </w:rPr>
            </w:pPr>
          </w:p>
          <w:p w14:paraId="7663FDBF">
            <w:pPr>
              <w:spacing w:line="243" w:lineRule="auto"/>
              <w:rPr>
                <w:rFonts w:ascii="宋体"/>
                <w:sz w:val="21"/>
              </w:rPr>
            </w:pPr>
          </w:p>
          <w:p w14:paraId="65ADD9F0">
            <w:pPr>
              <w:spacing w:line="243" w:lineRule="auto"/>
              <w:rPr>
                <w:rFonts w:ascii="宋体"/>
                <w:sz w:val="21"/>
              </w:rPr>
            </w:pPr>
          </w:p>
          <w:p w14:paraId="2770B3BD">
            <w:pPr>
              <w:spacing w:line="243" w:lineRule="auto"/>
              <w:rPr>
                <w:rFonts w:ascii="宋体"/>
                <w:sz w:val="21"/>
              </w:rPr>
            </w:pPr>
          </w:p>
          <w:p w14:paraId="3951BF85">
            <w:pPr>
              <w:spacing w:line="243" w:lineRule="auto"/>
              <w:rPr>
                <w:rFonts w:ascii="宋体"/>
                <w:sz w:val="21"/>
              </w:rPr>
            </w:pPr>
          </w:p>
          <w:p w14:paraId="5C0CB508">
            <w:pPr>
              <w:spacing w:line="244" w:lineRule="auto"/>
              <w:rPr>
                <w:rFonts w:ascii="宋体"/>
                <w:sz w:val="21"/>
              </w:rPr>
            </w:pPr>
          </w:p>
          <w:p w14:paraId="017E532D">
            <w:pPr>
              <w:spacing w:line="244" w:lineRule="auto"/>
              <w:rPr>
                <w:rFonts w:ascii="宋体"/>
                <w:sz w:val="21"/>
              </w:rPr>
            </w:pPr>
          </w:p>
          <w:p w14:paraId="227610F0">
            <w:pPr>
              <w:spacing w:line="244" w:lineRule="auto"/>
              <w:rPr>
                <w:rFonts w:ascii="宋体"/>
                <w:sz w:val="21"/>
              </w:rPr>
            </w:pPr>
          </w:p>
          <w:p w14:paraId="5BA398AB">
            <w:pPr>
              <w:spacing w:before="59" w:line="246" w:lineRule="auto"/>
              <w:ind w:left="171" w:right="16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政府采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购管理</w:t>
            </w:r>
          </w:p>
        </w:tc>
        <w:tc>
          <w:tcPr>
            <w:tcW w:w="2683" w:type="dxa"/>
            <w:vAlign w:val="top"/>
          </w:tcPr>
          <w:p w14:paraId="6B1E9BD5">
            <w:pPr>
              <w:spacing w:line="278" w:lineRule="auto"/>
              <w:rPr>
                <w:rFonts w:ascii="宋体"/>
                <w:sz w:val="21"/>
              </w:rPr>
            </w:pPr>
          </w:p>
          <w:p w14:paraId="30EBCC62">
            <w:pPr>
              <w:spacing w:line="279" w:lineRule="auto"/>
              <w:rPr>
                <w:rFonts w:ascii="宋体"/>
                <w:sz w:val="21"/>
              </w:rPr>
            </w:pPr>
          </w:p>
          <w:p w14:paraId="09972B58">
            <w:pPr>
              <w:spacing w:before="59" w:line="268" w:lineRule="auto"/>
              <w:ind w:left="894" w:right="104" w:hanging="78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支出规范性及巡视、审计、绩效</w:t>
            </w:r>
            <w:r>
              <w:rPr>
                <w:rFonts w:ascii="宋体" w:hAnsi="宋体" w:eastAsia="宋体" w:cs="宋体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评价结果等</w:t>
            </w:r>
          </w:p>
        </w:tc>
        <w:tc>
          <w:tcPr>
            <w:tcW w:w="2070" w:type="dxa"/>
            <w:vAlign w:val="top"/>
          </w:tcPr>
          <w:p w14:paraId="17C846DB">
            <w:pPr>
              <w:spacing w:before="44" w:line="246" w:lineRule="auto"/>
              <w:ind w:left="112" w:right="103" w:firstLine="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部门预算管理及财务和</w:t>
            </w:r>
            <w:r>
              <w:rPr>
                <w:rFonts w:ascii="宋体" w:hAnsi="宋体" w:eastAsia="宋体" w:cs="宋体"/>
                <w:spacing w:val="5"/>
                <w:w w:val="10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会计核算方面有无违反</w:t>
            </w: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法</w:t>
            </w:r>
            <w:r>
              <w:rPr>
                <w:rFonts w:ascii="宋体" w:hAnsi="宋体" w:eastAsia="宋体" w:cs="宋体"/>
                <w:spacing w:val="-5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律</w:t>
            </w:r>
            <w:r>
              <w:rPr>
                <w:rFonts w:ascii="宋体" w:hAnsi="宋体" w:eastAsia="宋体" w:cs="宋体"/>
                <w:spacing w:val="-5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法</w:t>
            </w:r>
            <w:r>
              <w:rPr>
                <w:rFonts w:ascii="宋体" w:hAnsi="宋体" w:eastAsia="宋体" w:cs="宋体"/>
                <w:spacing w:val="-5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规</w:t>
            </w:r>
            <w:r>
              <w:rPr>
                <w:rFonts w:ascii="宋体" w:hAnsi="宋体" w:eastAsia="宋体" w:cs="宋体"/>
                <w:spacing w:val="-5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规</w:t>
            </w:r>
            <w:r>
              <w:rPr>
                <w:rFonts w:ascii="宋体" w:hAnsi="宋体" w:eastAsia="宋体" w:cs="宋体"/>
                <w:spacing w:val="-50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定</w:t>
            </w:r>
            <w:r>
              <w:rPr>
                <w:rFonts w:ascii="宋体" w:hAnsi="宋体" w:eastAsia="宋体" w:cs="宋体"/>
                <w:spacing w:val="-5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和</w:t>
            </w:r>
            <w:r>
              <w:rPr>
                <w:rFonts w:ascii="宋体" w:hAnsi="宋体" w:eastAsia="宋体" w:cs="宋体"/>
                <w:spacing w:val="-5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在</w:t>
            </w:r>
            <w:r>
              <w:rPr>
                <w:rFonts w:ascii="宋体" w:hAnsi="宋体" w:eastAsia="宋体" w:cs="宋体"/>
                <w:spacing w:val="-5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巡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视、审计、财政监督检</w:t>
            </w:r>
          </w:p>
          <w:p w14:paraId="6F602D4E">
            <w:pPr>
              <w:spacing w:before="78"/>
              <w:ind w:left="113" w:right="103" w:firstLine="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查中发现问题以及财政</w:t>
            </w:r>
            <w:r>
              <w:rPr>
                <w:rFonts w:ascii="宋体" w:hAnsi="宋体" w:eastAsia="宋体" w:cs="宋体"/>
                <w:spacing w:val="5"/>
                <w:w w:val="10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重点评价项目绩效实现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情况。</w:t>
            </w:r>
          </w:p>
        </w:tc>
        <w:tc>
          <w:tcPr>
            <w:tcW w:w="585" w:type="dxa"/>
            <w:vAlign w:val="top"/>
          </w:tcPr>
          <w:p w14:paraId="2E291A27">
            <w:pPr>
              <w:spacing w:line="336" w:lineRule="auto"/>
              <w:rPr>
                <w:rFonts w:ascii="宋体"/>
                <w:sz w:val="21"/>
              </w:rPr>
            </w:pPr>
          </w:p>
          <w:p w14:paraId="70F3057D">
            <w:pPr>
              <w:spacing w:line="337" w:lineRule="auto"/>
              <w:rPr>
                <w:rFonts w:ascii="宋体"/>
                <w:sz w:val="21"/>
              </w:rPr>
            </w:pPr>
          </w:p>
          <w:p w14:paraId="01CA8C15">
            <w:pPr>
              <w:spacing w:before="59" w:line="184" w:lineRule="auto"/>
              <w:ind w:firstLine="11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无</w:t>
            </w:r>
          </w:p>
        </w:tc>
        <w:tc>
          <w:tcPr>
            <w:tcW w:w="486" w:type="dxa"/>
            <w:vAlign w:val="top"/>
          </w:tcPr>
          <w:p w14:paraId="362CB56B">
            <w:pPr>
              <w:spacing w:line="349" w:lineRule="auto"/>
              <w:rPr>
                <w:rFonts w:ascii="宋体"/>
                <w:sz w:val="21"/>
              </w:rPr>
            </w:pPr>
          </w:p>
          <w:p w14:paraId="35FDBD69">
            <w:pPr>
              <w:spacing w:line="349" w:lineRule="auto"/>
              <w:rPr>
                <w:rFonts w:ascii="宋体"/>
                <w:sz w:val="21"/>
              </w:rPr>
            </w:pPr>
          </w:p>
          <w:p w14:paraId="57D9E615">
            <w:pPr>
              <w:spacing w:before="59" w:line="180" w:lineRule="auto"/>
              <w:ind w:firstLine="11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396" w:type="dxa"/>
            <w:vAlign w:val="top"/>
          </w:tcPr>
          <w:p w14:paraId="50609147">
            <w:pPr>
              <w:spacing w:line="349" w:lineRule="auto"/>
              <w:rPr>
                <w:rFonts w:ascii="宋体"/>
                <w:sz w:val="21"/>
              </w:rPr>
            </w:pPr>
          </w:p>
          <w:p w14:paraId="3AE858CB">
            <w:pPr>
              <w:spacing w:line="349" w:lineRule="auto"/>
              <w:rPr>
                <w:rFonts w:ascii="宋体"/>
                <w:sz w:val="21"/>
              </w:rPr>
            </w:pPr>
          </w:p>
          <w:p w14:paraId="3E7661BC">
            <w:pPr>
              <w:spacing w:before="59" w:line="180" w:lineRule="auto"/>
              <w:ind w:firstLine="11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629" w:type="dxa"/>
            <w:vAlign w:val="top"/>
          </w:tcPr>
          <w:p w14:paraId="05A088B7">
            <w:pPr>
              <w:rPr>
                <w:rFonts w:ascii="宋体"/>
                <w:sz w:val="21"/>
              </w:rPr>
            </w:pPr>
          </w:p>
        </w:tc>
      </w:tr>
      <w:tr w14:paraId="224A59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5" w:hRule="atLeast"/>
        </w:trPr>
        <w:tc>
          <w:tcPr>
            <w:tcW w:w="400" w:type="dxa"/>
            <w:vMerge w:val="continue"/>
            <w:tcBorders>
              <w:top w:val="nil"/>
              <w:bottom w:val="nil"/>
            </w:tcBorders>
            <w:vAlign w:val="top"/>
          </w:tcPr>
          <w:p w14:paraId="5BE6FC1A">
            <w:pPr>
              <w:rPr>
                <w:rFonts w:ascii="宋体"/>
                <w:sz w:val="21"/>
              </w:rPr>
            </w:pPr>
          </w:p>
        </w:tc>
        <w:tc>
          <w:tcPr>
            <w:tcW w:w="396" w:type="dxa"/>
            <w:vMerge w:val="continue"/>
            <w:tcBorders>
              <w:top w:val="nil"/>
              <w:bottom w:val="nil"/>
            </w:tcBorders>
            <w:vAlign w:val="top"/>
          </w:tcPr>
          <w:p w14:paraId="7CDD43EA">
            <w:pPr>
              <w:rPr>
                <w:rFonts w:ascii="宋体"/>
                <w:sz w:val="21"/>
              </w:rPr>
            </w:pPr>
          </w:p>
        </w:tc>
        <w:tc>
          <w:tcPr>
            <w:tcW w:w="881" w:type="dxa"/>
            <w:vMerge w:val="continue"/>
            <w:tcBorders>
              <w:top w:val="nil"/>
            </w:tcBorders>
            <w:vAlign w:val="top"/>
          </w:tcPr>
          <w:p w14:paraId="6129856B">
            <w:pPr>
              <w:rPr>
                <w:rFonts w:ascii="宋体"/>
                <w:sz w:val="21"/>
              </w:rPr>
            </w:pPr>
          </w:p>
        </w:tc>
        <w:tc>
          <w:tcPr>
            <w:tcW w:w="2683" w:type="dxa"/>
            <w:vAlign w:val="top"/>
          </w:tcPr>
          <w:p w14:paraId="3AA38B0E">
            <w:pPr>
              <w:spacing w:line="445" w:lineRule="auto"/>
              <w:rPr>
                <w:rFonts w:ascii="宋体"/>
                <w:sz w:val="21"/>
              </w:rPr>
            </w:pPr>
          </w:p>
          <w:p w14:paraId="3DCB3FDE">
            <w:pPr>
              <w:spacing w:before="59" w:line="184" w:lineRule="auto"/>
              <w:ind w:firstLine="71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政府采购执行率</w:t>
            </w:r>
          </w:p>
        </w:tc>
        <w:tc>
          <w:tcPr>
            <w:tcW w:w="2070" w:type="dxa"/>
            <w:vAlign w:val="top"/>
          </w:tcPr>
          <w:p w14:paraId="67F3182B">
            <w:pPr>
              <w:spacing w:before="44" w:line="250" w:lineRule="auto"/>
              <w:ind w:left="111" w:right="103" w:firstLine="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部门本年度实际政府采</w:t>
            </w:r>
            <w:r>
              <w:rPr>
                <w:rFonts w:ascii="宋体" w:hAnsi="宋体" w:eastAsia="宋体" w:cs="宋体"/>
                <w:spacing w:val="5"/>
                <w:w w:val="10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购金额与年初政府采购</w:t>
            </w: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预算的比率，用以反映</w:t>
            </w: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和考核部门政府采购预</w:t>
            </w: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算执行情况。</w:t>
            </w:r>
          </w:p>
        </w:tc>
        <w:tc>
          <w:tcPr>
            <w:tcW w:w="585" w:type="dxa"/>
            <w:vAlign w:val="top"/>
          </w:tcPr>
          <w:p w14:paraId="408D2F1C">
            <w:pPr>
              <w:spacing w:line="445" w:lineRule="auto"/>
              <w:rPr>
                <w:rFonts w:ascii="宋体"/>
                <w:sz w:val="21"/>
              </w:rPr>
            </w:pPr>
          </w:p>
          <w:p w14:paraId="2ADC3A5F">
            <w:pPr>
              <w:spacing w:before="59" w:line="184" w:lineRule="auto"/>
              <w:ind w:firstLine="12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100%</w:t>
            </w:r>
          </w:p>
        </w:tc>
        <w:tc>
          <w:tcPr>
            <w:tcW w:w="486" w:type="dxa"/>
            <w:vAlign w:val="top"/>
          </w:tcPr>
          <w:p w14:paraId="7CD5749C">
            <w:pPr>
              <w:spacing w:line="470" w:lineRule="auto"/>
              <w:rPr>
                <w:rFonts w:ascii="宋体"/>
                <w:sz w:val="21"/>
              </w:rPr>
            </w:pPr>
          </w:p>
          <w:p w14:paraId="1072582B">
            <w:pPr>
              <w:spacing w:before="59" w:line="180" w:lineRule="auto"/>
              <w:ind w:firstLine="11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396" w:type="dxa"/>
            <w:vAlign w:val="top"/>
          </w:tcPr>
          <w:p w14:paraId="5A740CF7">
            <w:pPr>
              <w:spacing w:line="470" w:lineRule="auto"/>
              <w:rPr>
                <w:rFonts w:ascii="宋体"/>
                <w:sz w:val="21"/>
              </w:rPr>
            </w:pPr>
          </w:p>
          <w:p w14:paraId="5718CF28">
            <w:pPr>
              <w:spacing w:before="59" w:line="180" w:lineRule="auto"/>
              <w:ind w:firstLine="11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629" w:type="dxa"/>
            <w:vAlign w:val="top"/>
          </w:tcPr>
          <w:p w14:paraId="50CE29A5">
            <w:pPr>
              <w:rPr>
                <w:rFonts w:ascii="宋体"/>
                <w:sz w:val="21"/>
              </w:rPr>
            </w:pPr>
          </w:p>
        </w:tc>
      </w:tr>
      <w:tr w14:paraId="7C7442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4" w:hRule="atLeast"/>
        </w:trPr>
        <w:tc>
          <w:tcPr>
            <w:tcW w:w="400" w:type="dxa"/>
            <w:vMerge w:val="continue"/>
            <w:tcBorders>
              <w:top w:val="nil"/>
              <w:bottom w:val="nil"/>
            </w:tcBorders>
            <w:vAlign w:val="top"/>
          </w:tcPr>
          <w:p w14:paraId="75511908">
            <w:pPr>
              <w:rPr>
                <w:rFonts w:ascii="宋体"/>
                <w:sz w:val="21"/>
              </w:rPr>
            </w:pPr>
          </w:p>
        </w:tc>
        <w:tc>
          <w:tcPr>
            <w:tcW w:w="396" w:type="dxa"/>
            <w:vMerge w:val="continue"/>
            <w:tcBorders>
              <w:top w:val="nil"/>
              <w:bottom w:val="nil"/>
            </w:tcBorders>
            <w:vAlign w:val="top"/>
          </w:tcPr>
          <w:p w14:paraId="315C095F">
            <w:pPr>
              <w:rPr>
                <w:rFonts w:ascii="宋体"/>
                <w:sz w:val="21"/>
              </w:rPr>
            </w:pPr>
          </w:p>
        </w:tc>
        <w:tc>
          <w:tcPr>
            <w:tcW w:w="881" w:type="dxa"/>
            <w:vMerge w:val="restart"/>
            <w:tcBorders>
              <w:bottom w:val="nil"/>
            </w:tcBorders>
            <w:vAlign w:val="top"/>
          </w:tcPr>
          <w:p w14:paraId="72EAA14F">
            <w:pPr>
              <w:spacing w:line="251" w:lineRule="auto"/>
              <w:rPr>
                <w:rFonts w:ascii="宋体"/>
                <w:sz w:val="21"/>
              </w:rPr>
            </w:pPr>
          </w:p>
          <w:p w14:paraId="6D1A552D">
            <w:pPr>
              <w:spacing w:line="251" w:lineRule="auto"/>
              <w:rPr>
                <w:rFonts w:ascii="宋体"/>
                <w:sz w:val="21"/>
              </w:rPr>
            </w:pPr>
          </w:p>
          <w:p w14:paraId="04A8FFF7">
            <w:pPr>
              <w:spacing w:line="252" w:lineRule="auto"/>
              <w:rPr>
                <w:rFonts w:ascii="宋体"/>
                <w:sz w:val="21"/>
              </w:rPr>
            </w:pPr>
          </w:p>
          <w:p w14:paraId="72778289">
            <w:pPr>
              <w:spacing w:line="252" w:lineRule="auto"/>
              <w:rPr>
                <w:rFonts w:ascii="宋体"/>
                <w:sz w:val="21"/>
              </w:rPr>
            </w:pPr>
          </w:p>
          <w:p w14:paraId="00DF1393">
            <w:pPr>
              <w:spacing w:line="252" w:lineRule="auto"/>
              <w:rPr>
                <w:rFonts w:ascii="宋体"/>
                <w:sz w:val="21"/>
              </w:rPr>
            </w:pPr>
          </w:p>
          <w:p w14:paraId="529EE088">
            <w:pPr>
              <w:spacing w:before="58" w:line="246" w:lineRule="auto"/>
              <w:ind w:left="354" w:right="169" w:hanging="17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资产管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理</w:t>
            </w:r>
          </w:p>
        </w:tc>
        <w:tc>
          <w:tcPr>
            <w:tcW w:w="2683" w:type="dxa"/>
            <w:vAlign w:val="top"/>
          </w:tcPr>
          <w:p w14:paraId="74C34040">
            <w:pPr>
              <w:spacing w:line="336" w:lineRule="auto"/>
              <w:rPr>
                <w:rFonts w:ascii="宋体"/>
                <w:sz w:val="21"/>
              </w:rPr>
            </w:pPr>
          </w:p>
          <w:p w14:paraId="12DC1DA9">
            <w:pPr>
              <w:spacing w:line="337" w:lineRule="auto"/>
              <w:rPr>
                <w:rFonts w:ascii="宋体"/>
                <w:sz w:val="21"/>
              </w:rPr>
            </w:pPr>
          </w:p>
          <w:p w14:paraId="7FE3747E">
            <w:pPr>
              <w:spacing w:before="59" w:line="184" w:lineRule="auto"/>
              <w:ind w:firstLine="71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管理制度健全性</w:t>
            </w:r>
          </w:p>
        </w:tc>
        <w:tc>
          <w:tcPr>
            <w:tcW w:w="2070" w:type="dxa"/>
            <w:vAlign w:val="top"/>
          </w:tcPr>
          <w:p w14:paraId="60634B2E">
            <w:pPr>
              <w:spacing w:before="44" w:line="255" w:lineRule="auto"/>
              <w:ind w:left="113" w:right="103" w:firstLine="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部门为加强资产管理、</w:t>
            </w:r>
            <w:r>
              <w:rPr>
                <w:rFonts w:ascii="宋体" w:hAnsi="宋体" w:eastAsia="宋体" w:cs="宋体"/>
                <w:spacing w:val="5"/>
                <w:w w:val="10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规范资产管理行为而制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定的管理制度是否健全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完整，用以反映和考核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部门资产管理制度对完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成主要职责或促进社会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发展的保障情况</w:t>
            </w:r>
          </w:p>
        </w:tc>
        <w:tc>
          <w:tcPr>
            <w:tcW w:w="585" w:type="dxa"/>
            <w:vAlign w:val="top"/>
          </w:tcPr>
          <w:p w14:paraId="39E5DFDC">
            <w:pPr>
              <w:spacing w:line="336" w:lineRule="auto"/>
              <w:rPr>
                <w:rFonts w:ascii="宋体"/>
                <w:sz w:val="21"/>
              </w:rPr>
            </w:pPr>
          </w:p>
          <w:p w14:paraId="775A0B1F">
            <w:pPr>
              <w:spacing w:line="337" w:lineRule="auto"/>
              <w:rPr>
                <w:rFonts w:ascii="宋体"/>
                <w:sz w:val="21"/>
              </w:rPr>
            </w:pPr>
          </w:p>
          <w:p w14:paraId="556945A4">
            <w:pPr>
              <w:spacing w:before="59" w:line="184" w:lineRule="auto"/>
              <w:ind w:firstLine="11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符合</w:t>
            </w:r>
          </w:p>
        </w:tc>
        <w:tc>
          <w:tcPr>
            <w:tcW w:w="486" w:type="dxa"/>
            <w:vAlign w:val="top"/>
          </w:tcPr>
          <w:p w14:paraId="73636239">
            <w:pPr>
              <w:spacing w:line="349" w:lineRule="auto"/>
              <w:rPr>
                <w:rFonts w:ascii="宋体"/>
                <w:sz w:val="21"/>
              </w:rPr>
            </w:pPr>
          </w:p>
          <w:p w14:paraId="11757815">
            <w:pPr>
              <w:spacing w:line="349" w:lineRule="auto"/>
              <w:rPr>
                <w:rFonts w:ascii="宋体"/>
                <w:sz w:val="21"/>
              </w:rPr>
            </w:pPr>
          </w:p>
          <w:p w14:paraId="5D8B4EAF">
            <w:pPr>
              <w:spacing w:before="59" w:line="180" w:lineRule="auto"/>
              <w:ind w:firstLine="11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396" w:type="dxa"/>
            <w:vAlign w:val="top"/>
          </w:tcPr>
          <w:p w14:paraId="150CE899">
            <w:pPr>
              <w:spacing w:line="349" w:lineRule="auto"/>
              <w:rPr>
                <w:rFonts w:ascii="宋体"/>
                <w:sz w:val="21"/>
              </w:rPr>
            </w:pPr>
          </w:p>
          <w:p w14:paraId="5B043189">
            <w:pPr>
              <w:spacing w:line="349" w:lineRule="auto"/>
              <w:rPr>
                <w:rFonts w:ascii="宋体"/>
                <w:sz w:val="21"/>
              </w:rPr>
            </w:pPr>
          </w:p>
          <w:p w14:paraId="4EAD6C42">
            <w:pPr>
              <w:spacing w:before="59" w:line="180" w:lineRule="auto"/>
              <w:ind w:firstLine="11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629" w:type="dxa"/>
            <w:vAlign w:val="top"/>
          </w:tcPr>
          <w:p w14:paraId="112495DB">
            <w:pPr>
              <w:rPr>
                <w:rFonts w:ascii="宋体"/>
                <w:sz w:val="21"/>
              </w:rPr>
            </w:pPr>
          </w:p>
        </w:tc>
      </w:tr>
      <w:tr w14:paraId="36C6CA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400" w:type="dxa"/>
            <w:vMerge w:val="continue"/>
            <w:tcBorders>
              <w:top w:val="nil"/>
            </w:tcBorders>
            <w:vAlign w:val="top"/>
          </w:tcPr>
          <w:p w14:paraId="5990F407">
            <w:pPr>
              <w:rPr>
                <w:rFonts w:ascii="宋体"/>
                <w:sz w:val="21"/>
              </w:rPr>
            </w:pPr>
          </w:p>
        </w:tc>
        <w:tc>
          <w:tcPr>
            <w:tcW w:w="396" w:type="dxa"/>
            <w:vMerge w:val="continue"/>
            <w:tcBorders>
              <w:top w:val="nil"/>
            </w:tcBorders>
            <w:vAlign w:val="top"/>
          </w:tcPr>
          <w:p w14:paraId="4EA8EC46">
            <w:pPr>
              <w:rPr>
                <w:rFonts w:ascii="宋体"/>
                <w:sz w:val="21"/>
              </w:rPr>
            </w:pPr>
          </w:p>
        </w:tc>
        <w:tc>
          <w:tcPr>
            <w:tcW w:w="881" w:type="dxa"/>
            <w:vMerge w:val="continue"/>
            <w:tcBorders>
              <w:top w:val="nil"/>
            </w:tcBorders>
            <w:vAlign w:val="top"/>
          </w:tcPr>
          <w:p w14:paraId="0D1F2088">
            <w:pPr>
              <w:rPr>
                <w:rFonts w:ascii="宋体"/>
                <w:sz w:val="21"/>
              </w:rPr>
            </w:pPr>
          </w:p>
        </w:tc>
        <w:tc>
          <w:tcPr>
            <w:tcW w:w="2683" w:type="dxa"/>
            <w:vAlign w:val="top"/>
          </w:tcPr>
          <w:p w14:paraId="4AFD2BC3">
            <w:pPr>
              <w:spacing w:line="279" w:lineRule="auto"/>
              <w:rPr>
                <w:rFonts w:ascii="宋体"/>
                <w:sz w:val="21"/>
              </w:rPr>
            </w:pPr>
          </w:p>
          <w:p w14:paraId="332FBE5E">
            <w:pPr>
              <w:spacing w:line="280" w:lineRule="auto"/>
              <w:rPr>
                <w:rFonts w:ascii="宋体"/>
                <w:sz w:val="21"/>
              </w:rPr>
            </w:pPr>
          </w:p>
          <w:p w14:paraId="63D38A44">
            <w:pPr>
              <w:spacing w:before="59" w:line="184" w:lineRule="auto"/>
              <w:ind w:firstLine="7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资产管理安全性</w:t>
            </w:r>
          </w:p>
        </w:tc>
        <w:tc>
          <w:tcPr>
            <w:tcW w:w="2070" w:type="dxa"/>
            <w:vAlign w:val="top"/>
          </w:tcPr>
          <w:p w14:paraId="4889297B">
            <w:pPr>
              <w:spacing w:before="44" w:line="253" w:lineRule="auto"/>
              <w:ind w:left="113" w:right="103" w:firstLine="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部门的资产是否保存完</w:t>
            </w:r>
            <w:r>
              <w:rPr>
                <w:rFonts w:ascii="宋体" w:hAnsi="宋体" w:eastAsia="宋体" w:cs="宋体"/>
                <w:spacing w:val="5"/>
                <w:w w:val="10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整、使用合规、配置合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理、处置规范、收入及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时足额上缴，用以反映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和考核部门资产安全运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行情况。</w:t>
            </w:r>
          </w:p>
        </w:tc>
        <w:tc>
          <w:tcPr>
            <w:tcW w:w="585" w:type="dxa"/>
            <w:vAlign w:val="top"/>
          </w:tcPr>
          <w:p w14:paraId="1DC1E78E">
            <w:pPr>
              <w:spacing w:line="279" w:lineRule="auto"/>
              <w:rPr>
                <w:rFonts w:ascii="宋体"/>
                <w:sz w:val="21"/>
              </w:rPr>
            </w:pPr>
          </w:p>
          <w:p w14:paraId="6A3A33FC">
            <w:pPr>
              <w:spacing w:line="280" w:lineRule="auto"/>
              <w:rPr>
                <w:rFonts w:ascii="宋体"/>
                <w:sz w:val="21"/>
              </w:rPr>
            </w:pPr>
          </w:p>
          <w:p w14:paraId="65F40AA1">
            <w:pPr>
              <w:spacing w:before="59" w:line="184" w:lineRule="auto"/>
              <w:ind w:firstLine="11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符合</w:t>
            </w:r>
          </w:p>
        </w:tc>
        <w:tc>
          <w:tcPr>
            <w:tcW w:w="486" w:type="dxa"/>
            <w:vAlign w:val="top"/>
          </w:tcPr>
          <w:p w14:paraId="7BBB2368">
            <w:pPr>
              <w:spacing w:line="292" w:lineRule="auto"/>
              <w:rPr>
                <w:rFonts w:ascii="宋体"/>
                <w:sz w:val="21"/>
              </w:rPr>
            </w:pPr>
          </w:p>
          <w:p w14:paraId="780F1BA4">
            <w:pPr>
              <w:spacing w:line="292" w:lineRule="auto"/>
              <w:rPr>
                <w:rFonts w:ascii="宋体"/>
                <w:sz w:val="21"/>
              </w:rPr>
            </w:pPr>
          </w:p>
          <w:p w14:paraId="17EC482D">
            <w:pPr>
              <w:spacing w:before="59" w:line="180" w:lineRule="auto"/>
              <w:ind w:firstLine="11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396" w:type="dxa"/>
            <w:vAlign w:val="top"/>
          </w:tcPr>
          <w:p w14:paraId="394780AC">
            <w:pPr>
              <w:spacing w:line="292" w:lineRule="auto"/>
              <w:rPr>
                <w:rFonts w:ascii="宋体"/>
                <w:sz w:val="21"/>
              </w:rPr>
            </w:pPr>
          </w:p>
          <w:p w14:paraId="264460E4">
            <w:pPr>
              <w:spacing w:line="292" w:lineRule="auto"/>
              <w:rPr>
                <w:rFonts w:ascii="宋体"/>
                <w:sz w:val="21"/>
              </w:rPr>
            </w:pPr>
          </w:p>
          <w:p w14:paraId="0EE36902">
            <w:pPr>
              <w:spacing w:before="59" w:line="180" w:lineRule="auto"/>
              <w:ind w:firstLine="11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629" w:type="dxa"/>
            <w:vAlign w:val="top"/>
          </w:tcPr>
          <w:p w14:paraId="51A659EB">
            <w:pPr>
              <w:rPr>
                <w:rFonts w:ascii="宋体"/>
                <w:sz w:val="21"/>
              </w:rPr>
            </w:pPr>
          </w:p>
        </w:tc>
      </w:tr>
      <w:tr w14:paraId="27E716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4" w:hRule="atLeast"/>
        </w:trPr>
        <w:tc>
          <w:tcPr>
            <w:tcW w:w="400" w:type="dxa"/>
            <w:textDirection w:val="tbRlV"/>
            <w:vAlign w:val="top"/>
          </w:tcPr>
          <w:p w14:paraId="39F43453">
            <w:pPr>
              <w:spacing w:before="106" w:line="180" w:lineRule="auto"/>
              <w:ind w:firstLine="86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产</w:t>
            </w:r>
            <w:r>
              <w:rPr>
                <w:rFonts w:ascii="宋体" w:hAnsi="宋体" w:eastAsia="宋体" w:cs="宋体"/>
                <w:spacing w:val="-2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出</w:t>
            </w:r>
            <w:r>
              <w:rPr>
                <w:rFonts w:ascii="宋体" w:hAnsi="宋体" w:eastAsia="宋体" w:cs="宋体"/>
                <w:spacing w:val="-30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指</w:t>
            </w:r>
            <w:r>
              <w:rPr>
                <w:rFonts w:ascii="宋体" w:hAnsi="宋体" w:eastAsia="宋体" w:cs="宋体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标</w:t>
            </w:r>
          </w:p>
        </w:tc>
        <w:tc>
          <w:tcPr>
            <w:tcW w:w="396" w:type="dxa"/>
            <w:vAlign w:val="top"/>
          </w:tcPr>
          <w:p w14:paraId="07146B4F">
            <w:pPr>
              <w:spacing w:line="262" w:lineRule="auto"/>
              <w:rPr>
                <w:rFonts w:ascii="宋体"/>
                <w:sz w:val="21"/>
              </w:rPr>
            </w:pPr>
          </w:p>
          <w:p w14:paraId="7C48B41F">
            <w:pPr>
              <w:spacing w:line="262" w:lineRule="auto"/>
              <w:rPr>
                <w:rFonts w:ascii="宋体"/>
                <w:sz w:val="21"/>
              </w:rPr>
            </w:pPr>
          </w:p>
          <w:p w14:paraId="6990A5F7">
            <w:pPr>
              <w:spacing w:line="262" w:lineRule="auto"/>
              <w:rPr>
                <w:rFonts w:ascii="宋体"/>
                <w:sz w:val="21"/>
              </w:rPr>
            </w:pPr>
          </w:p>
          <w:p w14:paraId="2991287B">
            <w:pPr>
              <w:spacing w:line="263" w:lineRule="auto"/>
              <w:rPr>
                <w:rFonts w:ascii="宋体"/>
                <w:sz w:val="21"/>
              </w:rPr>
            </w:pPr>
          </w:p>
          <w:p w14:paraId="2D426307">
            <w:pPr>
              <w:spacing w:before="58" w:line="180" w:lineRule="auto"/>
              <w:ind w:firstLine="1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25</w:t>
            </w:r>
          </w:p>
        </w:tc>
        <w:tc>
          <w:tcPr>
            <w:tcW w:w="881" w:type="dxa"/>
            <w:tcBorders>
              <w:bottom w:val="nil"/>
            </w:tcBorders>
            <w:vAlign w:val="top"/>
          </w:tcPr>
          <w:p w14:paraId="22857819">
            <w:pPr>
              <w:spacing w:line="304" w:lineRule="auto"/>
              <w:rPr>
                <w:rFonts w:ascii="宋体"/>
                <w:sz w:val="21"/>
              </w:rPr>
            </w:pPr>
          </w:p>
          <w:p w14:paraId="6BDCA7E3">
            <w:pPr>
              <w:spacing w:line="304" w:lineRule="auto"/>
              <w:rPr>
                <w:rFonts w:ascii="宋体"/>
                <w:sz w:val="21"/>
              </w:rPr>
            </w:pPr>
          </w:p>
          <w:p w14:paraId="11434751">
            <w:pPr>
              <w:spacing w:line="304" w:lineRule="auto"/>
              <w:rPr>
                <w:rFonts w:ascii="宋体"/>
                <w:sz w:val="21"/>
              </w:rPr>
            </w:pPr>
          </w:p>
          <w:p w14:paraId="78B14CC8">
            <w:pPr>
              <w:spacing w:before="59" w:line="246" w:lineRule="auto"/>
              <w:ind w:left="355" w:right="169" w:hanging="18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职责履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z w:val="18"/>
                <w:szCs w:val="18"/>
              </w:rPr>
              <w:t>行</w:t>
            </w:r>
          </w:p>
        </w:tc>
        <w:tc>
          <w:tcPr>
            <w:tcW w:w="2683" w:type="dxa"/>
            <w:vAlign w:val="top"/>
          </w:tcPr>
          <w:p w14:paraId="6985AB73">
            <w:pPr>
              <w:spacing w:before="51" w:line="258" w:lineRule="auto"/>
              <w:ind w:left="109" w:right="80" w:firstLine="1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引导党员深入学习贯彻习近平</w:t>
            </w: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>新时代中国特色社会主义思想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和党的十九大、十九届二中、三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中、四中、五中全会及中央和国</w:t>
            </w:r>
            <w:r>
              <w:rPr>
                <w:rFonts w:ascii="宋体" w:hAnsi="宋体" w:eastAsia="宋体" w:cs="宋体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家机关党的建设工作会议精神，</w:t>
            </w: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结合“党史学习教育”总体</w:t>
            </w:r>
            <w:r>
              <w:rPr>
                <w:rFonts w:ascii="宋体" w:hAnsi="宋体" w:eastAsia="宋体" w:cs="宋体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部署，树立“围绕中心抓党建、</w:t>
            </w: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抓好党建促中心”的工作思路，</w:t>
            </w: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凝聚人心、服务大局，较好地完</w:t>
            </w:r>
            <w:r>
              <w:rPr>
                <w:rFonts w:ascii="宋体" w:hAnsi="宋体" w:eastAsia="宋体" w:cs="宋体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成了全年各项工作任务</w:t>
            </w:r>
          </w:p>
        </w:tc>
        <w:tc>
          <w:tcPr>
            <w:tcW w:w="2070" w:type="dxa"/>
            <w:vAlign w:val="top"/>
          </w:tcPr>
          <w:p w14:paraId="6661EE9D">
            <w:pPr>
              <w:spacing w:line="292" w:lineRule="auto"/>
              <w:rPr>
                <w:rFonts w:ascii="宋体"/>
                <w:sz w:val="21"/>
              </w:rPr>
            </w:pPr>
          </w:p>
          <w:p w14:paraId="6C1FAB51">
            <w:pPr>
              <w:spacing w:line="293" w:lineRule="auto"/>
              <w:rPr>
                <w:rFonts w:ascii="宋体"/>
                <w:sz w:val="21"/>
              </w:rPr>
            </w:pPr>
          </w:p>
          <w:p w14:paraId="0CF1745B">
            <w:pPr>
              <w:spacing w:before="68" w:line="274" w:lineRule="auto"/>
              <w:ind w:left="114" w:right="103" w:firstLine="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0"/>
                <w:sz w:val="21"/>
                <w:szCs w:val="21"/>
              </w:rPr>
              <w:t>按年初工作计划序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>时推进</w:t>
            </w:r>
            <w:r>
              <w:rPr>
                <w:rFonts w:ascii="宋体" w:hAnsi="宋体" w:eastAsia="宋体" w:cs="宋体"/>
                <w:spacing w:val="-5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>，根据部门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2020</w:t>
            </w:r>
            <w:r>
              <w:rPr>
                <w:rFonts w:ascii="宋体" w:hAnsi="宋体" w:eastAsia="宋体" w:cs="宋体"/>
                <w:spacing w:val="-1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年工作任务安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排考核。</w:t>
            </w:r>
          </w:p>
        </w:tc>
        <w:tc>
          <w:tcPr>
            <w:tcW w:w="585" w:type="dxa"/>
            <w:vAlign w:val="top"/>
          </w:tcPr>
          <w:p w14:paraId="05254996">
            <w:pPr>
              <w:spacing w:line="304" w:lineRule="auto"/>
              <w:rPr>
                <w:rFonts w:ascii="宋体"/>
                <w:sz w:val="21"/>
              </w:rPr>
            </w:pPr>
          </w:p>
          <w:p w14:paraId="230E672E">
            <w:pPr>
              <w:spacing w:line="304" w:lineRule="auto"/>
              <w:rPr>
                <w:rFonts w:ascii="宋体"/>
                <w:sz w:val="21"/>
              </w:rPr>
            </w:pPr>
          </w:p>
          <w:p w14:paraId="5B2A2385">
            <w:pPr>
              <w:spacing w:line="304" w:lineRule="auto"/>
              <w:rPr>
                <w:rFonts w:ascii="宋体"/>
                <w:sz w:val="21"/>
              </w:rPr>
            </w:pPr>
          </w:p>
          <w:p w14:paraId="00B315B3">
            <w:pPr>
              <w:spacing w:before="59" w:line="246" w:lineRule="auto"/>
              <w:ind w:left="115" w:right="1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按时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完成</w:t>
            </w:r>
          </w:p>
        </w:tc>
        <w:tc>
          <w:tcPr>
            <w:tcW w:w="486" w:type="dxa"/>
            <w:vAlign w:val="top"/>
          </w:tcPr>
          <w:p w14:paraId="5C1E8AB7">
            <w:pPr>
              <w:spacing w:line="260" w:lineRule="auto"/>
              <w:rPr>
                <w:rFonts w:ascii="宋体"/>
                <w:sz w:val="21"/>
              </w:rPr>
            </w:pPr>
          </w:p>
          <w:p w14:paraId="04D76B67">
            <w:pPr>
              <w:spacing w:line="261" w:lineRule="auto"/>
              <w:rPr>
                <w:rFonts w:ascii="宋体"/>
                <w:sz w:val="21"/>
              </w:rPr>
            </w:pPr>
          </w:p>
          <w:p w14:paraId="34D5188F">
            <w:pPr>
              <w:spacing w:line="261" w:lineRule="auto"/>
              <w:rPr>
                <w:rFonts w:ascii="宋体"/>
                <w:sz w:val="21"/>
              </w:rPr>
            </w:pPr>
          </w:p>
          <w:p w14:paraId="0C755838">
            <w:pPr>
              <w:spacing w:line="261" w:lineRule="auto"/>
              <w:rPr>
                <w:rFonts w:ascii="宋体"/>
                <w:sz w:val="21"/>
              </w:rPr>
            </w:pPr>
          </w:p>
          <w:p w14:paraId="083DDA8B">
            <w:pPr>
              <w:spacing w:before="58" w:line="180" w:lineRule="auto"/>
              <w:ind w:firstLine="11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25</w:t>
            </w:r>
          </w:p>
        </w:tc>
        <w:tc>
          <w:tcPr>
            <w:tcW w:w="396" w:type="dxa"/>
            <w:vAlign w:val="top"/>
          </w:tcPr>
          <w:p w14:paraId="1EA7AA09">
            <w:pPr>
              <w:spacing w:line="260" w:lineRule="auto"/>
              <w:rPr>
                <w:rFonts w:ascii="宋体"/>
                <w:sz w:val="21"/>
              </w:rPr>
            </w:pPr>
          </w:p>
          <w:p w14:paraId="456D0C71">
            <w:pPr>
              <w:spacing w:line="261" w:lineRule="auto"/>
              <w:rPr>
                <w:rFonts w:ascii="宋体"/>
                <w:sz w:val="21"/>
              </w:rPr>
            </w:pPr>
          </w:p>
          <w:p w14:paraId="310BB7FB">
            <w:pPr>
              <w:spacing w:line="261" w:lineRule="auto"/>
              <w:rPr>
                <w:rFonts w:ascii="宋体"/>
                <w:sz w:val="21"/>
              </w:rPr>
            </w:pPr>
          </w:p>
          <w:p w14:paraId="62391351">
            <w:pPr>
              <w:spacing w:line="261" w:lineRule="auto"/>
              <w:rPr>
                <w:rFonts w:ascii="宋体"/>
                <w:sz w:val="21"/>
              </w:rPr>
            </w:pPr>
          </w:p>
          <w:p w14:paraId="56C1B498">
            <w:pPr>
              <w:spacing w:before="58" w:line="180" w:lineRule="auto"/>
              <w:ind w:firstLine="11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25</w:t>
            </w:r>
          </w:p>
        </w:tc>
        <w:tc>
          <w:tcPr>
            <w:tcW w:w="629" w:type="dxa"/>
            <w:vAlign w:val="top"/>
          </w:tcPr>
          <w:p w14:paraId="001B5C6D">
            <w:pPr>
              <w:rPr>
                <w:rFonts w:ascii="宋体"/>
                <w:sz w:val="21"/>
              </w:rPr>
            </w:pPr>
          </w:p>
        </w:tc>
      </w:tr>
      <w:tr w14:paraId="7C4CF5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400" w:type="dxa"/>
            <w:vMerge w:val="restart"/>
            <w:tcBorders>
              <w:bottom w:val="nil"/>
            </w:tcBorders>
            <w:textDirection w:val="tbRlV"/>
            <w:vAlign w:val="top"/>
          </w:tcPr>
          <w:p w14:paraId="4DDB5C02">
            <w:pPr>
              <w:spacing w:before="107" w:line="180" w:lineRule="auto"/>
              <w:ind w:firstLine="8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效</w:t>
            </w:r>
            <w:r>
              <w:rPr>
                <w:rFonts w:ascii="宋体" w:hAnsi="宋体" w:eastAsia="宋体" w:cs="宋体"/>
                <w:spacing w:val="-2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果</w:t>
            </w:r>
            <w:r>
              <w:rPr>
                <w:rFonts w:ascii="宋体" w:hAnsi="宋体" w:eastAsia="宋体" w:cs="宋体"/>
                <w:spacing w:val="-30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指</w:t>
            </w:r>
            <w:r>
              <w:rPr>
                <w:rFonts w:ascii="宋体" w:hAnsi="宋体" w:eastAsia="宋体" w:cs="宋体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标</w:t>
            </w:r>
          </w:p>
        </w:tc>
        <w:tc>
          <w:tcPr>
            <w:tcW w:w="396" w:type="dxa"/>
            <w:vMerge w:val="restart"/>
            <w:tcBorders>
              <w:bottom w:val="nil"/>
            </w:tcBorders>
            <w:vAlign w:val="top"/>
          </w:tcPr>
          <w:p w14:paraId="74A4D619">
            <w:pPr>
              <w:spacing w:line="363" w:lineRule="auto"/>
              <w:rPr>
                <w:rFonts w:ascii="宋体"/>
                <w:sz w:val="21"/>
              </w:rPr>
            </w:pPr>
          </w:p>
          <w:p w14:paraId="56A2E1BE">
            <w:pPr>
              <w:spacing w:before="59" w:line="180" w:lineRule="auto"/>
              <w:ind w:firstLine="11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35</w:t>
            </w:r>
          </w:p>
        </w:tc>
        <w:tc>
          <w:tcPr>
            <w:tcW w:w="881" w:type="dxa"/>
            <w:tcBorders>
              <w:top w:val="nil"/>
            </w:tcBorders>
            <w:vAlign w:val="top"/>
          </w:tcPr>
          <w:p w14:paraId="7FCDA653">
            <w:pPr>
              <w:spacing w:before="57" w:line="215" w:lineRule="auto"/>
              <w:ind w:left="354" w:right="169" w:hanging="18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经济效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益</w:t>
            </w:r>
          </w:p>
        </w:tc>
        <w:tc>
          <w:tcPr>
            <w:tcW w:w="2683" w:type="dxa"/>
            <w:vAlign w:val="top"/>
          </w:tcPr>
          <w:p w14:paraId="38A1A3E0">
            <w:pPr>
              <w:spacing w:before="57" w:line="215" w:lineRule="auto"/>
              <w:ind w:left="1168" w:right="169" w:hanging="99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为珠山区党组织建设发展贡献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力量</w:t>
            </w:r>
          </w:p>
        </w:tc>
        <w:tc>
          <w:tcPr>
            <w:tcW w:w="2070" w:type="dxa"/>
            <w:vAlign w:val="top"/>
          </w:tcPr>
          <w:p w14:paraId="641F8906">
            <w:pPr>
              <w:spacing w:before="177" w:line="184" w:lineRule="auto"/>
              <w:ind w:firstLine="11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稳步提升</w:t>
            </w:r>
          </w:p>
        </w:tc>
        <w:tc>
          <w:tcPr>
            <w:tcW w:w="585" w:type="dxa"/>
            <w:vAlign w:val="top"/>
          </w:tcPr>
          <w:p w14:paraId="76E2FBD2">
            <w:pPr>
              <w:spacing w:before="47" w:line="225" w:lineRule="auto"/>
              <w:ind w:left="115" w:right="1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稳步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提升</w:t>
            </w:r>
          </w:p>
        </w:tc>
        <w:tc>
          <w:tcPr>
            <w:tcW w:w="486" w:type="dxa"/>
            <w:vAlign w:val="top"/>
          </w:tcPr>
          <w:p w14:paraId="59F4F5FF">
            <w:pPr>
              <w:spacing w:before="204" w:line="180" w:lineRule="auto"/>
              <w:ind w:firstLine="12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9"/>
                <w:w w:val="99"/>
                <w:sz w:val="18"/>
                <w:szCs w:val="18"/>
              </w:rPr>
              <w:t>10</w:t>
            </w:r>
          </w:p>
        </w:tc>
        <w:tc>
          <w:tcPr>
            <w:tcW w:w="396" w:type="dxa"/>
            <w:vAlign w:val="top"/>
          </w:tcPr>
          <w:p w14:paraId="15585F79">
            <w:pPr>
              <w:spacing w:before="204" w:line="180" w:lineRule="auto"/>
              <w:ind w:firstLine="12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9"/>
                <w:w w:val="99"/>
                <w:sz w:val="18"/>
                <w:szCs w:val="18"/>
              </w:rPr>
              <w:t>10</w:t>
            </w:r>
          </w:p>
        </w:tc>
        <w:tc>
          <w:tcPr>
            <w:tcW w:w="629" w:type="dxa"/>
            <w:vAlign w:val="top"/>
          </w:tcPr>
          <w:p w14:paraId="3E421672">
            <w:pPr>
              <w:rPr>
                <w:rFonts w:ascii="宋体"/>
                <w:sz w:val="21"/>
              </w:rPr>
            </w:pPr>
          </w:p>
        </w:tc>
      </w:tr>
      <w:tr w14:paraId="50E5C0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40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C7246D3">
            <w:pPr>
              <w:rPr>
                <w:rFonts w:ascii="宋体"/>
                <w:sz w:val="21"/>
              </w:rPr>
            </w:pPr>
          </w:p>
        </w:tc>
        <w:tc>
          <w:tcPr>
            <w:tcW w:w="396" w:type="dxa"/>
            <w:vMerge w:val="continue"/>
            <w:tcBorders>
              <w:top w:val="nil"/>
            </w:tcBorders>
            <w:vAlign w:val="top"/>
          </w:tcPr>
          <w:p w14:paraId="50135C2D">
            <w:pPr>
              <w:rPr>
                <w:rFonts w:ascii="宋体"/>
                <w:sz w:val="21"/>
              </w:rPr>
            </w:pPr>
          </w:p>
        </w:tc>
        <w:tc>
          <w:tcPr>
            <w:tcW w:w="881" w:type="dxa"/>
            <w:vAlign w:val="top"/>
          </w:tcPr>
          <w:p w14:paraId="16AB2B6F">
            <w:pPr>
              <w:spacing w:before="57" w:line="215" w:lineRule="auto"/>
              <w:ind w:left="354" w:right="169" w:hanging="18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社会效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益</w:t>
            </w:r>
          </w:p>
        </w:tc>
        <w:tc>
          <w:tcPr>
            <w:tcW w:w="2683" w:type="dxa"/>
            <w:vAlign w:val="top"/>
          </w:tcPr>
          <w:p w14:paraId="5053CB8F">
            <w:pPr>
              <w:spacing w:before="177" w:line="184" w:lineRule="auto"/>
              <w:ind w:firstLine="26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开展党员先锋岗等志愿活动</w:t>
            </w:r>
          </w:p>
        </w:tc>
        <w:tc>
          <w:tcPr>
            <w:tcW w:w="2070" w:type="dxa"/>
            <w:vAlign w:val="top"/>
          </w:tcPr>
          <w:p w14:paraId="6AC16476">
            <w:pPr>
              <w:spacing w:before="177" w:line="184" w:lineRule="auto"/>
              <w:ind w:firstLine="11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稳步提升</w:t>
            </w:r>
          </w:p>
        </w:tc>
        <w:tc>
          <w:tcPr>
            <w:tcW w:w="585" w:type="dxa"/>
            <w:vAlign w:val="top"/>
          </w:tcPr>
          <w:p w14:paraId="4C11D657">
            <w:pPr>
              <w:spacing w:before="47" w:line="225" w:lineRule="auto"/>
              <w:ind w:left="115" w:right="1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稳步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提升</w:t>
            </w:r>
          </w:p>
        </w:tc>
        <w:tc>
          <w:tcPr>
            <w:tcW w:w="486" w:type="dxa"/>
            <w:vAlign w:val="top"/>
          </w:tcPr>
          <w:p w14:paraId="0E327E3B">
            <w:pPr>
              <w:spacing w:before="205" w:line="180" w:lineRule="auto"/>
              <w:ind w:firstLine="12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9"/>
                <w:w w:val="99"/>
                <w:sz w:val="18"/>
                <w:szCs w:val="18"/>
              </w:rPr>
              <w:t>15</w:t>
            </w:r>
          </w:p>
        </w:tc>
        <w:tc>
          <w:tcPr>
            <w:tcW w:w="396" w:type="dxa"/>
            <w:vAlign w:val="top"/>
          </w:tcPr>
          <w:p w14:paraId="4F202A2A">
            <w:pPr>
              <w:spacing w:before="205" w:line="180" w:lineRule="auto"/>
              <w:ind w:firstLine="12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9"/>
                <w:w w:val="99"/>
                <w:sz w:val="18"/>
                <w:szCs w:val="18"/>
              </w:rPr>
              <w:t>15</w:t>
            </w:r>
          </w:p>
        </w:tc>
        <w:tc>
          <w:tcPr>
            <w:tcW w:w="629" w:type="dxa"/>
            <w:vAlign w:val="top"/>
          </w:tcPr>
          <w:p w14:paraId="16C857BB">
            <w:pPr>
              <w:rPr>
                <w:rFonts w:ascii="宋体"/>
                <w:sz w:val="21"/>
              </w:rPr>
            </w:pPr>
          </w:p>
        </w:tc>
      </w:tr>
    </w:tbl>
    <w:p w14:paraId="62FD713E">
      <w:pPr>
        <w:rPr>
          <w:rFonts w:ascii="宋体"/>
          <w:sz w:val="21"/>
        </w:rPr>
      </w:pPr>
    </w:p>
    <w:p w14:paraId="72BA1AB7">
      <w:pPr>
        <w:sectPr>
          <w:pgSz w:w="11906" w:h="16839"/>
          <w:pgMar w:top="1431" w:right="1687" w:bottom="0" w:left="1687" w:header="0" w:footer="0" w:gutter="0"/>
          <w:cols w:space="720" w:num="1"/>
        </w:sectPr>
      </w:pPr>
    </w:p>
    <w:p w14:paraId="14366DB6">
      <w:pPr>
        <w:spacing w:line="91" w:lineRule="auto"/>
        <w:rPr>
          <w:rFonts w:ascii="Arial"/>
          <w:sz w:val="2"/>
        </w:rPr>
      </w:pPr>
    </w:p>
    <w:tbl>
      <w:tblPr>
        <w:tblStyle w:val="4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0"/>
        <w:gridCol w:w="396"/>
        <w:gridCol w:w="881"/>
        <w:gridCol w:w="2683"/>
        <w:gridCol w:w="2070"/>
        <w:gridCol w:w="585"/>
        <w:gridCol w:w="486"/>
        <w:gridCol w:w="396"/>
        <w:gridCol w:w="629"/>
      </w:tblGrid>
      <w:tr w14:paraId="522F05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400" w:type="dxa"/>
            <w:tcBorders>
              <w:top w:val="nil"/>
            </w:tcBorders>
            <w:vAlign w:val="top"/>
          </w:tcPr>
          <w:p w14:paraId="37364B37">
            <w:pPr>
              <w:rPr>
                <w:rFonts w:ascii="宋体"/>
                <w:sz w:val="21"/>
              </w:rPr>
            </w:pPr>
          </w:p>
        </w:tc>
        <w:tc>
          <w:tcPr>
            <w:tcW w:w="396" w:type="dxa"/>
            <w:tcBorders>
              <w:top w:val="nil"/>
            </w:tcBorders>
            <w:vAlign w:val="top"/>
          </w:tcPr>
          <w:p w14:paraId="4832570E">
            <w:pPr>
              <w:rPr>
                <w:rFonts w:ascii="宋体"/>
                <w:sz w:val="21"/>
              </w:rPr>
            </w:pPr>
          </w:p>
        </w:tc>
        <w:tc>
          <w:tcPr>
            <w:tcW w:w="881" w:type="dxa"/>
            <w:tcBorders>
              <w:top w:val="nil"/>
            </w:tcBorders>
            <w:vAlign w:val="top"/>
          </w:tcPr>
          <w:p w14:paraId="6148A4E4">
            <w:pPr>
              <w:spacing w:before="57" w:line="215" w:lineRule="auto"/>
              <w:ind w:left="354" w:right="169" w:hanging="18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生态效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益</w:t>
            </w:r>
          </w:p>
        </w:tc>
        <w:tc>
          <w:tcPr>
            <w:tcW w:w="2683" w:type="dxa"/>
            <w:vAlign w:val="top"/>
          </w:tcPr>
          <w:p w14:paraId="369A205F">
            <w:pPr>
              <w:spacing w:before="177" w:line="184" w:lineRule="auto"/>
              <w:ind w:firstLine="35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展现珠山区党员良好形象</w:t>
            </w:r>
          </w:p>
        </w:tc>
        <w:tc>
          <w:tcPr>
            <w:tcW w:w="2070" w:type="dxa"/>
            <w:vAlign w:val="top"/>
          </w:tcPr>
          <w:p w14:paraId="0963BD88">
            <w:pPr>
              <w:spacing w:before="177" w:line="184" w:lineRule="auto"/>
              <w:ind w:firstLine="11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稳步提升</w:t>
            </w:r>
          </w:p>
        </w:tc>
        <w:tc>
          <w:tcPr>
            <w:tcW w:w="585" w:type="dxa"/>
            <w:vAlign w:val="top"/>
          </w:tcPr>
          <w:p w14:paraId="4A87DE0F">
            <w:pPr>
              <w:spacing w:before="46" w:line="226" w:lineRule="auto"/>
              <w:ind w:left="115" w:right="1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稳步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提升</w:t>
            </w:r>
          </w:p>
        </w:tc>
        <w:tc>
          <w:tcPr>
            <w:tcW w:w="486" w:type="dxa"/>
            <w:vAlign w:val="top"/>
          </w:tcPr>
          <w:p w14:paraId="588BBCE7">
            <w:pPr>
              <w:spacing w:before="205" w:line="180" w:lineRule="auto"/>
              <w:ind w:firstLine="12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9"/>
                <w:w w:val="99"/>
                <w:sz w:val="18"/>
                <w:szCs w:val="18"/>
              </w:rPr>
              <w:t>10</w:t>
            </w:r>
          </w:p>
        </w:tc>
        <w:tc>
          <w:tcPr>
            <w:tcW w:w="396" w:type="dxa"/>
            <w:vAlign w:val="top"/>
          </w:tcPr>
          <w:p w14:paraId="46E9374B">
            <w:pPr>
              <w:spacing w:before="205" w:line="180" w:lineRule="auto"/>
              <w:ind w:firstLine="12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9"/>
                <w:w w:val="99"/>
                <w:sz w:val="18"/>
                <w:szCs w:val="18"/>
              </w:rPr>
              <w:t>10</w:t>
            </w:r>
          </w:p>
        </w:tc>
        <w:tc>
          <w:tcPr>
            <w:tcW w:w="629" w:type="dxa"/>
            <w:vAlign w:val="top"/>
          </w:tcPr>
          <w:p w14:paraId="4B66F347">
            <w:pPr>
              <w:rPr>
                <w:rFonts w:ascii="宋体"/>
                <w:sz w:val="21"/>
              </w:rPr>
            </w:pPr>
          </w:p>
        </w:tc>
      </w:tr>
      <w:tr w14:paraId="5B154D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2" w:hRule="atLeast"/>
        </w:trPr>
        <w:tc>
          <w:tcPr>
            <w:tcW w:w="400" w:type="dxa"/>
            <w:textDirection w:val="tbRlV"/>
            <w:vAlign w:val="top"/>
          </w:tcPr>
          <w:p w14:paraId="35001D70">
            <w:pPr>
              <w:spacing w:before="107" w:line="180" w:lineRule="auto"/>
              <w:ind w:firstLine="3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满</w:t>
            </w:r>
            <w:r>
              <w:rPr>
                <w:rFonts w:ascii="宋体" w:hAnsi="宋体" w:eastAsia="宋体" w:cs="宋体"/>
                <w:spacing w:val="-2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意</w:t>
            </w:r>
            <w:r>
              <w:rPr>
                <w:rFonts w:ascii="宋体" w:hAnsi="宋体" w:eastAsia="宋体" w:cs="宋体"/>
                <w:spacing w:val="-30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度</w:t>
            </w:r>
            <w:r>
              <w:rPr>
                <w:rFonts w:ascii="宋体" w:hAnsi="宋体" w:eastAsia="宋体" w:cs="宋体"/>
                <w:spacing w:val="-30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指</w:t>
            </w:r>
            <w:r>
              <w:rPr>
                <w:rFonts w:ascii="宋体" w:hAnsi="宋体" w:eastAsia="宋体" w:cs="宋体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标</w:t>
            </w:r>
          </w:p>
        </w:tc>
        <w:tc>
          <w:tcPr>
            <w:tcW w:w="396" w:type="dxa"/>
            <w:vAlign w:val="top"/>
          </w:tcPr>
          <w:p w14:paraId="27A04BAE">
            <w:pPr>
              <w:spacing w:line="424" w:lineRule="auto"/>
              <w:rPr>
                <w:rFonts w:ascii="宋体"/>
                <w:sz w:val="21"/>
              </w:rPr>
            </w:pPr>
          </w:p>
          <w:p w14:paraId="40770A8C">
            <w:pPr>
              <w:spacing w:before="58" w:line="180" w:lineRule="auto"/>
              <w:ind w:firstLine="12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9"/>
                <w:w w:val="99"/>
                <w:sz w:val="18"/>
                <w:szCs w:val="18"/>
              </w:rPr>
              <w:t>10</w:t>
            </w:r>
          </w:p>
        </w:tc>
        <w:tc>
          <w:tcPr>
            <w:tcW w:w="881" w:type="dxa"/>
            <w:vAlign w:val="top"/>
          </w:tcPr>
          <w:p w14:paraId="09414BCD">
            <w:pPr>
              <w:spacing w:line="294" w:lineRule="auto"/>
              <w:rPr>
                <w:rFonts w:ascii="宋体"/>
                <w:sz w:val="21"/>
              </w:rPr>
            </w:pPr>
          </w:p>
          <w:p w14:paraId="079E0C55">
            <w:pPr>
              <w:spacing w:before="59" w:line="246" w:lineRule="auto"/>
              <w:ind w:left="266" w:right="169" w:hanging="9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满意度</w:t>
            </w:r>
            <w:r>
              <w:rPr>
                <w:rFonts w:ascii="宋体" w:hAnsi="宋体" w:eastAsia="宋体" w:cs="宋体"/>
                <w:spacing w:val="1"/>
                <w:w w:val="10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指标</w:t>
            </w:r>
          </w:p>
        </w:tc>
        <w:tc>
          <w:tcPr>
            <w:tcW w:w="2683" w:type="dxa"/>
            <w:vAlign w:val="top"/>
          </w:tcPr>
          <w:p w14:paraId="16ECAC18">
            <w:pPr>
              <w:spacing w:line="400" w:lineRule="auto"/>
              <w:rPr>
                <w:rFonts w:ascii="宋体"/>
                <w:sz w:val="21"/>
              </w:rPr>
            </w:pPr>
          </w:p>
          <w:p w14:paraId="27AA1D06">
            <w:pPr>
              <w:spacing w:before="58" w:line="184" w:lineRule="auto"/>
              <w:ind w:firstLine="71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服务对象满意度</w:t>
            </w:r>
          </w:p>
        </w:tc>
        <w:tc>
          <w:tcPr>
            <w:tcW w:w="2070" w:type="dxa"/>
            <w:vAlign w:val="top"/>
          </w:tcPr>
          <w:p w14:paraId="6F3C4611">
            <w:pPr>
              <w:spacing w:line="400" w:lineRule="auto"/>
              <w:rPr>
                <w:rFonts w:ascii="宋体"/>
                <w:sz w:val="21"/>
              </w:rPr>
            </w:pPr>
          </w:p>
          <w:p w14:paraId="20D732D9">
            <w:pPr>
              <w:spacing w:before="58" w:line="184" w:lineRule="auto"/>
              <w:ind w:firstLine="87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100%</w:t>
            </w:r>
          </w:p>
        </w:tc>
        <w:tc>
          <w:tcPr>
            <w:tcW w:w="585" w:type="dxa"/>
            <w:vAlign w:val="top"/>
          </w:tcPr>
          <w:p w14:paraId="70828483">
            <w:pPr>
              <w:spacing w:line="400" w:lineRule="auto"/>
              <w:rPr>
                <w:rFonts w:ascii="宋体"/>
                <w:sz w:val="21"/>
              </w:rPr>
            </w:pPr>
          </w:p>
          <w:p w14:paraId="7F84E30B">
            <w:pPr>
              <w:spacing w:before="58" w:line="184" w:lineRule="auto"/>
              <w:ind w:firstLine="13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100%</w:t>
            </w:r>
          </w:p>
        </w:tc>
        <w:tc>
          <w:tcPr>
            <w:tcW w:w="486" w:type="dxa"/>
            <w:vAlign w:val="top"/>
          </w:tcPr>
          <w:p w14:paraId="0FBBBB3F">
            <w:pPr>
              <w:spacing w:line="424" w:lineRule="auto"/>
              <w:rPr>
                <w:rFonts w:ascii="宋体"/>
                <w:sz w:val="21"/>
              </w:rPr>
            </w:pPr>
          </w:p>
          <w:p w14:paraId="44CFFFC3">
            <w:pPr>
              <w:spacing w:before="58" w:line="180" w:lineRule="auto"/>
              <w:ind w:firstLine="12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9"/>
                <w:w w:val="99"/>
                <w:sz w:val="18"/>
                <w:szCs w:val="18"/>
              </w:rPr>
              <w:t>10</w:t>
            </w:r>
          </w:p>
        </w:tc>
        <w:tc>
          <w:tcPr>
            <w:tcW w:w="396" w:type="dxa"/>
            <w:vAlign w:val="top"/>
          </w:tcPr>
          <w:p w14:paraId="31715383">
            <w:pPr>
              <w:spacing w:line="424" w:lineRule="auto"/>
              <w:rPr>
                <w:rFonts w:ascii="宋体"/>
                <w:sz w:val="21"/>
              </w:rPr>
            </w:pPr>
          </w:p>
          <w:p w14:paraId="6DBCD201">
            <w:pPr>
              <w:spacing w:before="58" w:line="180" w:lineRule="auto"/>
              <w:ind w:firstLine="12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9"/>
                <w:w w:val="99"/>
                <w:sz w:val="18"/>
                <w:szCs w:val="18"/>
              </w:rPr>
              <w:t>10</w:t>
            </w:r>
          </w:p>
        </w:tc>
        <w:tc>
          <w:tcPr>
            <w:tcW w:w="629" w:type="dxa"/>
            <w:vAlign w:val="top"/>
          </w:tcPr>
          <w:p w14:paraId="74E03468">
            <w:pPr>
              <w:rPr>
                <w:rFonts w:ascii="宋体"/>
                <w:sz w:val="21"/>
              </w:rPr>
            </w:pPr>
          </w:p>
        </w:tc>
      </w:tr>
      <w:tr w14:paraId="0CFE37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7015" w:type="dxa"/>
            <w:gridSpan w:val="6"/>
            <w:vAlign w:val="top"/>
          </w:tcPr>
          <w:p w14:paraId="12C21F76">
            <w:pPr>
              <w:spacing w:before="36" w:line="184" w:lineRule="auto"/>
              <w:ind w:firstLine="333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总分</w:t>
            </w:r>
          </w:p>
        </w:tc>
        <w:tc>
          <w:tcPr>
            <w:tcW w:w="486" w:type="dxa"/>
            <w:vAlign w:val="top"/>
          </w:tcPr>
          <w:p w14:paraId="378B2D03">
            <w:pPr>
              <w:spacing w:before="63" w:line="180" w:lineRule="auto"/>
              <w:ind w:firstLine="12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7"/>
                <w:sz w:val="18"/>
                <w:szCs w:val="18"/>
              </w:rPr>
              <w:t>100</w:t>
            </w:r>
          </w:p>
        </w:tc>
        <w:tc>
          <w:tcPr>
            <w:tcW w:w="396" w:type="dxa"/>
            <w:vAlign w:val="top"/>
          </w:tcPr>
          <w:p w14:paraId="3615F416">
            <w:pPr>
              <w:spacing w:before="64" w:line="180" w:lineRule="auto"/>
              <w:ind w:firstLine="11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96</w:t>
            </w:r>
          </w:p>
        </w:tc>
        <w:tc>
          <w:tcPr>
            <w:tcW w:w="629" w:type="dxa"/>
            <w:vAlign w:val="top"/>
          </w:tcPr>
          <w:p w14:paraId="0CB349E4">
            <w:pPr>
              <w:spacing w:line="249" w:lineRule="exact"/>
              <w:rPr>
                <w:rFonts w:ascii="宋体"/>
                <w:sz w:val="19"/>
              </w:rPr>
            </w:pPr>
          </w:p>
        </w:tc>
      </w:tr>
    </w:tbl>
    <w:p w14:paraId="3E9136DB">
      <w:pPr>
        <w:spacing w:line="241" w:lineRule="auto"/>
        <w:rPr>
          <w:rFonts w:ascii="宋体"/>
          <w:sz w:val="21"/>
        </w:rPr>
      </w:pPr>
    </w:p>
    <w:p w14:paraId="586C34ED">
      <w:pPr>
        <w:spacing w:line="241" w:lineRule="auto"/>
        <w:rPr>
          <w:rFonts w:ascii="宋体"/>
          <w:sz w:val="21"/>
        </w:rPr>
      </w:pPr>
    </w:p>
    <w:p w14:paraId="161204AA">
      <w:pPr>
        <w:spacing w:line="241" w:lineRule="auto"/>
        <w:rPr>
          <w:rFonts w:ascii="宋体"/>
          <w:sz w:val="21"/>
        </w:rPr>
      </w:pPr>
    </w:p>
    <w:p w14:paraId="0F501BA8">
      <w:pPr>
        <w:spacing w:line="241" w:lineRule="auto"/>
        <w:rPr>
          <w:rFonts w:ascii="宋体"/>
          <w:sz w:val="21"/>
        </w:rPr>
      </w:pPr>
    </w:p>
    <w:p w14:paraId="494F46D6">
      <w:pPr>
        <w:spacing w:line="241" w:lineRule="auto"/>
        <w:rPr>
          <w:rFonts w:ascii="宋体"/>
          <w:sz w:val="21"/>
        </w:rPr>
      </w:pPr>
    </w:p>
    <w:p w14:paraId="72EDEEEE">
      <w:pPr>
        <w:spacing w:line="241" w:lineRule="auto"/>
        <w:rPr>
          <w:rFonts w:ascii="宋体"/>
          <w:sz w:val="21"/>
        </w:rPr>
      </w:pPr>
    </w:p>
    <w:p w14:paraId="3BCF6B6D">
      <w:pPr>
        <w:spacing w:line="241" w:lineRule="auto"/>
        <w:rPr>
          <w:rFonts w:ascii="宋体"/>
          <w:sz w:val="21"/>
        </w:rPr>
      </w:pPr>
    </w:p>
    <w:p w14:paraId="03A48736">
      <w:pPr>
        <w:spacing w:line="241" w:lineRule="auto"/>
        <w:rPr>
          <w:rFonts w:ascii="宋体"/>
          <w:sz w:val="21"/>
        </w:rPr>
      </w:pPr>
    </w:p>
    <w:p w14:paraId="01D1555B">
      <w:pPr>
        <w:spacing w:line="241" w:lineRule="auto"/>
        <w:rPr>
          <w:rFonts w:ascii="宋体"/>
          <w:sz w:val="21"/>
        </w:rPr>
      </w:pPr>
    </w:p>
    <w:p w14:paraId="43303188">
      <w:pPr>
        <w:spacing w:line="241" w:lineRule="auto"/>
        <w:rPr>
          <w:rFonts w:ascii="宋体"/>
          <w:sz w:val="21"/>
        </w:rPr>
      </w:pPr>
    </w:p>
    <w:p w14:paraId="29F95F4A">
      <w:pPr>
        <w:spacing w:line="241" w:lineRule="auto"/>
        <w:rPr>
          <w:rFonts w:ascii="宋体"/>
          <w:sz w:val="21"/>
        </w:rPr>
      </w:pPr>
    </w:p>
    <w:p w14:paraId="4B235982">
      <w:pPr>
        <w:spacing w:line="241" w:lineRule="auto"/>
        <w:rPr>
          <w:rFonts w:ascii="宋体"/>
          <w:sz w:val="21"/>
        </w:rPr>
      </w:pPr>
    </w:p>
    <w:p w14:paraId="329DB86F">
      <w:pPr>
        <w:spacing w:line="241" w:lineRule="auto"/>
        <w:rPr>
          <w:rFonts w:ascii="宋体"/>
          <w:sz w:val="21"/>
        </w:rPr>
      </w:pPr>
    </w:p>
    <w:p w14:paraId="37752BCF">
      <w:pPr>
        <w:spacing w:line="241" w:lineRule="auto"/>
        <w:rPr>
          <w:rFonts w:ascii="宋体"/>
          <w:sz w:val="21"/>
        </w:rPr>
      </w:pPr>
    </w:p>
    <w:p w14:paraId="00653EB1">
      <w:pPr>
        <w:spacing w:line="241" w:lineRule="auto"/>
        <w:rPr>
          <w:rFonts w:ascii="宋体"/>
          <w:sz w:val="21"/>
        </w:rPr>
      </w:pPr>
    </w:p>
    <w:p w14:paraId="64C20764">
      <w:pPr>
        <w:spacing w:line="242" w:lineRule="auto"/>
        <w:rPr>
          <w:rFonts w:ascii="宋体"/>
          <w:sz w:val="21"/>
        </w:rPr>
      </w:pPr>
    </w:p>
    <w:p w14:paraId="4F00358D">
      <w:pPr>
        <w:spacing w:line="242" w:lineRule="auto"/>
        <w:rPr>
          <w:rFonts w:ascii="宋体"/>
          <w:sz w:val="21"/>
        </w:rPr>
      </w:pPr>
    </w:p>
    <w:p w14:paraId="47B928C0">
      <w:pPr>
        <w:spacing w:before="97" w:line="286" w:lineRule="auto"/>
        <w:ind w:left="442" w:right="3058" w:hanging="1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4"/>
          <w:sz w:val="30"/>
          <w:szCs w:val="30"/>
        </w:rPr>
        <w:t>（二）</w:t>
      </w:r>
      <w:r>
        <w:rPr>
          <w:rFonts w:ascii="仿宋" w:hAnsi="仿宋" w:eastAsia="仿宋" w:cs="仿宋"/>
          <w:spacing w:val="2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4"/>
          <w:sz w:val="30"/>
          <w:szCs w:val="30"/>
        </w:rPr>
        <w:t>部门决算中项目绩效自评结果。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5"/>
          <w:sz w:val="30"/>
          <w:szCs w:val="30"/>
        </w:rPr>
        <w:t>我部门</w:t>
      </w:r>
      <w:r>
        <w:rPr>
          <w:rFonts w:ascii="仿宋" w:hAnsi="仿宋" w:eastAsia="仿宋" w:cs="仿宋"/>
          <w:spacing w:val="-6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5"/>
          <w:sz w:val="30"/>
          <w:szCs w:val="30"/>
        </w:rPr>
        <w:t>2020</w:t>
      </w:r>
      <w:r>
        <w:rPr>
          <w:rFonts w:ascii="仿宋" w:hAnsi="仿宋" w:eastAsia="仿宋" w:cs="仿宋"/>
          <w:spacing w:val="-5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5"/>
          <w:sz w:val="30"/>
          <w:szCs w:val="30"/>
        </w:rPr>
        <w:t>年无项目绩效。</w:t>
      </w:r>
    </w:p>
    <w:p w14:paraId="7BD8F02B">
      <w:pPr>
        <w:spacing w:before="318" w:line="286" w:lineRule="auto"/>
        <w:ind w:left="442" w:right="3658" w:hanging="31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5"/>
          <w:sz w:val="30"/>
          <w:szCs w:val="30"/>
        </w:rPr>
        <w:t>（三）</w:t>
      </w:r>
      <w:r>
        <w:rPr>
          <w:rFonts w:ascii="仿宋" w:hAnsi="仿宋" w:eastAsia="仿宋" w:cs="仿宋"/>
          <w:spacing w:val="3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5"/>
          <w:sz w:val="30"/>
          <w:szCs w:val="30"/>
        </w:rPr>
        <w:t>部门评价项目绩效评价结果。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5"/>
          <w:sz w:val="30"/>
          <w:szCs w:val="30"/>
        </w:rPr>
        <w:t>我部门</w:t>
      </w:r>
      <w:r>
        <w:rPr>
          <w:rFonts w:ascii="仿宋" w:hAnsi="仿宋" w:eastAsia="仿宋" w:cs="仿宋"/>
          <w:spacing w:val="-6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5"/>
          <w:sz w:val="30"/>
          <w:szCs w:val="30"/>
        </w:rPr>
        <w:t>2020</w:t>
      </w:r>
      <w:r>
        <w:rPr>
          <w:rFonts w:ascii="仿宋" w:hAnsi="仿宋" w:eastAsia="仿宋" w:cs="仿宋"/>
          <w:spacing w:val="-5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5"/>
          <w:sz w:val="30"/>
          <w:szCs w:val="30"/>
        </w:rPr>
        <w:t>年无项目绩效。</w:t>
      </w:r>
    </w:p>
    <w:p w14:paraId="12EEBB3F">
      <w:pPr>
        <w:spacing w:line="258" w:lineRule="auto"/>
        <w:rPr>
          <w:rFonts w:ascii="宋体"/>
          <w:sz w:val="21"/>
        </w:rPr>
      </w:pPr>
    </w:p>
    <w:p w14:paraId="209F952D">
      <w:pPr>
        <w:spacing w:line="258" w:lineRule="auto"/>
        <w:rPr>
          <w:rFonts w:ascii="宋体"/>
          <w:sz w:val="21"/>
        </w:rPr>
      </w:pPr>
    </w:p>
    <w:p w14:paraId="09811806">
      <w:pPr>
        <w:spacing w:line="258" w:lineRule="auto"/>
        <w:rPr>
          <w:rFonts w:ascii="宋体"/>
          <w:sz w:val="21"/>
        </w:rPr>
      </w:pPr>
    </w:p>
    <w:p w14:paraId="7FBBAF29">
      <w:pPr>
        <w:spacing w:before="104" w:line="184" w:lineRule="auto"/>
        <w:ind w:firstLine="3154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3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第四部分</w:t>
      </w:r>
      <w:r>
        <w:rPr>
          <w:rFonts w:ascii="宋体" w:hAnsi="宋体" w:eastAsia="宋体" w:cs="宋体"/>
          <w:spacing w:val="10"/>
          <w:sz w:val="32"/>
          <w:szCs w:val="32"/>
        </w:rPr>
        <w:t xml:space="preserve">  </w:t>
      </w:r>
      <w:r>
        <w:rPr>
          <w:rFonts w:ascii="宋体" w:hAnsi="宋体" w:eastAsia="宋体" w:cs="宋体"/>
          <w:spacing w:val="-3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名词解释</w:t>
      </w:r>
    </w:p>
    <w:p w14:paraId="2FFF4F7E">
      <w:pPr>
        <w:spacing w:line="335" w:lineRule="auto"/>
        <w:rPr>
          <w:rFonts w:ascii="宋体"/>
          <w:sz w:val="21"/>
        </w:rPr>
      </w:pPr>
    </w:p>
    <w:p w14:paraId="242F3D18">
      <w:pPr>
        <w:spacing w:line="336" w:lineRule="auto"/>
        <w:rPr>
          <w:rFonts w:ascii="宋体"/>
          <w:sz w:val="21"/>
        </w:rPr>
      </w:pPr>
    </w:p>
    <w:p w14:paraId="5FB19619">
      <w:pPr>
        <w:spacing w:before="98" w:line="189" w:lineRule="auto"/>
        <w:ind w:firstLine="162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9"/>
          <w:sz w:val="30"/>
          <w:szCs w:val="30"/>
        </w:rPr>
        <w:t>—</w:t>
      </w:r>
      <w:r>
        <w:rPr>
          <w:rFonts w:ascii="仿宋" w:hAnsi="仿宋" w:eastAsia="仿宋" w:cs="仿宋"/>
          <w:spacing w:val="-10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9"/>
          <w:sz w:val="30"/>
          <w:szCs w:val="30"/>
        </w:rPr>
        <w:t>、收入科目</w:t>
      </w:r>
    </w:p>
    <w:p w14:paraId="4AA8F4DA">
      <w:pPr>
        <w:spacing w:before="316" w:line="189" w:lineRule="auto"/>
        <w:ind w:firstLine="73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3"/>
          <w:sz w:val="30"/>
          <w:szCs w:val="30"/>
        </w:rPr>
        <w:t>（一）财政拨款：</w:t>
      </w:r>
      <w:r>
        <w:rPr>
          <w:rFonts w:ascii="仿宋" w:hAnsi="仿宋" w:eastAsia="仿宋" w:cs="仿宋"/>
          <w:spacing w:val="7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3"/>
          <w:sz w:val="30"/>
          <w:szCs w:val="30"/>
        </w:rPr>
        <w:t>指财政当年拨付的资金。</w:t>
      </w:r>
    </w:p>
    <w:p w14:paraId="0E327B63">
      <w:pPr>
        <w:spacing w:before="318" w:line="286" w:lineRule="auto"/>
        <w:ind w:left="748" w:right="170" w:hanging="1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6"/>
          <w:sz w:val="30"/>
          <w:szCs w:val="30"/>
        </w:rPr>
        <w:t>（二）</w:t>
      </w:r>
      <w:r>
        <w:rPr>
          <w:rFonts w:ascii="仿宋" w:hAnsi="仿宋" w:eastAsia="仿宋" w:cs="仿宋"/>
          <w:spacing w:val="6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16"/>
          <w:sz w:val="30"/>
          <w:szCs w:val="30"/>
        </w:rPr>
        <w:t>他收入：</w:t>
      </w:r>
      <w:r>
        <w:rPr>
          <w:rFonts w:ascii="仿宋" w:hAnsi="仿宋" w:eastAsia="仿宋" w:cs="仿宋"/>
          <w:spacing w:val="6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6"/>
          <w:sz w:val="30"/>
          <w:szCs w:val="30"/>
        </w:rPr>
        <w:t>指除财政拨款、事业收入、事业单位经营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收入等以外的各项收入。</w:t>
      </w:r>
    </w:p>
    <w:p w14:paraId="269C7AC4">
      <w:pPr>
        <w:sectPr>
          <w:pgSz w:w="11906" w:h="16839"/>
          <w:pgMar w:top="1431" w:right="1687" w:bottom="0" w:left="1687" w:header="0" w:footer="0" w:gutter="0"/>
          <w:cols w:space="720" w:num="1"/>
        </w:sectPr>
      </w:pPr>
    </w:p>
    <w:p w14:paraId="75D4CA4F">
      <w:pPr>
        <w:spacing w:before="172" w:line="384" w:lineRule="auto"/>
        <w:ind w:left="35" w:right="186" w:firstLine="598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7"/>
          <w:sz w:val="30"/>
          <w:szCs w:val="30"/>
        </w:rPr>
        <w:t>（三）</w:t>
      </w:r>
      <w:r>
        <w:rPr>
          <w:rFonts w:ascii="仿宋" w:hAnsi="仿宋" w:eastAsia="仿宋" w:cs="仿宋"/>
          <w:spacing w:val="17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17"/>
          <w:sz w:val="30"/>
          <w:szCs w:val="30"/>
        </w:rPr>
        <w:t>上年结转和结余：</w:t>
      </w:r>
      <w:r>
        <w:rPr>
          <w:rFonts w:ascii="仿宋" w:hAnsi="仿宋" w:eastAsia="仿宋" w:cs="仿宋"/>
          <w:spacing w:val="6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7"/>
          <w:sz w:val="30"/>
          <w:szCs w:val="30"/>
        </w:rPr>
        <w:t>填列全部结转和结余的资金，包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括当年结转结余资金和历年滚存结转结余资金。</w:t>
      </w:r>
    </w:p>
    <w:p w14:paraId="6327D76C">
      <w:pPr>
        <w:spacing w:before="1" w:line="204" w:lineRule="auto"/>
        <w:ind w:firstLine="643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二、支出科目</w:t>
      </w:r>
    </w:p>
    <w:p w14:paraId="07D91467">
      <w:pPr>
        <w:spacing w:before="291" w:line="384" w:lineRule="auto"/>
        <w:ind w:left="97" w:right="186" w:firstLine="53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（一）</w:t>
      </w:r>
      <w:r>
        <w:rPr>
          <w:rFonts w:ascii="仿宋" w:hAnsi="仿宋" w:eastAsia="仿宋" w:cs="仿宋"/>
          <w:spacing w:val="2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一般公共服务支出指用于保障机构正常运行、开展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9"/>
          <w:sz w:val="30"/>
          <w:szCs w:val="30"/>
        </w:rPr>
        <w:t>日常工作的基本支出。</w:t>
      </w:r>
    </w:p>
    <w:p w14:paraId="13AF493C">
      <w:pPr>
        <w:spacing w:before="4" w:line="383" w:lineRule="auto"/>
        <w:ind w:left="33" w:firstLine="60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8"/>
          <w:sz w:val="30"/>
          <w:szCs w:val="30"/>
        </w:rPr>
        <w:t>（二）</w:t>
      </w:r>
      <w:r>
        <w:rPr>
          <w:rFonts w:ascii="仿宋" w:hAnsi="仿宋" w:eastAsia="仿宋" w:cs="仿宋"/>
          <w:spacing w:val="-3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8"/>
          <w:sz w:val="30"/>
          <w:szCs w:val="30"/>
        </w:rPr>
        <w:t>社会保障和就业支出（类）</w:t>
      </w:r>
      <w:r>
        <w:rPr>
          <w:rFonts w:ascii="仿宋" w:hAnsi="仿宋" w:eastAsia="仿宋" w:cs="仿宋"/>
          <w:spacing w:val="-6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8"/>
          <w:sz w:val="30"/>
          <w:szCs w:val="30"/>
        </w:rPr>
        <w:t>行政事业单位离退休（款）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机关事业单位基本养老保险缴费支出（项</w:t>
      </w:r>
      <w:r>
        <w:rPr>
          <w:rFonts w:ascii="仿宋" w:hAnsi="仿宋" w:eastAsia="仿宋" w:cs="仿宋"/>
          <w:spacing w:val="-80"/>
          <w:sz w:val="30"/>
          <w:szCs w:val="30"/>
        </w:rPr>
        <w:t>）</w:t>
      </w:r>
      <w:r>
        <w:rPr>
          <w:rFonts w:ascii="仿宋" w:hAnsi="仿宋" w:eastAsia="仿宋" w:cs="仿宋"/>
          <w:spacing w:val="-5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80"/>
          <w:sz w:val="30"/>
          <w:szCs w:val="30"/>
        </w:rPr>
        <w:t>：</w:t>
      </w:r>
      <w:r>
        <w:rPr>
          <w:rFonts w:ascii="仿宋" w:hAnsi="仿宋" w:eastAsia="仿宋" w:cs="仿宋"/>
          <w:spacing w:val="-2"/>
          <w:sz w:val="30"/>
          <w:szCs w:val="30"/>
        </w:rPr>
        <w:t>指反映机关事业单</w:t>
      </w:r>
      <w:r>
        <w:rPr>
          <w:rFonts w:ascii="仿宋" w:hAnsi="仿宋" w:eastAsia="仿宋" w:cs="仿宋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1"/>
          <w:sz w:val="30"/>
          <w:szCs w:val="30"/>
        </w:rPr>
        <w:t>位实施养老保险制度由单位缴纳的基本养老保险费支出。</w:t>
      </w:r>
    </w:p>
    <w:p w14:paraId="56F804B5">
      <w:pPr>
        <w:spacing w:line="384" w:lineRule="auto"/>
        <w:ind w:left="33" w:right="128" w:firstLine="60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0"/>
          <w:sz w:val="30"/>
          <w:szCs w:val="30"/>
        </w:rPr>
        <w:t>（三）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0"/>
          <w:sz w:val="30"/>
          <w:szCs w:val="30"/>
        </w:rPr>
        <w:t>住房保障支出（类）</w:t>
      </w:r>
      <w:r>
        <w:rPr>
          <w:rFonts w:ascii="仿宋" w:hAnsi="仿宋" w:eastAsia="仿宋" w:cs="仿宋"/>
          <w:spacing w:val="-2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0"/>
          <w:sz w:val="30"/>
          <w:szCs w:val="30"/>
        </w:rPr>
        <w:t>住房改革支出（款）</w:t>
      </w:r>
      <w:r>
        <w:rPr>
          <w:rFonts w:ascii="仿宋" w:hAnsi="仿宋" w:eastAsia="仿宋" w:cs="仿宋"/>
          <w:spacing w:val="-2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0"/>
          <w:sz w:val="30"/>
          <w:szCs w:val="30"/>
        </w:rPr>
        <w:t>住房公积金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（项</w:t>
      </w:r>
      <w:r>
        <w:rPr>
          <w:rFonts w:ascii="仿宋" w:hAnsi="仿宋" w:eastAsia="仿宋" w:cs="仿宋"/>
          <w:spacing w:val="-79"/>
          <w:sz w:val="30"/>
          <w:szCs w:val="30"/>
        </w:rPr>
        <w:t>）</w:t>
      </w:r>
      <w:r>
        <w:rPr>
          <w:rFonts w:ascii="仿宋" w:hAnsi="仿宋" w:eastAsia="仿宋" w:cs="仿宋"/>
          <w:spacing w:val="-5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79"/>
          <w:sz w:val="30"/>
          <w:szCs w:val="30"/>
        </w:rPr>
        <w:t>：</w:t>
      </w:r>
      <w:r>
        <w:rPr>
          <w:rFonts w:ascii="仿宋" w:hAnsi="仿宋" w:eastAsia="仿宋" w:cs="仿宋"/>
          <w:spacing w:val="-2"/>
          <w:sz w:val="30"/>
          <w:szCs w:val="30"/>
        </w:rPr>
        <w:t>指反映按房改政策规定，行政事业单位向符合条件职工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发放的用于购买住房的补贴。</w:t>
      </w:r>
    </w:p>
    <w:p w14:paraId="1F3AAE85">
      <w:pPr>
        <w:spacing w:before="1" w:line="204" w:lineRule="auto"/>
        <w:ind w:firstLine="34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三、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“三公”经费支出</w:t>
      </w:r>
    </w:p>
    <w:p w14:paraId="05372070">
      <w:pPr>
        <w:spacing w:before="291" w:line="624" w:lineRule="exact"/>
        <w:ind w:firstLine="60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5"/>
          <w:w w:val="99"/>
          <w:position w:val="23"/>
          <w:sz w:val="30"/>
          <w:szCs w:val="30"/>
        </w:rPr>
        <w:t>“三公'‘经费支出包括：</w:t>
      </w:r>
      <w:r>
        <w:rPr>
          <w:rFonts w:ascii="仿宋" w:hAnsi="仿宋" w:eastAsia="仿宋" w:cs="仿宋"/>
          <w:spacing w:val="171"/>
          <w:position w:val="2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5"/>
          <w:w w:val="99"/>
          <w:position w:val="23"/>
          <w:sz w:val="30"/>
          <w:szCs w:val="30"/>
        </w:rPr>
        <w:t>因公出国（境）</w:t>
      </w:r>
      <w:r>
        <w:rPr>
          <w:rFonts w:ascii="仿宋" w:hAnsi="仿宋" w:eastAsia="仿宋" w:cs="仿宋"/>
          <w:spacing w:val="5"/>
          <w:position w:val="2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5"/>
          <w:w w:val="99"/>
          <w:position w:val="23"/>
          <w:sz w:val="30"/>
          <w:szCs w:val="30"/>
        </w:rPr>
        <w:t>费、公务用车购</w:t>
      </w:r>
    </w:p>
    <w:p w14:paraId="4B2777F7">
      <w:pPr>
        <w:spacing w:before="1" w:line="204" w:lineRule="auto"/>
        <w:ind w:firstLine="3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置及运行维护费、公务接待费。</w:t>
      </w:r>
    </w:p>
    <w:p w14:paraId="1F2D83D9">
      <w:pPr>
        <w:spacing w:before="291" w:line="189" w:lineRule="auto"/>
        <w:ind w:firstLine="66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四、机关运行经费支出</w:t>
      </w:r>
    </w:p>
    <w:p w14:paraId="13CD9DBE">
      <w:pPr>
        <w:spacing w:before="317" w:line="384" w:lineRule="auto"/>
        <w:ind w:left="33" w:right="28" w:firstLine="60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3"/>
          <w:sz w:val="30"/>
          <w:szCs w:val="30"/>
        </w:rPr>
        <w:t>按照财政部《地方预决算公开操作规程》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3"/>
          <w:sz w:val="30"/>
          <w:szCs w:val="30"/>
        </w:rPr>
        <w:t>明确的</w:t>
      </w:r>
      <w:r>
        <w:rPr>
          <w:rFonts w:ascii="仿宋" w:hAnsi="仿宋" w:eastAsia="仿宋" w:cs="仿宋"/>
          <w:spacing w:val="-7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3"/>
          <w:sz w:val="30"/>
          <w:szCs w:val="30"/>
        </w:rPr>
        <w:t>口径，机关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5"/>
          <w:sz w:val="30"/>
          <w:szCs w:val="30"/>
        </w:rPr>
        <w:t>运行费指各部门的公用经费，包括办公及印刷费、邮电费、差旅</w:t>
      </w:r>
      <w:r>
        <w:rPr>
          <w:rFonts w:ascii="仿宋" w:hAnsi="仿宋" w:eastAsia="仿宋" w:cs="仿宋"/>
          <w:spacing w:val="2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1"/>
          <w:sz w:val="30"/>
          <w:szCs w:val="30"/>
        </w:rPr>
        <w:t>费、会议费、福利费、日常维修费、专用材料及一般设备购置费、</w:t>
      </w:r>
      <w:r>
        <w:rPr>
          <w:rFonts w:ascii="仿宋" w:hAnsi="仿宋" w:eastAsia="仿宋" w:cs="仿宋"/>
          <w:spacing w:val="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5"/>
          <w:sz w:val="30"/>
          <w:szCs w:val="30"/>
        </w:rPr>
        <w:t>办公用房水电费、办公用房取暖费、办公用房物业管理费、公务</w:t>
      </w:r>
      <w:r>
        <w:rPr>
          <w:rFonts w:ascii="仿宋" w:hAnsi="仿宋" w:eastAsia="仿宋" w:cs="仿宋"/>
          <w:spacing w:val="2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用车运行维护费以及其他费用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。</w:t>
      </w:r>
    </w:p>
    <w:p w14:paraId="7434B55A">
      <w:pPr>
        <w:sectPr>
          <w:pgSz w:w="11906" w:h="16839"/>
          <w:pgMar w:top="1431" w:right="1670" w:bottom="0" w:left="1785" w:header="0" w:footer="0" w:gutter="0"/>
          <w:cols w:space="720" w:num="1"/>
        </w:sectPr>
      </w:pPr>
    </w:p>
    <w:p w14:paraId="4D830A2E">
      <w:pPr>
        <w:rPr>
          <w:rFonts w:ascii="宋体"/>
          <w:sz w:val="21"/>
        </w:rPr>
      </w:pPr>
    </w:p>
    <w:sectPr>
      <w:pgSz w:w="11906" w:h="16839"/>
      <w:pgMar w:top="0" w:right="0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1D43ADC"/>
    <w:rsid w:val="0C8459C7"/>
    <w:rsid w:val="0FC50012"/>
    <w:rsid w:val="5E8E269D"/>
    <w:rsid w:val="75FE661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20</Pages>
  <Words>973</Words>
  <Characters>985</Characters>
  <TotalTime>0</TotalTime>
  <ScaleCrop>false</ScaleCrop>
  <LinksUpToDate>false</LinksUpToDate>
  <CharactersWithSpaces>1046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2021-11-17T11:02:00Z</dcterms:created>
  <dc:creator>李嘉玉</dc:creator>
  <cp:lastModifiedBy>计勇</cp:lastModifiedBy>
  <dcterms:modified xsi:type="dcterms:W3CDTF">2026-08-18T07:21:23Z</dcterms:modified>
  <dc:title>李嘉玉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wqlLaW5nc29mdCBQREYgdG8gV1BTIDY1</vt:lpwstr>
  </property>
  <property fmtid="{D5CDD505-2E9C-101B-9397-08002B2CF9AE}" pid="3" name="Created">
    <vt:filetime>2022-01-19T16:02:52Z</vt:filetime>
  </property>
  <property fmtid="{D5CDD505-2E9C-101B-9397-08002B2CF9AE}" pid="4" name="KSOProductBuildVer">
    <vt:lpwstr>2052-12.1.0.28043</vt:lpwstr>
  </property>
  <property fmtid="{D5CDD505-2E9C-101B-9397-08002B2CF9AE}" pid="5" name="ICV">
    <vt:lpwstr>1DDE3B9B506644DA81A7AD4304145877</vt:lpwstr>
  </property>
  <property fmtid="{D5CDD505-2E9C-101B-9397-08002B2CF9AE}" pid="6" name="KSOTemplateDocerSaveRecord">
    <vt:lpwstr>eyJoZGlkIjoiYmU4OWI3ODgyYTc3YjVkNWVhMWJhMTk5MmNlOWU2YTkiLCJ1c2VySWQiOiI3MzIwODg1NjAifQ==</vt:lpwstr>
  </property>
</Properties>
</file>