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40" w:afterAutospacing="0"/>
        <w:jc w:val="center"/>
        <w:rPr>
          <w:rFonts w:ascii="黑体" w:hAnsi="宋体" w:eastAsia="黑体" w:cs="黑体"/>
          <w:b/>
          <w:bCs/>
          <w:i w:val="0"/>
          <w:iCs w:val="0"/>
          <w:caps w:val="0"/>
          <w:color w:val="333333"/>
          <w:spacing w:val="0"/>
          <w:kern w:val="0"/>
          <w:sz w:val="44"/>
          <w:szCs w:val="44"/>
          <w:shd w:val="clear" w:fill="FFFFFF"/>
          <w:lang w:val="en-US" w:eastAsia="zh-CN" w:bidi="ar"/>
        </w:rPr>
      </w:pPr>
      <w:r>
        <w:rPr>
          <w:rFonts w:ascii="黑体" w:hAnsi="宋体" w:eastAsia="黑体" w:cs="黑体"/>
          <w:b/>
          <w:bCs/>
          <w:i w:val="0"/>
          <w:iCs w:val="0"/>
          <w:caps w:val="0"/>
          <w:color w:val="333333"/>
          <w:spacing w:val="0"/>
          <w:kern w:val="0"/>
          <w:sz w:val="44"/>
          <w:szCs w:val="44"/>
          <w:shd w:val="clear" w:fill="FFFFFF"/>
          <w:lang w:val="en-US" w:eastAsia="zh-CN" w:bidi="ar"/>
        </w:rPr>
        <w:t>江西省房屋建筑和市政基础设施工程施工</w:t>
      </w:r>
    </w:p>
    <w:p>
      <w:pPr>
        <w:keepNext w:val="0"/>
        <w:keepLines w:val="0"/>
        <w:widowControl/>
        <w:suppressLineNumbers w:val="0"/>
        <w:spacing w:after="240" w:afterAutospacing="0"/>
        <w:jc w:val="center"/>
      </w:pPr>
      <w:r>
        <w:rPr>
          <w:rFonts w:hint="eastAsia" w:ascii="黑体" w:hAnsi="宋体" w:eastAsia="黑体" w:cs="黑体"/>
          <w:b/>
          <w:bCs/>
          <w:i w:val="0"/>
          <w:iCs w:val="0"/>
          <w:caps w:val="0"/>
          <w:color w:val="333333"/>
          <w:spacing w:val="0"/>
          <w:kern w:val="0"/>
          <w:sz w:val="60"/>
          <w:szCs w:val="60"/>
          <w:shd w:val="clear" w:fill="FFFFFF"/>
          <w:lang w:val="en-US" w:eastAsia="zh-CN" w:bidi="ar"/>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20" w:afterAutospacing="0"/>
        <w:ind w:left="0" w:right="0" w:firstLine="0"/>
        <w:jc w:val="both"/>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 xml:space="preserve">项目编号：360203202103250101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20" w:afterAutospacing="0"/>
        <w:ind w:left="0" w:right="0" w:firstLine="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招标编号： JDZZD[2021]第24号</w:t>
      </w:r>
    </w:p>
    <w:tbl>
      <w:tblPr>
        <w:tblW w:w="45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75"/>
        <w:gridCol w:w="1598"/>
        <w:gridCol w:w="1324"/>
        <w:gridCol w:w="1210"/>
        <w:gridCol w:w="1630"/>
        <w:gridCol w:w="1479"/>
        <w:gridCol w:w="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kern w:val="0"/>
                <w:sz w:val="36"/>
                <w:szCs w:val="36"/>
                <w:bdr w:val="none" w:color="auto" w:sz="0" w:space="0"/>
                <w:lang w:val="en-US" w:eastAsia="zh-CN" w:bidi="ar"/>
              </w:rPr>
              <w:t>招标条件及工程基本情况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招标单位名称</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景德镇市珠山区住房和城乡建设局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招标工程项目</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珠山区新村及石狮埠街道2021年度老旧小区改造项目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工程项目建设地址</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江西省景德镇市珠山区新村及石狮埠街道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项目审批、核准或备案机关</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景德镇市珠山区发展和改革委员会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批文名称及编号</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关于珠山区新村及石狮埠街道2021年度老旧小区改造项目初步设计的批复 : 珠发改设字【2021】4号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建筑面积</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0.0 平方米</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层次</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0 层</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结构</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混合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项目总投资</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11935.0万元</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本项目投资</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11935.34万元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资格审查方式</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资格后审</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资金已落实</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87.94%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kern w:val="0"/>
                <w:sz w:val="36"/>
                <w:szCs w:val="36"/>
                <w:bdr w:val="none" w:color="auto" w:sz="0" w:space="0"/>
                <w:lang w:val="en-US" w:eastAsia="zh-CN" w:bidi="ar"/>
              </w:rPr>
              <w:t>招标范围及标段划分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gridAfter w:val="1"/>
          <w:trHeight w:val="450"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kern w:val="0"/>
                <w:sz w:val="32"/>
                <w:szCs w:val="32"/>
                <w:bdr w:val="none" w:color="auto" w:sz="0" w:space="0"/>
                <w:lang w:val="en-US" w:eastAsia="zh-CN" w:bidi="ar"/>
              </w:rPr>
              <w:t>招标范围</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（1）楼房主体改造工程；住宅屋面和外立面防水改造面积189477平方米。 （2）配套基础设施；道路建设55213平方米，清掏化粪池、维修污水管道19418米、绿化面积64514平方米。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kern w:val="0"/>
                <w:sz w:val="32"/>
                <w:szCs w:val="32"/>
                <w:bdr w:val="none" w:color="auto" w:sz="0" w:space="0"/>
                <w:lang w:val="en-US" w:eastAsia="zh-CN" w:bidi="ar"/>
              </w:rPr>
              <w:t>标段划分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kern w:val="0"/>
                <w:sz w:val="32"/>
                <w:szCs w:val="32"/>
                <w:bdr w:val="none" w:color="auto" w:sz="0" w:space="0"/>
                <w:lang w:val="en-US" w:eastAsia="zh-CN" w:bidi="ar"/>
              </w:rPr>
              <w:t>一标段</w:t>
            </w:r>
          </w:p>
        </w:tc>
        <w:tc>
          <w:tcPr>
            <w:tcW w:w="910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珠山区新村及石狮埠街道2021年度老旧小区改造工程设计施工总承包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kern w:val="0"/>
                <w:sz w:val="32"/>
                <w:szCs w:val="32"/>
                <w:bdr w:val="none" w:color="auto" w:sz="0" w:space="0"/>
                <w:lang w:val="en-US" w:eastAsia="zh-CN" w:bidi="ar"/>
              </w:rPr>
              <w:t>二标段</w:t>
            </w:r>
          </w:p>
        </w:tc>
        <w:tc>
          <w:tcPr>
            <w:tcW w:w="9105" w:type="dxa"/>
            <w:gridSpan w:val="4"/>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kern w:val="0"/>
                <w:sz w:val="36"/>
                <w:szCs w:val="36"/>
                <w:bdr w:val="none" w:color="auto" w:sz="0" w:space="0"/>
                <w:lang w:val="en-US" w:eastAsia="zh-CN" w:bidi="ar"/>
              </w:rPr>
              <w:t>投标（申请）人应具备的资格条件</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企业营业执照</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经营范围应该符合招标要求</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企业资质类别及等级</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[建筑工程·建</w:t>
            </w:r>
            <w:bookmarkStart w:id="0" w:name="_GoBack"/>
            <w:bookmarkEnd w:id="0"/>
            <w:r>
              <w:rPr>
                <w:rFonts w:hint="eastAsia" w:ascii="黑体" w:hAnsi="宋体" w:eastAsia="黑体" w:cs="黑体"/>
                <w:i w:val="0"/>
                <w:iCs w:val="0"/>
                <w:caps w:val="0"/>
                <w:color w:val="333333"/>
                <w:spacing w:val="0"/>
                <w:kern w:val="0"/>
                <w:sz w:val="32"/>
                <w:szCs w:val="32"/>
                <w:bdr w:val="none" w:color="auto" w:sz="0" w:space="0"/>
                <w:lang w:val="en-US" w:eastAsia="zh-CN" w:bidi="ar"/>
              </w:rPr>
              <w:t>筑工程二级](含)以上</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注册建造师类别和等级</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[注册一级建造师·建筑工程](含)以上</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安全生产许可证</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在有效期内</w:t>
            </w: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标段选择要求</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一个标段</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资格审查时投标人应提供的业绩材料</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14"/>
                <w:kern w:val="0"/>
                <w:sz w:val="36"/>
                <w:szCs w:val="36"/>
                <w:bdr w:val="none" w:color="auto" w:sz="0" w:space="0"/>
                <w:lang w:val="en-US" w:eastAsia="zh-CN" w:bidi="ar"/>
              </w:rPr>
              <w:t>资格审查时应提供的证件或证书原件（建筑业企业资质证书为复印件）</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资格证件</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企业资质证书、营业执照（加盖企业公章的扫描件或复印件）、安全生产许可证</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法定代表人或委托代理人</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法定代表人证书或委托代理人委托书、本人身份证 (委托代理人：由注册建造师担任)</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项目负责人</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具备壹级注册建造师(建筑工程专业，且不含临时)资格，以及安全生产考核合格证书（安全B证），且无在建工程</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技术负责人</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关键岗位人员</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拟派（安全员、施工员、质量员、材料员、标准员、机械员、劳务员、资料员）年检合格的岗位证书或培训合格证</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其他要求</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1、具有独立法人资格和有效的营业执照（联合体投标，联合体各成员均须提供）； 2、投标人须同时具备： （1）设计资质：建筑行业（建筑工程）设计乙级及以上资质或设计综合资质甲级； （2）施工资质：建筑工程施工总承包贰级及以上资质； 3、具备有效的安全生产许可证（仅施工方提供）； 4、外省来赣施工单位须根据【赣建审批（2020）4 号】文规定办理针对本项目的省外进赣工程投标登记公示（单项进赣投标登记拟派从事建设工作的人员须包括：项目经理、施工员、安全员、质量员、材料员、标准员、机械员、劳务员、资料员），根据【赣建科设（2019）44 号】文规定外省来赣的设计单位企业信息、现有资质及拟派的相关设计人员等信息须在江西住建云平台网上可查询；外省施工单位须提供投标登记公示的网上截图并加盖施工单位公章，外省设计单位须提供企业信息、现有资质及拟派的相关设计人员等信息的查询截图并加盖设计单位公章； 5、设计负责人的资格要求：具备壹级注册建筑师资格； 6、施工项目经理的资格要求：具备壹级注册建造师(建筑工程专业，且不含临时)资格，以及安全生产考核合格证书（安全B证），且无在建工程； 7、拟派其他人员证书：施工单位项目关键岗位人员(施工员、安全员（含安全员考核C证）、质量员、材料员、标准员、机械员、劳务员、资料员）具有有效证书； 8、信誉和财务要求：招标公告发布之日前投标人未处于被责令停业状态，且在景德镇市范围内其投标资格未处于限制期限内；财产未被接管、冻结及处于破产状态，并出具加盖单位公章和法定代表人签章的信誉财务承诺书（承诺书联合体各成员均须提供）； 9、投标人或投标人法人代表及拟派项目负责人被列入“信用中国”网站（www.creditchina.gov.cn）失信被执行人、重大税收违法案件当事人名单、政府采购严重违法失信名单（招标公告发布前从最高人民法院失信被执行人信息库中删除的除外）的，投标资格将被拒绝。 10、本项目接受投标人组成联合体投标,但联合体须以施工方为联合体牵头人： 10.1不能同时具备以上设计资质和施工资质的两个独立法人企业可组成一个联合体参与投标，开标时须出示有效的联合体协议书；并联合体成员个数不得超过两个且分别为设计方和施工方（设计方提供设计资质、施工方提供施工资质，设计负责人由设计方拟派、施工项目经理等施工人员由施工方拟派）； 10.2须指定一家联合体成员（即施工方）作为联合体的牵头人，由联合体内各成员的法定代表人共同签署并提交一份授权书，以证明其牵头人资格，全权代表所有联合体成员参与本次投标； 10.3联合体牵头人应被授权代表所有联合体成员与招标人洽谈并签订合同，且负责整个合同实施阶段的协调工作； 10.4投标人的投标文件及中标后签署的总承包合同，对联合体内各成员均具有相应的法律约束； 10.5所有联合体成员按合同条件规定，为实施合同应分别承担相应的责任，联合体牵头人的授权书、投标文件及中标后签署的总承包合同应对此作出相应的声明； 10.6联合体成员之间签订的联合体协议书原件及联合体牵头人的授权书原件应随投标原件一起递交； 10.7联合体内各成员不得再以自己名义单独投标，也不得同时参加两个及以上的联合体投标，如有违反将取消该联合体及联合体各成员的投标资格； 11、法定代表人的授权委托书（联合体牵头方出具），授权委托人（授权委托人必须由拟派本次投标的施工项目经理担任）的劳动合同及二代身份证，投标保证金转账凭证；12、本项目资格审查方式：资格后审； 13、本工程不接受受到景德镇市建设行政主管部门依法作出的行政处罚决定中明确限制了投标人投标资格期限的投标企业参加投标。 以上材料在资格审查时均需提供原件【本次招标执行赣建招（2019）10号文，投标人在开标时提交有电子印章和二维码的营业执照、资质证书、建造师注册证书等电子证照（书）的数据电文复印件即可】。</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14"/>
                <w:kern w:val="0"/>
                <w:sz w:val="36"/>
                <w:szCs w:val="36"/>
                <w:bdr w:val="none" w:color="auto" w:sz="0" w:space="0"/>
                <w:lang w:val="en-US" w:eastAsia="zh-CN" w:bidi="ar"/>
              </w:rPr>
              <w:t>招标公告、招标文件、资审文件的发布（获取）时间</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公告发布时间</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2021年03月29日 至 2021年04月28日（公告发布时间最短不得少于5日）</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获取招标文件时间</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2021年03月29日</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获取方式</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请到江西省公共资源交易电子交易平台http://ggzyjy.jxsggzy.cn/dzjy/memberLogin招标文件领取菜单领取招标文件</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获取资审文件时间</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2021年03月29日</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获取地址</w:t>
            </w:r>
          </w:p>
        </w:tc>
        <w:tc>
          <w:tcPr>
            <w:tcW w:w="11385" w:type="dxa"/>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请到江西省公共资源交易电子交易平台http://ggzyjy.jxsggzy.cn/dzjy/memberLogin资审文件领取菜单领取资审文件</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225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联系人</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c>
          <w:tcPr>
            <w:tcW w:w="2265"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联系电话</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4530"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招标代理机构：（单位章）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法定代表人：（章）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2021年03月29日  </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招标人：（单位章）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法定代表人：（章）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2021年03月29日  </w:t>
            </w:r>
          </w:p>
        </w:tc>
        <w:tc>
          <w:tcPr>
            <w:tcW w:w="4545"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招投标监管机构：（单位章）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0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经办人：（章）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2021年03月29日  </w:t>
            </w:r>
          </w:p>
        </w:tc>
        <w:tc>
          <w:tcPr>
            <w:tcW w:w="0" w:type="auto"/>
            <w:tcBorders>
              <w:top w:val="outset" w:color="auto" w:sz="6" w:space="0"/>
              <w:left w:val="nil"/>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333333"/>
                <w:spacing w:val="0"/>
                <w:sz w:val="21"/>
                <w:szCs w:val="21"/>
              </w:rPr>
            </w:pPr>
          </w:p>
        </w:tc>
      </w:tr>
    </w:tbl>
    <w:p>
      <w:pPr>
        <w:rPr>
          <w:vanish/>
          <w:sz w:val="24"/>
          <w:szCs w:val="24"/>
        </w:rPr>
      </w:pPr>
    </w:p>
    <w:tbl>
      <w:tblPr>
        <w:tblW w:w="45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0" w:type="auto"/>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70" w:lineRule="atLeast"/>
              <w:ind w:left="0" w:right="0" w:firstLine="0"/>
              <w:jc w:val="left"/>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kern w:val="0"/>
                <w:sz w:val="32"/>
                <w:szCs w:val="32"/>
                <w:bdr w:val="none" w:color="auto" w:sz="0" w:space="0"/>
                <w:lang w:val="en-US" w:eastAsia="zh-CN" w:bidi="ar"/>
              </w:rPr>
              <w:t>注：1、本表一式三份,招标人、招标代理机构、招投标监管机构各存一份，本表属”招投标情况书面报告“材料之一。</w:t>
            </w:r>
            <w:r>
              <w:rPr>
                <w:rFonts w:hint="eastAsia" w:ascii="宋体" w:hAnsi="宋体" w:eastAsia="宋体" w:cs="宋体"/>
                <w:i w:val="0"/>
                <w:iCs w:val="0"/>
                <w:caps w:val="0"/>
                <w:color w:val="333333"/>
                <w:spacing w:val="0"/>
                <w:kern w:val="0"/>
                <w:sz w:val="32"/>
                <w:szCs w:val="32"/>
                <w:bdr w:val="none" w:color="auto" w:sz="0" w:space="0"/>
                <w:lang w:val="en-US" w:eastAsia="zh-CN" w:bidi="ar"/>
              </w:rPr>
              <w:br w:type="textWrapping"/>
            </w:r>
            <w:r>
              <w:rPr>
                <w:rFonts w:hint="eastAsia" w:ascii="宋体" w:hAnsi="宋体" w:eastAsia="宋体" w:cs="宋体"/>
                <w:i w:val="0"/>
                <w:iCs w:val="0"/>
                <w:caps w:val="0"/>
                <w:color w:val="333333"/>
                <w:spacing w:val="0"/>
                <w:kern w:val="0"/>
                <w:sz w:val="32"/>
                <w:szCs w:val="32"/>
                <w:bdr w:val="none" w:color="auto" w:sz="0" w:space="0"/>
                <w:lang w:val="en-US" w:eastAsia="zh-CN" w:bidi="ar"/>
              </w:rPr>
              <w:t>    2、有标段划分的招标项目，当各标段对投标人的资格条件要求不一致时，招标人应在”投标（申请）人应具备的资格条件 “栏目中的”企业资质类别和等级、注册建造师类别和等级“栏目中将各标段的资格条件要求予以明确。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0" w:type="auto"/>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70" w:lineRule="atLeast"/>
              <w:ind w:left="0" w:right="0" w:firstLine="0"/>
              <w:jc w:val="both"/>
              <w:rPr>
                <w:rFonts w:hint="eastAsia" w:ascii="黑体" w:hAnsi="宋体" w:eastAsia="黑体" w:cs="黑体"/>
                <w:b/>
                <w:bCs/>
                <w:i w:val="0"/>
                <w:iCs w:val="0"/>
                <w:caps w:val="0"/>
                <w:color w:val="333333"/>
                <w:spacing w:val="0"/>
                <w:sz w:val="44"/>
                <w:szCs w:val="44"/>
              </w:rPr>
            </w:pPr>
          </w:p>
        </w:tc>
      </w:tr>
    </w:tbl>
    <w:p/>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4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2021-11-23T02:11:40Z</dcterms:created>
  <dc:creator>Administrator</dc:creator>
  <cp:lastModifiedBy>树流汗</cp:lastModifiedBy>
  <dcterms:modified xsi:type="dcterms:W3CDTF">2021-11-23T02:14:32Z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54ECECDB67C24AA990D1E0DE04B6B327</vt:lpwstr>
  </property>
</Properties>
</file>