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after="1"/>
        <w:rPr>
          <w:rFonts w:ascii="Times New Roman"/>
          <w:sz w:val="27"/>
        </w:rPr>
      </w:pPr>
    </w:p>
    <w:p>
      <w:pPr>
        <w:spacing w:line="240" w:lineRule="auto"/>
        <w:ind w:left="540" w:right="0" w:firstLine="0"/>
        <w:rPr>
          <w:rFonts w:ascii="Times New Roman"/>
          <w:sz w:val="20"/>
        </w:rPr>
      </w:pPr>
      <w:r>
        <w:rPr>
          <w:rFonts w:ascii="Times New Roman"/>
          <w:position w:val="1"/>
          <w:sz w:val="20"/>
        </w:rPr>
        <w:drawing>
          <wp:inline distT="0" distB="0" distL="0" distR="0">
            <wp:extent cx="430232" cy="733425"/>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430232" cy="733425"/>
                    </a:xfrm>
                    <a:prstGeom prst="rect">
                      <a:avLst/>
                    </a:prstGeom>
                  </pic:spPr>
                </pic:pic>
              </a:graphicData>
            </a:graphic>
          </wp:inline>
        </w:drawing>
      </w:r>
      <w:r>
        <w:rPr>
          <w:rFonts w:ascii="Times New Roman"/>
          <w:position w:val="1"/>
          <w:sz w:val="20"/>
        </w:rPr>
      </w:r>
      <w:r>
        <w:rPr>
          <w:rFonts w:ascii="Times New Roman"/>
          <w:spacing w:val="101"/>
          <w:position w:val="1"/>
          <w:sz w:val="20"/>
        </w:rPr>
        <w:t> </w:t>
      </w:r>
      <w:r>
        <w:rPr>
          <w:rFonts w:ascii="Times New Roman"/>
          <w:spacing w:val="101"/>
          <w:position w:val="3"/>
          <w:sz w:val="20"/>
        </w:rPr>
        <w:drawing>
          <wp:inline distT="0" distB="0" distL="0" distR="0">
            <wp:extent cx="424334" cy="704850"/>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424334" cy="704850"/>
                    </a:xfrm>
                    <a:prstGeom prst="rect">
                      <a:avLst/>
                    </a:prstGeom>
                  </pic:spPr>
                </pic:pic>
              </a:graphicData>
            </a:graphic>
          </wp:inline>
        </w:drawing>
      </w:r>
      <w:r>
        <w:rPr>
          <w:rFonts w:ascii="Times New Roman"/>
          <w:spacing w:val="101"/>
          <w:position w:val="3"/>
          <w:sz w:val="20"/>
        </w:rPr>
      </w:r>
      <w:r>
        <w:rPr>
          <w:rFonts w:ascii="Times New Roman"/>
          <w:spacing w:val="100"/>
          <w:position w:val="3"/>
          <w:sz w:val="20"/>
        </w:rPr>
        <w:t> </w:t>
      </w:r>
      <w:r>
        <w:rPr>
          <w:rFonts w:ascii="Times New Roman"/>
          <w:spacing w:val="100"/>
          <w:position w:val="2"/>
          <w:sz w:val="20"/>
        </w:rPr>
        <w:drawing>
          <wp:inline distT="0" distB="0" distL="0" distR="0">
            <wp:extent cx="437123" cy="733425"/>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437123" cy="733425"/>
                    </a:xfrm>
                    <a:prstGeom prst="rect">
                      <a:avLst/>
                    </a:prstGeom>
                  </pic:spPr>
                </pic:pic>
              </a:graphicData>
            </a:graphic>
          </wp:inline>
        </w:drawing>
      </w:r>
      <w:r>
        <w:rPr>
          <w:rFonts w:ascii="Times New Roman"/>
          <w:spacing w:val="100"/>
          <w:position w:val="2"/>
          <w:sz w:val="20"/>
        </w:rPr>
      </w:r>
      <w:r>
        <w:rPr>
          <w:rFonts w:ascii="Times New Roman"/>
          <w:spacing w:val="90"/>
          <w:position w:val="2"/>
          <w:sz w:val="20"/>
        </w:rPr>
        <w:t> </w:t>
      </w:r>
      <w:r>
        <w:rPr>
          <w:rFonts w:ascii="Times New Roman"/>
          <w:spacing w:val="90"/>
          <w:position w:val="1"/>
          <w:sz w:val="20"/>
        </w:rPr>
        <w:pict>
          <v:group style="width:33.25pt;height:57.55pt;mso-position-horizontal-relative:char;mso-position-vertical-relative:line" coordorigin="0,0" coordsize="665,1151">
            <v:shape style="position:absolute;left:7;top:7;width:650;height:1136" coordorigin="8,8" coordsize="650,1136" path="m358,477l278,477,277,552,277,605,277,677,273,1018,272,1125,277,1136,286,1142,301,1143,320,1139,338,1131,351,1121,359,1110,363,1096,360,791,359,709,358,646,358,576,358,477xm85,402l85,559,85,605,84,666,83,736,80,973,80,993,84,1002,92,1007,106,1009,125,1007,141,999,153,990,161,978,165,965,162,876,160,791,159,709,158,629,157,559,157,477,582,477,585,472,585,467,582,463,572,449,160,449,130,427,108,411,93,402,85,402xm401,871l398,876,398,880,401,885,425,900,446,923,463,953,475,989,475,993,478,998,484,1003,498,1004,513,1000,528,993,542,984,555,973,564,962,570,950,572,937,571,882,462,882,436,881,401,871xm582,477l486,477,486,862,479,876,462,882,571,882,564,514,570,506,575,497,579,487,582,477xm374,261l278,261,278,449,358,449,358,299,365,289,370,280,373,271,374,261xm513,392l502,392,498,398,492,406,487,417,481,430,476,444,473,449,572,449,569,445,553,428,534,410,513,392xm24,233l8,233,13,244,18,255,24,266,34,263,45,262,56,261,649,261,654,256,657,252,654,242,653,238,31,238,24,233xm577,139l569,139,562,152,551,172,540,198,526,233,524,238,653,238,647,223,631,199,607,172,577,139xm254,8l251,12,251,17,254,22,267,42,277,67,282,96,283,130,283,149,285,165,286,179,288,190,299,210,312,220,327,221,344,214,359,198,369,178,374,154,374,125,362,77,338,42,302,18,254,8xe" filled="true" fillcolor="#ff0000" stroked="false">
              <v:path arrowok="t"/>
              <v:fill type="solid"/>
            </v:shape>
            <v:shape style="position:absolute;left:7;top:138;width:650;height:1005" coordorigin="8,139" coordsize="650,1005" path="m363,1096l362,993,361,896,360,806,359,722,358,646,358,576,358,514,358,502,358,489,358,477,390,477,422,477,454,477,486,477,486,554,486,631,486,708,486,785,486,862,479,876,462,882,436,881,401,871,398,876,398,880,401,885,425,900,446,923,463,953,475,989,475,993,478,998,484,1003,498,1004,513,1000,564,962,572,937,570,852,569,768,567,683,565,599,564,514,570,506,575,497,579,487,582,477,585,472,585,467,582,463,569,445,553,428,534,410,513,392,510,392,505,392,502,392,498,398,492,406,487,417,481,430,476,444,473,449,358,449,358,411,358,374,358,336,358,299,365,289,370,280,373,271,374,261,443,261,512,261,580,261,649,261,654,256,657,252,654,242,647,223,631,199,607,172,577,139,574,139,572,139,569,139,562,152,551,172,540,198,526,233,524,238,31,238,24,233,16,233,8,233,13,244,18,255,24,266,34,263,45,262,56,261,66,261,119,261,172,261,225,261,278,261,278,308,278,355,278,402,278,449,248,449,219,449,189,449,160,449,130,427,108,411,93,402,85,402,85,439,85,477,85,514,85,552,85,605,84,666,83,736,82,813,81,899,80,993,84,1002,92,1007,106,1009,125,1007,141,999,153,990,161,978,165,965,162,876,160,791,159,709,158,629,157,552,157,533,157,514,157,496,157,477,187,477,217,477,247,477,278,477,278,489,278,502,278,514,277,559,277,677,276,749,275,830,274,920,273,1018,272,1125,277,1136,286,1142,301,1143,320,1139,338,1131,351,1121,359,1110,363,1096xe" filled="false" stroked="true" strokeweight=".75pt" strokecolor="#ff0000">
              <v:path arrowok="t"/>
              <v:stroke dashstyle="solid"/>
            </v:shape>
            <v:shape style="position:absolute;left:243;top:0;width:138;height:229" type="#_x0000_t75" stroked="false">
              <v:imagedata r:id="rId10" o:title=""/>
            </v:shape>
          </v:group>
        </w:pict>
      </w:r>
      <w:r>
        <w:rPr>
          <w:rFonts w:ascii="Times New Roman"/>
          <w:spacing w:val="90"/>
          <w:position w:val="1"/>
          <w:sz w:val="20"/>
        </w:rPr>
      </w:r>
      <w:r>
        <w:rPr>
          <w:rFonts w:ascii="Times New Roman"/>
          <w:spacing w:val="80"/>
          <w:position w:val="1"/>
          <w:sz w:val="20"/>
        </w:rPr>
        <w:t> </w:t>
      </w:r>
      <w:r>
        <w:rPr>
          <w:rFonts w:ascii="Times New Roman"/>
          <w:spacing w:val="80"/>
          <w:position w:val="5"/>
          <w:sz w:val="20"/>
        </w:rPr>
        <w:pict>
          <v:group style="width:33.9pt;height:54.05pt;mso-position-horizontal-relative:char;mso-position-vertical-relative:line" coordorigin="0,0" coordsize="678,1081">
            <v:shape style="position:absolute;left:7;top:7;width:663;height:1066" coordorigin="8,8" coordsize="663,1066" path="m371,303l344,303,349,412,358,514,369,608,384,695,403,775,424,848,449,913,477,972,508,1024,542,1068,545,1068,548,1073,553,1068,561,1054,566,1045,571,1035,591,1004,613,980,637,963,663,955,671,955,671,946,665,932,620,901,579,863,541,819,506,767,475,708,447,643,423,570,402,490,385,404,371,310,371,303xm261,8l254,8,251,12,254,26,254,31,259,126,261,217,261,304,258,387,252,466,243,542,232,615,219,683,190,784,156,870,115,943,68,1003,10,1054,8,1054,8,1059,10,1064,18,1064,67,1044,112,1017,153,981,190,938,223,886,252,827,278,760,299,685,316,601,330,510,339,411,344,303,371,303,361,209,355,101,361,97,367,90,374,81,382,69,390,54,390,45,382,35,364,31,261,8xe" filled="true" fillcolor="#ff0000" stroked="false">
              <v:path arrowok="t"/>
              <v:fill type="solid"/>
            </v:shape>
            <v:shape style="position:absolute;left:7;top:7;width:663;height:1066" coordorigin="8,8" coordsize="663,1066" path="m355,101l390,54,390,45,382,35,364,31,338,25,304,17,261,8,254,8,251,12,254,26,254,31,259,126,261,217,261,304,258,387,252,466,243,542,232,615,219,683,190,784,156,870,115,943,68,1003,16,1049,10,1054,8,1054,8,1059,10,1064,13,1064,18,1064,112,1017,190,938,223,886,252,827,278,760,299,685,316,601,330,510,339,411,344,303,349,412,358,514,369,608,384,695,403,775,424,848,449,913,477,972,508,1024,542,1068,545,1068,548,1073,553,1068,558,1059,561,1054,566,1045,571,1035,591,1004,613,980,637,963,663,955,671,955,671,946,665,932,620,901,579,863,506,767,475,708,447,643,423,570,402,490,385,404,371,310,361,209,355,101xe" filled="false" stroked="true" strokeweight=".75pt" strokecolor="#ff0000">
              <v:path arrowok="t"/>
              <v:stroke dashstyle="solid"/>
            </v:shape>
          </v:group>
        </w:pict>
      </w:r>
      <w:r>
        <w:rPr>
          <w:rFonts w:ascii="Times New Roman"/>
          <w:spacing w:val="80"/>
          <w:position w:val="5"/>
          <w:sz w:val="20"/>
        </w:rPr>
      </w:r>
      <w:r>
        <w:rPr>
          <w:rFonts w:ascii="Times New Roman"/>
          <w:spacing w:val="113"/>
          <w:position w:val="5"/>
          <w:sz w:val="20"/>
        </w:rPr>
        <w:t> </w:t>
      </w:r>
      <w:r>
        <w:rPr>
          <w:rFonts w:ascii="Times New Roman"/>
          <w:spacing w:val="113"/>
          <w:position w:val="2"/>
          <w:sz w:val="20"/>
        </w:rPr>
        <w:pict>
          <v:group style="width:31.55pt;height:56.15pt;mso-position-horizontal-relative:char;mso-position-vertical-relative:line" coordorigin="0,0" coordsize="631,1123">
            <v:shape style="position:absolute;left:7;top:7;width:616;height:1108" coordorigin="8,8" coordsize="616,1108" path="m32,15l24,17,24,923,10,923,8,932,10,946,19,1004,27,1051,33,1087,37,1111,40,1115,45,1115,50,1111,103,1059,161,1002,226,941,261,909,101,909,101,608,620,608,623,599,623,585,620,580,101,580,101,345,507,345,506,317,101,317,101,92,529,92,529,88,526,83,524,78,518,73,514,69,93,69,67,41,46,23,32,15xm336,608l264,608,279,715,300,808,327,889,360,957,399,1012,444,1054,494,1084,550,1101,579,1098,600,1087,615,1068,623,1040,623,1029,621,1016,616,1001,609,984,606,979,604,979,604,974,598,946,598,944,504,944,459,918,417,862,382,791,355,707,336,608xm604,768l598,768,593,773,571,871,541,928,504,944,598,944,596,904,599,848,606,778,604,768xm294,857l241,873,191,887,101,909,261,909,296,876,299,871,296,862,294,857xm336,345l251,345,253,411,255,468,258,526,261,580,334,580,330,533,327,486,325,441,323,393,336,388,344,378,347,369,350,360,344,350,336,345xm542,482l537,482,534,486,530,492,524,503,518,517,510,533,504,549,499,562,493,572,489,580,620,580,610,566,594,543,572,516,545,486,542,482xm507,345l422,345,422,393,424,407,432,418,443,423,459,425,479,420,493,411,503,399,508,383,507,345xm529,92l422,92,422,317,506,317,502,130,505,125,508,125,513,120,521,115,524,111,526,106,529,97,529,92xm454,8l438,8,429,24,420,40,414,55,409,69,514,69,510,64,495,44,480,29,467,16,454,8xe" filled="true" fillcolor="#ff0000" stroked="false">
              <v:path arrowok="t"/>
              <v:fill type="solid"/>
            </v:shape>
            <v:shape style="position:absolute;left:93;top:84;width:336;height:504" type="#_x0000_t75" stroked="false">
              <v:imagedata r:id="rId11" o:title=""/>
            </v:shape>
            <v:shape style="position:absolute;left:7;top:7;width:616;height:1108" coordorigin="8,8" coordsize="616,1108" path="m18,923l10,923,8,932,10,946,19,1004,27,1051,33,1087,37,1111,40,1115,45,1115,50,1111,103,1059,161,1002,226,941,296,876,299,871,296,862,294,857,241,873,191,887,145,898,101,909,101,834,101,759,101,684,101,608,142,608,183,608,223,608,264,608,279,715,300,808,327,889,360,957,399,1012,444,1054,550,1101,579,1098,600,1087,615,1068,623,1040,623,1029,621,1016,616,1001,609,984,606,979,604,979,604,974,598,946,596,904,599,848,606,778,604,768,598,768,593,773,571,871,541,928,459,918,417,862,382,791,355,707,336,608,406,608,475,608,545,608,615,608,620,608,623,599,623,585,610,566,594,543,572,516,545,486,542,482,537,482,534,486,530,492,524,503,518,517,510,533,504,549,499,562,493,572,489,580,450,580,411,580,373,580,334,580,330,534,327,488,325,441,323,393,336,388,344,378,347,369,350,360,344,350,336,345,358,345,379,345,401,345,422,345,422,357,422,369,422,381,422,393,424,407,432,418,443,423,459,425,479,420,493,411,503,399,508,383,506,320,505,256,503,193,502,130,505,125,508,125,513,120,521,115,524,111,526,106,529,97,529,88,526,83,524,78,518,73,510,64,495,44,480,29,467,16,454,8,446,8,441,8,438,8,429,24,420,40,414,55,409,69,330,69,251,69,172,69,93,69,67,41,46,23,32,15,24,17,24,99,24,182,24,923,22,923,20,923,18,923xe" filled="false" stroked="true" strokeweight=".75pt" strokecolor="#ff0000">
              <v:path arrowok="t"/>
              <v:stroke dashstyle="solid"/>
            </v:shape>
          </v:group>
        </w:pict>
      </w:r>
      <w:r>
        <w:rPr>
          <w:rFonts w:ascii="Times New Roman"/>
          <w:spacing w:val="113"/>
          <w:position w:val="2"/>
          <w:sz w:val="20"/>
        </w:rPr>
      </w:r>
      <w:r>
        <w:rPr>
          <w:rFonts w:ascii="Times New Roman"/>
          <w:spacing w:val="81"/>
          <w:position w:val="2"/>
          <w:sz w:val="20"/>
        </w:rPr>
        <w:t> </w:t>
      </w:r>
      <w:r>
        <w:rPr>
          <w:rFonts w:ascii="Times New Roman"/>
          <w:spacing w:val="81"/>
          <w:sz w:val="20"/>
        </w:rPr>
        <w:drawing>
          <wp:inline distT="0" distB="0" distL="0" distR="0">
            <wp:extent cx="426437" cy="738187"/>
            <wp:effectExtent l="0" t="0" r="0" b="0"/>
            <wp:docPr id="7" name="image6.png"/>
            <wp:cNvGraphicFramePr>
              <a:graphicFrameLocks noChangeAspect="1"/>
            </wp:cNvGraphicFramePr>
            <a:graphic>
              <a:graphicData uri="http://schemas.openxmlformats.org/drawingml/2006/picture">
                <pic:pic>
                  <pic:nvPicPr>
                    <pic:cNvPr id="8" name="image6.png"/>
                    <pic:cNvPicPr/>
                  </pic:nvPicPr>
                  <pic:blipFill>
                    <a:blip r:embed="rId12" cstate="print"/>
                    <a:stretch>
                      <a:fillRect/>
                    </a:stretch>
                  </pic:blipFill>
                  <pic:spPr>
                    <a:xfrm>
                      <a:off x="0" y="0"/>
                      <a:ext cx="426437" cy="738187"/>
                    </a:xfrm>
                    <a:prstGeom prst="rect">
                      <a:avLst/>
                    </a:prstGeom>
                  </pic:spPr>
                </pic:pic>
              </a:graphicData>
            </a:graphic>
          </wp:inline>
        </w:drawing>
      </w:r>
      <w:r>
        <w:rPr>
          <w:rFonts w:ascii="Times New Roman"/>
          <w:spacing w:val="81"/>
          <w:sz w:val="20"/>
        </w:rPr>
      </w:r>
      <w:r>
        <w:rPr>
          <w:rFonts w:ascii="Times New Roman"/>
          <w:spacing w:val="105"/>
          <w:sz w:val="20"/>
        </w:rPr>
        <w:t> </w:t>
      </w:r>
      <w:r>
        <w:rPr>
          <w:rFonts w:ascii="Times New Roman"/>
          <w:spacing w:val="105"/>
          <w:position w:val="1"/>
          <w:sz w:val="20"/>
        </w:rPr>
        <w:drawing>
          <wp:inline distT="0" distB="0" distL="0" distR="0">
            <wp:extent cx="431578" cy="728662"/>
            <wp:effectExtent l="0" t="0" r="0" b="0"/>
            <wp:docPr id="9" name="image7.png"/>
            <wp:cNvGraphicFramePr>
              <a:graphicFrameLocks noChangeAspect="1"/>
            </wp:cNvGraphicFramePr>
            <a:graphic>
              <a:graphicData uri="http://schemas.openxmlformats.org/drawingml/2006/picture">
                <pic:pic>
                  <pic:nvPicPr>
                    <pic:cNvPr id="10" name="image7.png"/>
                    <pic:cNvPicPr/>
                  </pic:nvPicPr>
                  <pic:blipFill>
                    <a:blip r:embed="rId13" cstate="print"/>
                    <a:stretch>
                      <a:fillRect/>
                    </a:stretch>
                  </pic:blipFill>
                  <pic:spPr>
                    <a:xfrm>
                      <a:off x="0" y="0"/>
                      <a:ext cx="431578" cy="728662"/>
                    </a:xfrm>
                    <a:prstGeom prst="rect">
                      <a:avLst/>
                    </a:prstGeom>
                  </pic:spPr>
                </pic:pic>
              </a:graphicData>
            </a:graphic>
          </wp:inline>
        </w:drawing>
      </w:r>
      <w:r>
        <w:rPr>
          <w:rFonts w:ascii="Times New Roman"/>
          <w:spacing w:val="105"/>
          <w:position w:val="1"/>
          <w:sz w:val="20"/>
        </w:rPr>
      </w:r>
      <w:r>
        <w:rPr>
          <w:rFonts w:ascii="Times New Roman"/>
          <w:spacing w:val="91"/>
          <w:position w:val="1"/>
          <w:sz w:val="20"/>
        </w:rPr>
        <w:t> </w:t>
      </w:r>
      <w:r>
        <w:rPr>
          <w:rFonts w:ascii="Times New Roman"/>
          <w:spacing w:val="91"/>
          <w:sz w:val="20"/>
        </w:rPr>
        <w:pict>
          <v:group style="width:33.65pt;height:58.25pt;mso-position-horizontal-relative:char;mso-position-vertical-relative:line" coordorigin="0,0" coordsize="673,1165">
            <v:shape style="position:absolute;left:7;top:7;width:658;height:1150" coordorigin="8,8" coordsize="658,1150" path="m203,327l186,327,192,413,200,496,212,574,228,649,247,721,270,788,296,852,253,934,204,1004,147,1063,84,1111,15,1148,8,1153,15,1158,93,1137,163,1105,228,1061,285,1005,336,937,494,937,442,902,384,843,407,784,412,768,331,768,300,710,272,646,249,575,229,498,214,415,203,327xm494,937l336,937,390,1011,448,1072,511,1120,577,1158,585,1158,588,1153,588,1143,600,1090,616,1048,636,1017,660,998,663,993,660,989,657,984,578,972,506,945,494,937xm462,327l400,327,396,407,389,485,378,559,365,631,349,701,331,768,412,768,427,720,444,652,459,579,471,500,481,416,483,411,486,402,491,397,497,388,499,383,502,378,505,369,505,364,502,360,492,350,482,341,472,334,462,327xm31,294l15,294,21,305,31,327,657,327,665,317,665,308,660,299,39,299,31,294xm574,186l571,186,571,190,563,204,553,222,542,246,529,275,526,289,523,294,521,299,660,299,647,278,630,253,607,224,579,190,574,186xm235,8l229,12,229,17,232,22,248,46,262,78,272,117,278,162,279,184,282,203,284,216,285,228,296,251,310,263,325,263,341,252,356,229,366,203,370,174,368,144,353,95,326,56,286,27,235,8xe" filled="true" fillcolor="#ff0000" stroked="false">
              <v:path arrowok="t"/>
              <v:fill type="solid"/>
            </v:shape>
            <v:shape style="position:absolute;left:7;top:185;width:658;height:972" coordorigin="8,186" coordsize="658,972" path="m186,327l192,413,200,496,212,574,228,649,247,720,270,788,296,852,253,934,204,1004,147,1063,84,1111,15,1148,8,1153,15,1157,93,1137,163,1105,228,1061,285,1005,336,937,390,1011,448,1072,511,1120,577,1157,585,1157,588,1153,588,1143,600,1090,616,1048,636,1017,660,998,663,993,660,988,657,984,578,972,506,945,442,902,384,843,407,784,427,721,444,652,459,579,471,500,481,416,483,411,486,402,491,397,497,387,499,383,502,378,505,369,505,364,462,327,511,327,560,327,608,327,657,327,665,317,665,308,660,298,607,224,574,186,571,186,571,190,563,204,553,222,542,246,529,275,526,289,523,294,521,298,440,298,360,298,280,298,200,298,120,298,39,298,31,294,24,294,15,294,21,305,26,316,31,327,42,327,158,327,186,327xe" filled="false" stroked="true" strokeweight=".75pt" strokecolor="#ff0000">
              <v:path arrowok="t"/>
              <v:stroke dashstyle="solid"/>
            </v:shape>
            <v:shape style="position:absolute;left:202;top:326;width:198;height:442" coordorigin="203,327" coordsize="198,442" path="m400,327l396,407,389,485,378,559,365,631,349,701,331,768,300,710,272,646,249,575,229,498,214,415,203,327,252,327,301,327,351,327,400,327xe" filled="false" stroked="true" strokeweight=".75pt" strokecolor="#ff0000">
              <v:path arrowok="t"/>
              <v:stroke dashstyle="solid"/>
            </v:shape>
            <v:shape style="position:absolute;left:221;top:0;width:156;height:271" type="#_x0000_t75" stroked="false">
              <v:imagedata r:id="rId14" o:title=""/>
            </v:shape>
          </v:group>
        </w:pict>
      </w:r>
      <w:r>
        <w:rPr>
          <w:rFonts w:ascii="Times New Roman"/>
          <w:spacing w:val="91"/>
          <w:sz w:val="20"/>
        </w:rPr>
      </w:r>
      <w:r>
        <w:rPr>
          <w:rFonts w:ascii="Times New Roman"/>
          <w:spacing w:val="88"/>
          <w:sz w:val="20"/>
        </w:rPr>
        <w:t> </w:t>
      </w:r>
      <w:r>
        <w:rPr>
          <w:rFonts w:ascii="Times New Roman"/>
          <w:spacing w:val="88"/>
          <w:position w:val="3"/>
          <w:sz w:val="20"/>
        </w:rPr>
        <w:pict>
          <v:group style="width:34.450pt;height:56.05pt;mso-position-horizontal-relative:char;mso-position-vertical-relative:line" coordorigin="0,0" coordsize="689,1121">
            <v:shape style="position:absolute;left:7;top:7;width:674;height:1106" coordorigin="8,8" coordsize="674,1106" path="m181,449l117,449,117,962,117,980,116,1010,114,1041,113,1060,113,1068,113,1077,113,1088,114,1097,118,1106,126,1111,136,1113,149,1111,163,1103,174,1094,181,1084,184,1073,184,991,183,955,182,924,181,900,181,449xm475,693l403,693,403,919,403,949,403,964,402,991,400,1022,399,1047,399,1060,399,1073,399,1082,400,1092,406,1101,415,1106,427,1108,444,1106,457,1098,468,1089,475,1077,478,1064,478,998,477,964,476,935,476,919,475,693xm227,665l219,665,211,665,216,676,222,687,227,698,237,695,248,694,259,693,673,693,679,688,681,684,681,674,679,670,235,670,227,665xm475,393l403,393,403,670,475,670,475,393xm606,571l593,571,588,577,583,589,575,605,566,627,560,641,555,652,551,662,548,670,679,670,674,660,659,639,638,611,609,576,606,571xm19,637l10,637,15,642,19,637xm160,17l154,22,152,31,138,125,123,214,107,296,90,374,72,446,52,513,32,575,10,632,8,637,10,637,19,637,41,601,66,556,92,506,117,449,181,449,181,369,184,365,187,360,195,355,198,351,200,346,200,341,203,336,203,332,200,327,198,322,189,313,176,299,189,260,200,221,210,183,219,144,230,132,239,123,246,118,251,116,256,106,256,97,254,92,242,81,226,68,187,36,176,31,168,27,165,22,160,17xm291,130l286,130,283,135,283,139,278,231,272,317,265,399,256,476,246,547,235,613,238,623,240,627,243,623,264,577,285,523,305,462,323,393,647,393,652,388,654,383,652,374,650,369,521,369,521,369,328,369,334,340,340,310,345,279,350,247,353,233,358,224,366,219,369,214,371,214,374,210,376,205,376,196,374,191,365,183,353,174,340,164,323,153,310,144,299,135,291,130xm574,271l566,271,559,284,549,304,537,330,524,365,521,369,650,369,644,355,628,331,605,304,574,271xm418,8l403,8,400,8,401,17,402,48,403,68,403,81,403,369,475,369,475,83,491,64,494,59,494,41,463,25,438,13,418,8xe" filled="true" fillcolor="#ff0000" stroked="false">
              <v:path arrowok="t"/>
              <v:fill type="solid"/>
            </v:shape>
            <v:shape style="position:absolute;left:210;top:7;width:471;height:1101" coordorigin="211,8" coordsize="471,1101" path="m328,369l334,340,340,310,345,279,350,247,352,233,358,224,366,219,368,214,371,214,374,210,376,205,376,196,323,153,310,144,299,135,291,130,286,130,283,135,283,139,278,231,272,317,265,399,256,476,246,547,235,613,237,623,240,627,243,623,264,577,285,523,305,462,323,393,343,393,363,393,383,393,403,393,403,462,403,531,403,600,403,670,361,670,319,670,277,670,235,670,227,665,219,665,211,665,216,676,222,687,227,698,237,695,248,694,259,693,270,693,303,693,336,693,370,693,403,693,403,747,403,801,403,855,403,909,403,935,403,962,402,991,400,1022,399,1047,399,1068,427,1108,443,1106,457,1098,468,1089,475,1077,478,1064,478,1052,478,1038,478,1020,478,998,477,964,476,932,476,903,475,876,475,830,475,785,475,739,475,693,525,693,574,693,624,693,673,693,679,688,681,684,681,674,674,660,659,639,638,611,609,576,606,571,593,571,588,577,583,589,575,605,566,627,560,641,555,652,551,662,548,670,530,670,512,670,494,670,475,670,475,600,475,531,475,462,475,393,518,393,561,393,604,393,647,393,652,388,654,383,652,374,644,355,628,331,605,304,574,271,572,271,569,271,566,271,559,284,549,304,537,330,524,365,521,369,521,369,510,369,498,369,487,369,475,369,475,298,475,226,475,155,475,83,483,74,491,64,494,59,494,50,494,45,494,41,463,25,438,13,418,8,403,8,400,8,400,13,401,30,402,48,403,65,403,83,403,155,403,226,403,298,403,369,385,369,366,369,347,369,328,369xe" filled="false" stroked="true" strokeweight=".75pt" strokecolor="#ff0000">
              <v:path arrowok="t"/>
              <v:stroke dashstyle="solid"/>
            </v:shape>
            <v:shape style="position:absolute;left:7;top:17;width:249;height:1096" coordorigin="8,17" coordsize="249,1096" path="m181,369l184,365,187,360,195,355,198,351,200,346,200,341,203,336,203,332,200,327,198,322,189,313,176,299,189,260,200,221,210,183,219,144,230,132,239,123,246,118,251,116,256,106,208,53,176,31,168,27,165,22,160,17,154,22,152,31,138,125,124,214,107,296,90,374,72,446,52,513,32,575,10,632,8,637,10,637,66,556,117,449,117,527,117,919,117,949,117,980,116,1010,114,1041,113,1060,113,1076,136,1113,149,1111,163,1103,174,1094,181,1084,184,1073,184,1063,184,1046,184,1022,184,994,183,955,182,924,181,900,181,886,181,800,181,713,181,627,181,541,181,455,181,369xe" filled="false" stroked="true" strokeweight=".75pt" strokecolor="#ff0000">
              <v:path arrowok="t"/>
              <v:stroke dashstyle="solid"/>
            </v:shape>
          </v:group>
        </w:pict>
      </w:r>
      <w:r>
        <w:rPr>
          <w:rFonts w:ascii="Times New Roman"/>
          <w:spacing w:val="88"/>
          <w:position w:val="3"/>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83"/>
        <w:ind w:left="3076" w:right="3234"/>
        <w:jc w:val="center"/>
      </w:pPr>
      <w:r>
        <w:rPr/>
        <w:pict>
          <v:line style="position:absolute;mso-position-horizontal-relative:page;mso-position-vertical-relative:paragraph;z-index:-251653120;mso-wrap-distance-left:0;mso-wrap-distance-right:0" from="78.550003pt,36.19001pt" to="520.950003pt,36.19001pt" stroked="true" strokeweight="1.5pt" strokecolor="#ff0000">
            <v:stroke dashstyle="solid"/>
            <w10:wrap type="topAndBottom"/>
          </v:line>
        </w:pict>
      </w:r>
      <w:r>
        <w:rPr/>
        <w:t>景府字〔</w:t>
      </w:r>
      <w:r>
        <w:rPr>
          <w:rFonts w:ascii="Times New Roman" w:eastAsia="Times New Roman"/>
        </w:rPr>
        <w:t>2018</w:t>
      </w:r>
      <w:r>
        <w:rPr/>
        <w:t>〕</w:t>
      </w:r>
      <w:r>
        <w:rPr>
          <w:rFonts w:ascii="Times New Roman" w:eastAsia="Times New Roman"/>
        </w:rPr>
        <w:t>58</w:t>
      </w:r>
      <w:r>
        <w:rPr/>
        <w:t>号</w:t>
      </w:r>
    </w:p>
    <w:p>
      <w:pPr>
        <w:pStyle w:val="BodyText"/>
        <w:rPr>
          <w:sz w:val="20"/>
        </w:rPr>
      </w:pPr>
    </w:p>
    <w:p>
      <w:pPr>
        <w:pStyle w:val="BodyText"/>
        <w:rPr>
          <w:sz w:val="20"/>
        </w:rPr>
      </w:pPr>
    </w:p>
    <w:p>
      <w:pPr>
        <w:pStyle w:val="BodyText"/>
        <w:rPr>
          <w:sz w:val="20"/>
        </w:rPr>
      </w:pPr>
    </w:p>
    <w:p>
      <w:pPr>
        <w:pStyle w:val="BodyText"/>
        <w:spacing w:before="3"/>
        <w:rPr>
          <w:sz w:val="22"/>
        </w:rPr>
      </w:pPr>
      <w:r>
        <w:rPr/>
        <w:pict>
          <v:group style="position:absolute;margin-left:110.540001pt;margin-top:16.2425pt;width:396.25pt;height:79.1pt;mso-position-horizontal-relative:page;mso-position-vertical-relative:paragraph;z-index:-251652096;mso-wrap-distance-left:0;mso-wrap-distance-right:0" coordorigin="2211,325" coordsize="7925,1582">
            <v:shape style="position:absolute;left:3751;top:324;width:4843;height:502" type="#_x0000_t75" stroked="false">
              <v:imagedata r:id="rId15" o:title=""/>
            </v:shape>
            <v:shape style="position:absolute;left:2210;top:864;width:7925;height:502" type="#_x0000_t75" stroked="false">
              <v:imagedata r:id="rId16" o:title=""/>
            </v:shape>
            <v:shape style="position:absolute;left:2652;top:1405;width:7044;height:502" type="#_x0000_t75" stroked="false">
              <v:imagedata r:id="rId17" o:title=""/>
            </v:shape>
            <w10:wrap type="topAndBottom"/>
          </v:group>
        </w:pict>
      </w:r>
    </w:p>
    <w:p>
      <w:pPr>
        <w:pStyle w:val="BodyText"/>
        <w:rPr>
          <w:sz w:val="20"/>
        </w:rPr>
      </w:pPr>
    </w:p>
    <w:p>
      <w:pPr>
        <w:pStyle w:val="BodyText"/>
        <w:spacing w:before="5"/>
        <w:rPr>
          <w:sz w:val="23"/>
        </w:rPr>
      </w:pPr>
    </w:p>
    <w:p>
      <w:pPr>
        <w:pStyle w:val="BodyText"/>
        <w:spacing w:before="55"/>
        <w:ind w:left="111"/>
      </w:pPr>
      <w:r>
        <w:rPr/>
        <w:t>各县（市、区）人民政府，市政府各部门，市直有关单位：</w:t>
      </w:r>
    </w:p>
    <w:p>
      <w:pPr>
        <w:pStyle w:val="BodyText"/>
        <w:spacing w:line="316" w:lineRule="auto" w:before="130"/>
        <w:ind w:left="111" w:right="268" w:firstLine="631"/>
        <w:jc w:val="both"/>
      </w:pPr>
      <w:r>
        <w:rPr>
          <w:spacing w:val="-8"/>
        </w:rPr>
        <w:t>《关于落实“映山红行动”加快推进企业上市</w:t>
      </w:r>
      <w:r>
        <w:rPr/>
        <w:t>（挂牌</w:t>
      </w:r>
      <w:r>
        <w:rPr>
          <w:spacing w:val="-27"/>
        </w:rPr>
        <w:t>）</w:t>
      </w:r>
      <w:r>
        <w:rPr>
          <w:spacing w:val="-6"/>
        </w:rPr>
        <w:t>工作</w:t>
      </w:r>
      <w:r>
        <w:rPr>
          <w:spacing w:val="-22"/>
        </w:rPr>
        <w:t>的实施意见》已经 </w:t>
      </w:r>
      <w:r>
        <w:rPr>
          <w:rFonts w:ascii="Times New Roman" w:hAnsi="Times New Roman" w:eastAsia="Times New Roman"/>
        </w:rPr>
        <w:t>2018 </w:t>
      </w:r>
      <w:r>
        <w:rPr>
          <w:spacing w:val="-40"/>
        </w:rPr>
        <w:t>年 </w:t>
      </w:r>
      <w:r>
        <w:rPr>
          <w:rFonts w:ascii="Times New Roman" w:hAnsi="Times New Roman" w:eastAsia="Times New Roman"/>
          <w:spacing w:val="-6"/>
        </w:rPr>
        <w:t>11 </w:t>
      </w:r>
      <w:r>
        <w:rPr>
          <w:spacing w:val="-41"/>
        </w:rPr>
        <w:t>月 </w:t>
      </w:r>
      <w:r>
        <w:rPr>
          <w:rFonts w:ascii="Times New Roman" w:hAnsi="Times New Roman" w:eastAsia="Times New Roman"/>
        </w:rPr>
        <w:t>19 </w:t>
      </w:r>
      <w:r>
        <w:rPr>
          <w:spacing w:val="-14"/>
        </w:rPr>
        <w:t>日市政府第 </w:t>
      </w:r>
      <w:r>
        <w:rPr>
          <w:rFonts w:ascii="Times New Roman" w:hAnsi="Times New Roman" w:eastAsia="Times New Roman"/>
        </w:rPr>
        <w:t>39 </w:t>
      </w:r>
      <w:r>
        <w:rPr/>
        <w:t>次常务会议审议通过，现印发给你们，请认真组织实施。</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6"/>
        </w:rPr>
      </w:pPr>
    </w:p>
    <w:p>
      <w:pPr>
        <w:pStyle w:val="BodyText"/>
        <w:spacing w:before="54"/>
        <w:ind w:left="910"/>
      </w:pPr>
      <w:r>
        <w:rPr/>
        <w:pict>
          <v:group style="position:absolute;margin-left:321.299988pt;margin-top:-100.769997pt;width:127.35pt;height:124pt;mso-position-horizontal-relative:page;mso-position-vertical-relative:paragraph;z-index:-252156928" coordorigin="6426,-2015" coordsize="2547,2480">
            <v:shape style="position:absolute;left:6426;top:-2016;width:2480;height:2480" type="#_x0000_t75" stroked="false">
              <v:imagedata r:id="rId18" o:title=""/>
            </v:shape>
            <v:shape style="position:absolute;left:6426;top:-2016;width:2547;height:2480" type="#_x0000_t202" filled="false" stroked="false">
              <v:textbox inset="0,0,0,0">
                <w:txbxContent>
                  <w:p>
                    <w:pPr>
                      <w:spacing w:line="240" w:lineRule="auto" w:before="0"/>
                      <w:rPr>
                        <w:sz w:val="34"/>
                      </w:rPr>
                    </w:pPr>
                  </w:p>
                  <w:p>
                    <w:pPr>
                      <w:spacing w:line="240" w:lineRule="auto" w:before="0"/>
                      <w:rPr>
                        <w:sz w:val="34"/>
                      </w:rPr>
                    </w:pPr>
                  </w:p>
                  <w:p>
                    <w:pPr>
                      <w:spacing w:line="240" w:lineRule="auto" w:before="0"/>
                      <w:rPr>
                        <w:sz w:val="34"/>
                      </w:rPr>
                    </w:pPr>
                  </w:p>
                  <w:p>
                    <w:pPr>
                      <w:spacing w:before="222"/>
                      <w:ind w:left="67" w:right="0" w:firstLine="0"/>
                      <w:jc w:val="left"/>
                      <w:rPr>
                        <w:sz w:val="32"/>
                      </w:rPr>
                    </w:pPr>
                    <w:r>
                      <w:rPr>
                        <w:rFonts w:ascii="Times New Roman" w:eastAsia="Times New Roman"/>
                        <w:sz w:val="32"/>
                      </w:rPr>
                      <w:t>2018 </w:t>
                    </w:r>
                    <w:r>
                      <w:rPr>
                        <w:spacing w:val="-41"/>
                        <w:sz w:val="32"/>
                      </w:rPr>
                      <w:t>年 </w:t>
                    </w:r>
                    <w:r>
                      <w:rPr>
                        <w:rFonts w:ascii="Times New Roman" w:eastAsia="Times New Roman"/>
                        <w:sz w:val="32"/>
                      </w:rPr>
                      <w:t>12 </w:t>
                    </w:r>
                    <w:r>
                      <w:rPr>
                        <w:spacing w:val="-40"/>
                        <w:sz w:val="32"/>
                      </w:rPr>
                      <w:t>月 </w:t>
                    </w:r>
                    <w:r>
                      <w:rPr>
                        <w:rFonts w:ascii="Times New Roman" w:eastAsia="Times New Roman"/>
                        <w:sz w:val="32"/>
                      </w:rPr>
                      <w:t>1 </w:t>
                    </w:r>
                    <w:r>
                      <w:rPr>
                        <w:spacing w:val="-18"/>
                        <w:sz w:val="32"/>
                      </w:rPr>
                      <w:t>日</w:t>
                    </w:r>
                  </w:p>
                </w:txbxContent>
              </v:textbox>
              <w10:wrap type="none"/>
            </v:shape>
            <w10:wrap type="none"/>
          </v:group>
        </w:pict>
      </w:r>
      <w:r>
        <w:rPr/>
        <w:t>（此件主动公开）</w:t>
      </w:r>
    </w:p>
    <w:p>
      <w:pPr>
        <w:spacing w:after="0"/>
        <w:sectPr>
          <w:footerReference w:type="default" r:id="rId5"/>
          <w:footerReference w:type="even" r:id="rId6"/>
          <w:type w:val="continuous"/>
          <w:pgSz w:w="11910" w:h="16840"/>
          <w:pgMar w:footer="1539" w:top="1580" w:bottom="1720" w:left="1420" w:right="1260"/>
          <w:pgNumType w:start="1"/>
        </w:sectPr>
      </w:pPr>
    </w:p>
    <w:p>
      <w:pPr>
        <w:pStyle w:val="BodyText"/>
        <w:rPr>
          <w:sz w:val="20"/>
        </w:rPr>
      </w:pPr>
    </w:p>
    <w:p>
      <w:pPr>
        <w:pStyle w:val="BodyText"/>
        <w:spacing w:before="11"/>
        <w:rPr>
          <w:sz w:val="17"/>
        </w:rPr>
      </w:pPr>
    </w:p>
    <w:p>
      <w:pPr>
        <w:pStyle w:val="BodyText"/>
        <w:ind w:left="572"/>
        <w:rPr>
          <w:sz w:val="20"/>
        </w:rPr>
      </w:pPr>
      <w:r>
        <w:rPr>
          <w:sz w:val="20"/>
        </w:rPr>
        <w:drawing>
          <wp:inline distT="0" distB="0" distL="0" distR="0">
            <wp:extent cx="5311139" cy="318516"/>
            <wp:effectExtent l="0" t="0" r="0" b="0"/>
            <wp:docPr id="11" name="image13.png"/>
            <wp:cNvGraphicFramePr>
              <a:graphicFrameLocks noChangeAspect="1"/>
            </wp:cNvGraphicFramePr>
            <a:graphic>
              <a:graphicData uri="http://schemas.openxmlformats.org/drawingml/2006/picture">
                <pic:pic>
                  <pic:nvPicPr>
                    <pic:cNvPr id="12" name="image13.png"/>
                    <pic:cNvPicPr/>
                  </pic:nvPicPr>
                  <pic:blipFill>
                    <a:blip r:embed="rId19" cstate="print"/>
                    <a:stretch>
                      <a:fillRect/>
                    </a:stretch>
                  </pic:blipFill>
                  <pic:spPr>
                    <a:xfrm>
                      <a:off x="0" y="0"/>
                      <a:ext cx="5311139" cy="318516"/>
                    </a:xfrm>
                    <a:prstGeom prst="rect">
                      <a:avLst/>
                    </a:prstGeom>
                  </pic:spPr>
                </pic:pic>
              </a:graphicData>
            </a:graphic>
          </wp:inline>
        </w:drawing>
      </w:r>
      <w:r>
        <w:rPr>
          <w:sz w:val="20"/>
        </w:rPr>
      </w:r>
    </w:p>
    <w:p>
      <w:pPr>
        <w:pStyle w:val="BodyText"/>
        <w:spacing w:before="8"/>
        <w:rPr>
          <w:sz w:val="7"/>
        </w:rPr>
      </w:pPr>
    </w:p>
    <w:p>
      <w:pPr>
        <w:pStyle w:val="BodyText"/>
        <w:ind w:left="1892"/>
        <w:rPr>
          <w:sz w:val="20"/>
        </w:rPr>
      </w:pPr>
      <w:r>
        <w:rPr>
          <w:sz w:val="20"/>
        </w:rPr>
        <w:drawing>
          <wp:inline distT="0" distB="0" distL="0" distR="0">
            <wp:extent cx="3634485" cy="318516"/>
            <wp:effectExtent l="0" t="0" r="0" b="0"/>
            <wp:docPr id="13" name="image14.png"/>
            <wp:cNvGraphicFramePr>
              <a:graphicFrameLocks noChangeAspect="1"/>
            </wp:cNvGraphicFramePr>
            <a:graphic>
              <a:graphicData uri="http://schemas.openxmlformats.org/drawingml/2006/picture">
                <pic:pic>
                  <pic:nvPicPr>
                    <pic:cNvPr id="14" name="image14.png"/>
                    <pic:cNvPicPr/>
                  </pic:nvPicPr>
                  <pic:blipFill>
                    <a:blip r:embed="rId20" cstate="print"/>
                    <a:stretch>
                      <a:fillRect/>
                    </a:stretch>
                  </pic:blipFill>
                  <pic:spPr>
                    <a:xfrm>
                      <a:off x="0" y="0"/>
                      <a:ext cx="3634485" cy="318516"/>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15"/>
        </w:rPr>
      </w:pPr>
    </w:p>
    <w:p>
      <w:pPr>
        <w:pStyle w:val="BodyText"/>
        <w:spacing w:line="350" w:lineRule="auto" w:before="55"/>
        <w:ind w:left="111" w:right="267" w:firstLine="640"/>
        <w:jc w:val="both"/>
      </w:pPr>
      <w:r>
        <w:rPr>
          <w:spacing w:val="-9"/>
        </w:rPr>
        <w:t>为贯彻落实全省企业上市“映山红行动”决策部署，充分发挥资本市场在服务实体经济、促进产业转型升级、培育经济发展新动能等方面的重要作用，加快推进我市企业上市步伐，促进多</w:t>
      </w:r>
      <w:r>
        <w:rPr>
          <w:spacing w:val="-10"/>
        </w:rPr>
        <w:t>层次资本市场的健康快速发展。根据《江西省人民政府办公厅关</w:t>
      </w:r>
      <w:r>
        <w:rPr>
          <w:spacing w:val="-9"/>
        </w:rPr>
        <w:t>于印发加快推进企业上市若干措施的通知》</w:t>
      </w:r>
      <w:r>
        <w:rPr/>
        <w:t>（赣府厅字〔</w:t>
      </w:r>
      <w:r>
        <w:rPr>
          <w:rFonts w:ascii="Times New Roman" w:hAnsi="Times New Roman" w:eastAsia="Times New Roman"/>
        </w:rPr>
        <w:t>2018</w:t>
      </w:r>
      <w:r>
        <w:rPr/>
        <w:t>〕</w:t>
      </w:r>
      <w:r>
        <w:rPr>
          <w:rFonts w:ascii="Times New Roman" w:hAnsi="Times New Roman" w:eastAsia="Times New Roman"/>
        </w:rPr>
        <w:t>39 </w:t>
      </w:r>
      <w:r>
        <w:rPr/>
        <w:t>号）精神，结合我市实际情况，制定如下实施意见。</w:t>
      </w:r>
    </w:p>
    <w:p>
      <w:pPr>
        <w:pStyle w:val="BodyText"/>
        <w:spacing w:before="9"/>
        <w:ind w:left="752"/>
        <w:rPr>
          <w:rFonts w:ascii="黑体" w:eastAsia="黑体" w:hint="eastAsia"/>
        </w:rPr>
      </w:pPr>
      <w:r>
        <w:rPr>
          <w:rFonts w:ascii="黑体" w:eastAsia="黑体" w:hint="eastAsia"/>
        </w:rPr>
        <w:t>一、总体要求</w:t>
      </w:r>
    </w:p>
    <w:p>
      <w:pPr>
        <w:pStyle w:val="BodyText"/>
        <w:spacing w:line="350" w:lineRule="auto" w:before="190"/>
        <w:ind w:left="111" w:right="111" w:firstLine="640"/>
      </w:pPr>
      <w:r>
        <w:rPr>
          <w:spacing w:val="4"/>
        </w:rPr>
        <w:t>明确企业上市（挂牌）工作责任和目标任务</w:t>
      </w:r>
      <w:r>
        <w:rPr>
          <w:spacing w:val="4"/>
          <w:sz w:val="28"/>
        </w:rPr>
        <w:t>。</w:t>
      </w:r>
      <w:r>
        <w:rPr>
          <w:spacing w:val="4"/>
        </w:rPr>
        <w:t>按照</w:t>
      </w:r>
      <w:r>
        <w:rPr>
          <w:rFonts w:ascii="Times New Roman" w:hAnsi="Times New Roman" w:eastAsia="Times New Roman"/>
          <w:spacing w:val="4"/>
        </w:rPr>
        <w:t>“</w:t>
      </w:r>
      <w:r>
        <w:rPr>
          <w:spacing w:val="4"/>
        </w:rPr>
        <w:t>政府引</w:t>
      </w:r>
      <w:r>
        <w:rPr/>
        <w:t>导、企业主体、分类指导、整体推进</w:t>
      </w:r>
      <w:r>
        <w:rPr>
          <w:rFonts w:ascii="Times New Roman" w:hAnsi="Times New Roman" w:eastAsia="Times New Roman"/>
        </w:rPr>
        <w:t>”</w:t>
      </w:r>
      <w:r>
        <w:rPr/>
        <w:t>的工作要求，不断强化企</w:t>
      </w:r>
      <w:r>
        <w:rPr>
          <w:spacing w:val="-6"/>
        </w:rPr>
        <w:t>业参与多层次资本市场的政策扶持和服务保障，增强企业利用资</w:t>
      </w:r>
      <w:r>
        <w:rPr>
          <w:spacing w:val="-13"/>
        </w:rPr>
        <w:t>本市场的主体意识，积极推动陶瓷、航空、汽车、旅游及传统优势产业企业加快上市（挂牌）步伐。各县（市、区）人民政府、</w:t>
      </w:r>
      <w:r>
        <w:rPr>
          <w:spacing w:val="-20"/>
        </w:rPr>
        <w:t>市高新区、市陶瓷工业园区要切实担负起本辖区企业上市</w:t>
      </w:r>
      <w:r>
        <w:rPr/>
        <w:t>（挂牌</w:t>
      </w:r>
      <w:r>
        <w:rPr>
          <w:spacing w:val="-15"/>
        </w:rPr>
        <w:t>） </w:t>
      </w:r>
      <w:r>
        <w:rPr>
          <w:spacing w:val="-5"/>
        </w:rPr>
        <w:t>工作的具体引导责任。到 </w:t>
      </w:r>
      <w:r>
        <w:rPr>
          <w:rFonts w:ascii="Times New Roman" w:hAnsi="Times New Roman" w:eastAsia="Times New Roman"/>
        </w:rPr>
        <w:t>2020</w:t>
      </w:r>
      <w:r>
        <w:rPr>
          <w:rFonts w:ascii="Times New Roman" w:hAnsi="Times New Roman" w:eastAsia="Times New Roman"/>
          <w:spacing w:val="19"/>
        </w:rPr>
        <w:t> </w:t>
      </w:r>
      <w:r>
        <w:rPr/>
        <w:t>年末，确保全市境内外新增上市</w:t>
      </w:r>
    </w:p>
    <w:p>
      <w:pPr>
        <w:pStyle w:val="BodyText"/>
        <w:spacing w:before="11"/>
        <w:ind w:left="111"/>
      </w:pPr>
      <w:r>
        <w:rPr>
          <w:spacing w:val="-17"/>
        </w:rPr>
        <w:t>公司达到 </w:t>
      </w:r>
      <w:r>
        <w:rPr>
          <w:rFonts w:ascii="Times New Roman" w:eastAsia="Times New Roman"/>
        </w:rPr>
        <w:t>4</w:t>
      </w:r>
      <w:r>
        <w:rPr>
          <w:rFonts w:ascii="Times New Roman" w:eastAsia="Times New Roman"/>
          <w:spacing w:val="-3"/>
        </w:rPr>
        <w:t> </w:t>
      </w:r>
      <w:r>
        <w:rPr>
          <w:spacing w:val="-14"/>
        </w:rPr>
        <w:t>家；新增新三板挂牌企业 </w:t>
      </w:r>
      <w:r>
        <w:rPr>
          <w:rFonts w:ascii="Times New Roman" w:eastAsia="Times New Roman"/>
        </w:rPr>
        <w:t>9</w:t>
      </w:r>
      <w:r>
        <w:rPr>
          <w:rFonts w:ascii="Times New Roman" w:eastAsia="Times New Roman"/>
          <w:spacing w:val="-3"/>
        </w:rPr>
        <w:t> </w:t>
      </w:r>
      <w:r>
        <w:rPr>
          <w:spacing w:val="-8"/>
        </w:rPr>
        <w:t>家；新增完成规范化股改</w:t>
      </w:r>
    </w:p>
    <w:p>
      <w:pPr>
        <w:pStyle w:val="BodyText"/>
        <w:spacing w:line="350" w:lineRule="auto" w:before="190"/>
        <w:ind w:left="111" w:right="107"/>
        <w:rPr>
          <w:rFonts w:ascii="楷体" w:eastAsia="楷体" w:hint="eastAsia"/>
        </w:rPr>
      </w:pPr>
      <w:r>
        <w:rPr>
          <w:spacing w:val="-27"/>
        </w:rPr>
        <w:t>企业 </w:t>
      </w:r>
      <w:r>
        <w:rPr>
          <w:rFonts w:ascii="Times New Roman" w:eastAsia="Times New Roman"/>
        </w:rPr>
        <w:t>18 </w:t>
      </w:r>
      <w:r>
        <w:rPr>
          <w:spacing w:val="-93"/>
        </w:rPr>
        <w:t>家。</w:t>
      </w:r>
      <w:r>
        <w:rPr/>
        <w:t>（具体目标任务见附件</w:t>
      </w:r>
      <w:r>
        <w:rPr>
          <w:spacing w:val="-11"/>
        </w:rPr>
        <w:t>）</w:t>
      </w:r>
      <w:r>
        <w:rPr>
          <w:rFonts w:ascii="楷体" w:eastAsia="楷体" w:hint="eastAsia"/>
          <w:spacing w:val="-12"/>
        </w:rPr>
        <w:t>[各县</w:t>
      </w:r>
      <w:r>
        <w:rPr>
          <w:rFonts w:ascii="楷体" w:eastAsia="楷体" w:hint="eastAsia"/>
        </w:rPr>
        <w:t>（</w:t>
      </w:r>
      <w:r>
        <w:rPr>
          <w:rFonts w:ascii="楷体" w:eastAsia="楷体" w:hint="eastAsia"/>
          <w:spacing w:val="-8"/>
        </w:rPr>
        <w:t>市、区</w:t>
      </w:r>
      <w:r>
        <w:rPr>
          <w:rFonts w:ascii="楷体" w:eastAsia="楷体" w:hint="eastAsia"/>
          <w:spacing w:val="-24"/>
        </w:rPr>
        <w:t>）</w:t>
      </w:r>
      <w:r>
        <w:rPr>
          <w:rFonts w:ascii="楷体" w:eastAsia="楷体" w:hint="eastAsia"/>
          <w:spacing w:val="-3"/>
        </w:rPr>
        <w:t>人民政府、</w:t>
      </w:r>
      <w:r>
        <w:rPr>
          <w:rFonts w:ascii="楷体" w:eastAsia="楷体" w:hint="eastAsia"/>
        </w:rPr>
        <w:t>市高新区、市陶瓷工业园区按照职责分工负责]</w:t>
      </w:r>
    </w:p>
    <w:p>
      <w:pPr>
        <w:pStyle w:val="BodyText"/>
        <w:spacing w:before="3"/>
        <w:ind w:left="742"/>
        <w:rPr>
          <w:rFonts w:ascii="黑体" w:eastAsia="黑体" w:hint="eastAsia"/>
        </w:rPr>
      </w:pPr>
      <w:r>
        <w:rPr>
          <w:rFonts w:ascii="黑体" w:eastAsia="黑体" w:hint="eastAsia"/>
        </w:rPr>
        <w:t>二、支持措施</w:t>
      </w:r>
    </w:p>
    <w:p>
      <w:pPr>
        <w:spacing w:after="0"/>
        <w:rPr>
          <w:rFonts w:ascii="黑体" w:eastAsia="黑体" w:hint="eastAsia"/>
        </w:rPr>
        <w:sectPr>
          <w:pgSz w:w="11910" w:h="16840"/>
          <w:pgMar w:header="0" w:footer="1539" w:top="1580" w:bottom="1720" w:left="1420" w:right="1260"/>
        </w:sectPr>
      </w:pPr>
    </w:p>
    <w:p>
      <w:pPr>
        <w:pStyle w:val="BodyText"/>
        <w:rPr>
          <w:rFonts w:ascii="黑体"/>
          <w:sz w:val="20"/>
        </w:rPr>
      </w:pPr>
    </w:p>
    <w:p>
      <w:pPr>
        <w:pStyle w:val="BodyText"/>
        <w:spacing w:before="8"/>
        <w:rPr>
          <w:rFonts w:ascii="黑体"/>
          <w:sz w:val="17"/>
        </w:rPr>
      </w:pPr>
    </w:p>
    <w:p>
      <w:pPr>
        <w:pStyle w:val="ListParagraph"/>
        <w:numPr>
          <w:ilvl w:val="0"/>
          <w:numId w:val="1"/>
        </w:numPr>
        <w:tabs>
          <w:tab w:pos="1234" w:val="left" w:leader="none"/>
        </w:tabs>
        <w:spacing w:line="350" w:lineRule="auto" w:before="64" w:after="0"/>
        <w:ind w:left="111" w:right="107" w:firstLine="640"/>
        <w:jc w:val="left"/>
        <w:rPr>
          <w:sz w:val="32"/>
        </w:rPr>
      </w:pPr>
      <w:r>
        <w:rPr>
          <w:spacing w:val="-3"/>
          <w:sz w:val="32"/>
        </w:rPr>
        <w:t>加快培育上市后备企业。按照</w:t>
      </w:r>
      <w:r>
        <w:rPr>
          <w:rFonts w:ascii="Times New Roman" w:hAnsi="Times New Roman" w:eastAsia="Times New Roman"/>
          <w:sz w:val="32"/>
        </w:rPr>
        <w:t>“</w:t>
      </w:r>
      <w:r>
        <w:rPr>
          <w:spacing w:val="-7"/>
          <w:sz w:val="32"/>
        </w:rPr>
        <w:t>培育一批、股改一批、申</w:t>
      </w:r>
      <w:r>
        <w:rPr>
          <w:sz w:val="32"/>
        </w:rPr>
        <w:t>报一批、上市一批</w:t>
      </w:r>
      <w:r>
        <w:rPr>
          <w:rFonts w:ascii="Times New Roman" w:hAnsi="Times New Roman" w:eastAsia="Times New Roman"/>
          <w:sz w:val="32"/>
        </w:rPr>
        <w:t>”</w:t>
      </w:r>
      <w:r>
        <w:rPr>
          <w:sz w:val="32"/>
        </w:rPr>
        <w:t>梯次推动模式，建立市、县两级上市后备企</w:t>
      </w:r>
      <w:r>
        <w:rPr>
          <w:spacing w:val="-18"/>
          <w:sz w:val="32"/>
        </w:rPr>
        <w:t>业资源库。市政府金融办会同有关部门，在企业自愿、各县</w:t>
      </w:r>
      <w:r>
        <w:rPr>
          <w:sz w:val="32"/>
        </w:rPr>
        <w:t>（</w:t>
      </w:r>
      <w:r>
        <w:rPr>
          <w:spacing w:val="-7"/>
          <w:sz w:val="32"/>
        </w:rPr>
        <w:t>市、</w:t>
      </w:r>
      <w:r>
        <w:rPr>
          <w:sz w:val="32"/>
        </w:rPr>
        <w:t>区</w:t>
      </w:r>
      <w:r>
        <w:rPr>
          <w:spacing w:val="-39"/>
          <w:sz w:val="32"/>
        </w:rPr>
        <w:t>）</w:t>
      </w:r>
      <w:r>
        <w:rPr>
          <w:spacing w:val="-8"/>
          <w:sz w:val="32"/>
        </w:rPr>
        <w:t>及市高新区、市陶瓷工业园区集中申报的基础上，遴选一批上市意愿强、有发展前景的企业纳入市级企业上市后备资源库， 分重点层和培育层实行动态管理。各县（</w:t>
      </w:r>
      <w:r>
        <w:rPr>
          <w:spacing w:val="-4"/>
          <w:sz w:val="32"/>
        </w:rPr>
        <w:t>市、区</w:t>
      </w:r>
      <w:r>
        <w:rPr>
          <w:spacing w:val="-159"/>
          <w:sz w:val="32"/>
        </w:rPr>
        <w:t>）</w:t>
      </w:r>
      <w:r>
        <w:rPr>
          <w:sz w:val="32"/>
        </w:rPr>
        <w:t>、工业园区、</w:t>
      </w:r>
      <w:r>
        <w:rPr>
          <w:spacing w:val="-5"/>
          <w:sz w:val="32"/>
        </w:rPr>
        <w:t>市有关部门要优先推荐企业上市后备资源库中的重点层企业，申报高新技术企业、省级创新型企业或农业产业化龙头企业资格； </w:t>
      </w:r>
      <w:r>
        <w:rPr>
          <w:spacing w:val="-10"/>
          <w:sz w:val="32"/>
        </w:rPr>
        <w:t>优先对企业上市后备资源库中的重点层企业安排或者向国家、省</w:t>
      </w:r>
      <w:r>
        <w:rPr>
          <w:spacing w:val="-15"/>
          <w:sz w:val="32"/>
        </w:rPr>
        <w:t>申报各类科技项目、创业投资引导基金、中小企业发展专项资金</w:t>
      </w:r>
      <w:r>
        <w:rPr>
          <w:spacing w:val="-17"/>
          <w:sz w:val="32"/>
        </w:rPr>
        <w:t>等各类政策性扶持资金；政府性融资担保机构要为上市后备资源</w:t>
      </w:r>
      <w:r>
        <w:rPr>
          <w:spacing w:val="-20"/>
          <w:sz w:val="32"/>
        </w:rPr>
        <w:t>库中的重点层企业主动开展融资服务，提供增信支持。鼓励拟上市公司投资高新技术项目、重点技术改造项目，并按照规定给予相关优惠政策。对拟上市</w:t>
      </w:r>
      <w:r>
        <w:rPr>
          <w:sz w:val="32"/>
        </w:rPr>
        <w:t>（挂牌</w:t>
      </w:r>
      <w:r>
        <w:rPr>
          <w:spacing w:val="-37"/>
          <w:sz w:val="32"/>
        </w:rPr>
        <w:t>）</w:t>
      </w:r>
      <w:r>
        <w:rPr>
          <w:sz w:val="32"/>
        </w:rPr>
        <w:t>企业引进急需紧缺高层次人才</w:t>
      </w:r>
      <w:r>
        <w:rPr>
          <w:spacing w:val="-9"/>
          <w:sz w:val="32"/>
        </w:rPr>
        <w:t>所支付的一次性住房补贴、安家费、科研启动经费等费用，可按</w:t>
      </w:r>
      <w:r>
        <w:rPr>
          <w:spacing w:val="-16"/>
          <w:sz w:val="32"/>
        </w:rPr>
        <w:t>规定据实在计算企业所得税前扣除。拟上市企业柔性引进高层次</w:t>
      </w:r>
      <w:r>
        <w:rPr>
          <w:spacing w:val="6"/>
          <w:sz w:val="32"/>
        </w:rPr>
        <w:t>人才所支付的奖励和劳务报酬，可按规定在单位成本中税前列</w:t>
      </w:r>
      <w:r>
        <w:rPr>
          <w:spacing w:val="-18"/>
          <w:sz w:val="32"/>
        </w:rPr>
        <w:t>支。对引进的高层次、紧缺型资本市场人才，优先推荐纳入省</w:t>
      </w:r>
      <w:r>
        <w:rPr>
          <w:rFonts w:ascii="Times New Roman" w:hAnsi="Times New Roman" w:eastAsia="Times New Roman"/>
          <w:sz w:val="32"/>
        </w:rPr>
        <w:t>“</w:t>
      </w:r>
      <w:r>
        <w:rPr>
          <w:sz w:val="32"/>
        </w:rPr>
        <w:t>双</w:t>
      </w:r>
      <w:r>
        <w:rPr>
          <w:spacing w:val="3"/>
          <w:sz w:val="32"/>
        </w:rPr>
        <w:t>千计划</w:t>
      </w:r>
      <w:r>
        <w:rPr>
          <w:rFonts w:ascii="Times New Roman" w:hAnsi="Times New Roman" w:eastAsia="Times New Roman"/>
          <w:sz w:val="32"/>
        </w:rPr>
        <w:t>”</w:t>
      </w:r>
      <w:r>
        <w:rPr>
          <w:sz w:val="32"/>
        </w:rPr>
        <w:t>金融类人才支持对象。对在境内外主板上市的企业主要</w:t>
      </w:r>
      <w:r>
        <w:rPr>
          <w:spacing w:val="-1"/>
          <w:sz w:val="32"/>
        </w:rPr>
        <w:t>负责人，可依照有关规定评定为我市 </w:t>
      </w:r>
      <w:r>
        <w:rPr>
          <w:rFonts w:ascii="Times New Roman" w:hAnsi="Times New Roman" w:eastAsia="Times New Roman"/>
          <w:sz w:val="32"/>
        </w:rPr>
        <w:t>C</w:t>
      </w:r>
      <w:r>
        <w:rPr>
          <w:rFonts w:ascii="Times New Roman" w:hAnsi="Times New Roman" w:eastAsia="Times New Roman"/>
          <w:spacing w:val="72"/>
          <w:sz w:val="32"/>
        </w:rPr>
        <w:t> </w:t>
      </w:r>
      <w:r>
        <w:rPr>
          <w:sz w:val="32"/>
        </w:rPr>
        <w:t>类人才；对在境内外主</w:t>
      </w:r>
      <w:r>
        <w:rPr>
          <w:spacing w:val="-6"/>
          <w:sz w:val="32"/>
        </w:rPr>
        <w:t>板上市的企业副总经理以上管理职位、技术研发主要负责人，以</w:t>
      </w:r>
    </w:p>
    <w:p>
      <w:pPr>
        <w:spacing w:after="0" w:line="350" w:lineRule="auto"/>
        <w:jc w:val="left"/>
        <w:rPr>
          <w:sz w:val="32"/>
        </w:rPr>
        <w:sectPr>
          <w:pgSz w:w="11910" w:h="16840"/>
          <w:pgMar w:header="0" w:footer="1539" w:top="1580" w:bottom="1720" w:left="1420" w:right="1260"/>
        </w:sectPr>
      </w:pPr>
    </w:p>
    <w:p>
      <w:pPr>
        <w:pStyle w:val="BodyText"/>
        <w:rPr>
          <w:sz w:val="20"/>
        </w:rPr>
      </w:pPr>
    </w:p>
    <w:p>
      <w:pPr>
        <w:pStyle w:val="BodyText"/>
        <w:spacing w:before="5"/>
        <w:rPr>
          <w:sz w:val="18"/>
        </w:rPr>
      </w:pPr>
    </w:p>
    <w:p>
      <w:pPr>
        <w:pStyle w:val="BodyText"/>
        <w:spacing w:line="350" w:lineRule="auto" w:before="55"/>
        <w:ind w:left="111" w:right="268"/>
        <w:jc w:val="both"/>
        <w:rPr>
          <w:rFonts w:ascii="楷体" w:eastAsia="楷体" w:hint="eastAsia"/>
        </w:rPr>
      </w:pPr>
      <w:r>
        <w:rPr>
          <w:spacing w:val="-9"/>
        </w:rPr>
        <w:t>及在新三板挂牌的企业主要负责人，可依照有关规定评定为我市</w:t>
      </w:r>
      <w:r>
        <w:rPr>
          <w:rFonts w:ascii="Times New Roman" w:eastAsia="Times New Roman"/>
        </w:rPr>
        <w:t>D </w:t>
      </w:r>
      <w:r>
        <w:rPr/>
        <w:t>类人才。</w:t>
      </w:r>
      <w:r>
        <w:rPr>
          <w:rFonts w:ascii="楷体" w:eastAsia="楷体" w:hint="eastAsia"/>
        </w:rPr>
        <w:t>[各县（市、区）人民政府、市高新区、市陶瓷工业</w:t>
      </w:r>
      <w:r>
        <w:rPr>
          <w:rFonts w:ascii="楷体" w:eastAsia="楷体" w:hint="eastAsia"/>
          <w:spacing w:val="-12"/>
        </w:rPr>
        <w:t>园区、市招才引智局、市工信委、市国资委、市人力资源社会保</w:t>
      </w:r>
      <w:r>
        <w:rPr>
          <w:rFonts w:ascii="楷体" w:eastAsia="楷体" w:hint="eastAsia"/>
          <w:spacing w:val="-13"/>
        </w:rPr>
        <w:t>障局、市科技局、市农业局、市税务局、市政府金融办、景德镇</w:t>
      </w:r>
      <w:r>
        <w:rPr>
          <w:rFonts w:ascii="楷体" w:eastAsia="楷体" w:hint="eastAsia"/>
        </w:rPr>
        <w:t>银监分局按照职责分工负责]</w:t>
      </w:r>
    </w:p>
    <w:p>
      <w:pPr>
        <w:pStyle w:val="ListParagraph"/>
        <w:numPr>
          <w:ilvl w:val="0"/>
          <w:numId w:val="1"/>
        </w:numPr>
        <w:tabs>
          <w:tab w:pos="1234" w:val="left" w:leader="none"/>
        </w:tabs>
        <w:spacing w:line="350" w:lineRule="auto" w:before="7" w:after="0"/>
        <w:ind w:left="111" w:right="111" w:firstLine="640"/>
        <w:jc w:val="left"/>
        <w:rPr>
          <w:sz w:val="32"/>
        </w:rPr>
      </w:pPr>
      <w:r>
        <w:rPr>
          <w:spacing w:val="-2"/>
          <w:sz w:val="32"/>
        </w:rPr>
        <w:t>大力推进企业股份制改造。根据</w:t>
      </w:r>
      <w:r>
        <w:rPr>
          <w:rFonts w:ascii="Times New Roman" w:hAnsi="Times New Roman" w:eastAsia="Times New Roman"/>
          <w:sz w:val="32"/>
        </w:rPr>
        <w:t>“</w:t>
      </w:r>
      <w:r>
        <w:rPr>
          <w:spacing w:val="-8"/>
          <w:sz w:val="32"/>
        </w:rPr>
        <w:t>个转企，小升规，规改</w:t>
      </w:r>
      <w:r>
        <w:rPr>
          <w:spacing w:val="1"/>
          <w:sz w:val="32"/>
        </w:rPr>
        <w:t>股，股上市</w:t>
      </w:r>
      <w:r>
        <w:rPr>
          <w:rFonts w:ascii="Times New Roman" w:hAnsi="Times New Roman" w:eastAsia="Times New Roman"/>
          <w:sz w:val="32"/>
        </w:rPr>
        <w:t>”</w:t>
      </w:r>
      <w:r>
        <w:rPr>
          <w:sz w:val="32"/>
        </w:rPr>
        <w:t>的总要求，强化企业股改意识，鼓励优质企业积极</w:t>
      </w:r>
      <w:r>
        <w:rPr>
          <w:spacing w:val="-19"/>
          <w:sz w:val="32"/>
        </w:rPr>
        <w:t>引进各类战略投资者，实施规范化股改，推动中小企业转型升级。</w:t>
      </w:r>
      <w:r>
        <w:rPr>
          <w:spacing w:val="-20"/>
          <w:sz w:val="32"/>
        </w:rPr>
        <w:t>各县</w:t>
      </w:r>
      <w:r>
        <w:rPr>
          <w:sz w:val="32"/>
        </w:rPr>
        <w:t>（</w:t>
      </w:r>
      <w:r>
        <w:rPr>
          <w:spacing w:val="-13"/>
          <w:sz w:val="32"/>
        </w:rPr>
        <w:t>市、区</w:t>
      </w:r>
      <w:r>
        <w:rPr>
          <w:spacing w:val="-39"/>
          <w:sz w:val="32"/>
        </w:rPr>
        <w:t>）</w:t>
      </w:r>
      <w:r>
        <w:rPr>
          <w:sz w:val="32"/>
        </w:rPr>
        <w:t>政府和工业园区管委会要根据市政府下达的目标</w:t>
      </w:r>
      <w:r>
        <w:rPr>
          <w:spacing w:val="-11"/>
          <w:sz w:val="32"/>
        </w:rPr>
        <w:t>任务，分年度制定推动企业股改计划，积极推动企业开展股份制改造。企业实施股份制改造给予以下支持：</w:t>
      </w:r>
    </w:p>
    <w:p>
      <w:pPr>
        <w:pStyle w:val="BodyText"/>
        <w:spacing w:line="350" w:lineRule="auto" w:before="9"/>
        <w:ind w:left="111" w:right="271" w:firstLine="640"/>
      </w:pPr>
      <w:r>
        <w:rPr>
          <w:rFonts w:ascii="宋体" w:hAnsi="宋体" w:eastAsia="宋体" w:hint="eastAsia"/>
        </w:rPr>
        <w:t>①</w:t>
      </w:r>
      <w:r>
        <w:rPr>
          <w:spacing w:val="-10"/>
        </w:rPr>
        <w:t>对企业改制补缴的企业所得税，其地方留成部分由受益财</w:t>
      </w:r>
      <w:r>
        <w:rPr/>
        <w:t>政在当年底前一次性全额补助给企业。</w:t>
      </w:r>
    </w:p>
    <w:p>
      <w:pPr>
        <w:pStyle w:val="BodyText"/>
        <w:spacing w:line="350" w:lineRule="auto" w:before="3"/>
        <w:ind w:left="111" w:right="272" w:firstLine="640"/>
        <w:jc w:val="both"/>
      </w:pPr>
      <w:r>
        <w:rPr>
          <w:rFonts w:ascii="宋体" w:hAnsi="宋体" w:eastAsia="宋体" w:hint="eastAsia"/>
          <w:spacing w:val="9"/>
          <w:w w:val="95"/>
        </w:rPr>
        <w:t>②</w:t>
      </w:r>
      <w:r>
        <w:rPr>
          <w:spacing w:val="6"/>
          <w:w w:val="95"/>
        </w:rPr>
        <w:t>对企业改制过程中按规定量化到个人的资产及未分配利 </w:t>
      </w:r>
      <w:r>
        <w:rPr>
          <w:spacing w:val="-12"/>
        </w:rPr>
        <w:t>润、盈余公积转增股本而缴纳的个人所得税，其地方留成部分由</w:t>
      </w:r>
      <w:r>
        <w:rPr/>
        <w:t>受益财政在当年底一次性全额补助。</w:t>
      </w:r>
    </w:p>
    <w:p>
      <w:pPr>
        <w:pStyle w:val="BodyText"/>
        <w:spacing w:line="350" w:lineRule="auto" w:before="4"/>
        <w:ind w:left="111" w:right="269" w:firstLine="640"/>
        <w:jc w:val="both"/>
      </w:pPr>
      <w:r>
        <w:rPr>
          <w:rFonts w:ascii="宋体" w:hAnsi="宋体" w:eastAsia="宋体" w:hint="eastAsia"/>
        </w:rPr>
        <w:t>③</w:t>
      </w:r>
      <w:r>
        <w:rPr>
          <w:spacing w:val="-9"/>
        </w:rPr>
        <w:t>拟上市</w:t>
      </w:r>
      <w:r>
        <w:rPr/>
        <w:t>（挂牌</w:t>
      </w:r>
      <w:r>
        <w:rPr>
          <w:spacing w:val="-27"/>
        </w:rPr>
        <w:t>）</w:t>
      </w:r>
      <w:r>
        <w:rPr>
          <w:spacing w:val="-6"/>
        </w:rPr>
        <w:t>企业进行股份制改造、合并或分立、股权</w:t>
      </w:r>
      <w:r>
        <w:rPr>
          <w:spacing w:val="-11"/>
        </w:rPr>
        <w:t>转让或重组，涉及土地使用权和房屋所有权变更登记的，在过户</w:t>
      </w:r>
      <w:r>
        <w:rPr>
          <w:spacing w:val="-12"/>
        </w:rPr>
        <w:t>环节所交纳的契税，其地方留成部分由受益财政在当年底前一次</w:t>
      </w:r>
      <w:r>
        <w:rPr/>
        <w:t>性全额补助给企业。</w:t>
      </w:r>
    </w:p>
    <w:p>
      <w:pPr>
        <w:pStyle w:val="BodyText"/>
        <w:spacing w:before="6"/>
        <w:ind w:left="752"/>
      </w:pPr>
      <w:r>
        <w:rPr>
          <w:rFonts w:ascii="宋体" w:hAnsi="宋体" w:eastAsia="宋体" w:hint="eastAsia"/>
        </w:rPr>
        <w:t>④</w:t>
      </w:r>
      <w:r>
        <w:rPr/>
        <w:t>改制过程中涉及营业执照变更登记、房地产及水、电、通</w:t>
      </w:r>
    </w:p>
    <w:p>
      <w:pPr>
        <w:spacing w:after="0"/>
        <w:sectPr>
          <w:pgSz w:w="11910" w:h="16840"/>
          <w:pgMar w:header="0" w:footer="1539" w:top="1580" w:bottom="1720" w:left="1420" w:right="1260"/>
        </w:sectPr>
      </w:pPr>
    </w:p>
    <w:p>
      <w:pPr>
        <w:pStyle w:val="BodyText"/>
        <w:rPr>
          <w:sz w:val="20"/>
        </w:rPr>
      </w:pPr>
    </w:p>
    <w:p>
      <w:pPr>
        <w:pStyle w:val="BodyText"/>
        <w:spacing w:before="5"/>
        <w:rPr>
          <w:sz w:val="18"/>
        </w:rPr>
      </w:pPr>
    </w:p>
    <w:p>
      <w:pPr>
        <w:pStyle w:val="BodyText"/>
        <w:spacing w:line="350" w:lineRule="auto" w:before="55"/>
        <w:ind w:left="111" w:right="268"/>
        <w:jc w:val="both"/>
        <w:rPr>
          <w:rFonts w:ascii="楷体" w:eastAsia="楷体" w:hint="eastAsia"/>
        </w:rPr>
      </w:pPr>
      <w:r>
        <w:rPr>
          <w:spacing w:val="-11"/>
        </w:rPr>
        <w:t>讯等设施过户、资产转让等有关行政事业性收费和经营服务性收费，凡政策规定能够免收的一律不收，不能免收的按政策规定下</w:t>
      </w:r>
      <w:r>
        <w:rPr/>
        <w:t>限执行。</w:t>
      </w:r>
      <w:r>
        <w:rPr>
          <w:rFonts w:ascii="楷体" w:eastAsia="楷体" w:hint="eastAsia"/>
          <w:spacing w:val="1"/>
        </w:rPr>
        <w:t>[各县</w:t>
      </w:r>
      <w:r>
        <w:rPr>
          <w:rFonts w:ascii="楷体" w:eastAsia="楷体" w:hint="eastAsia"/>
        </w:rPr>
        <w:t>（市、区）人民政府、市高新区、市陶瓷工业园</w:t>
      </w:r>
      <w:r>
        <w:rPr>
          <w:rFonts w:ascii="楷体" w:eastAsia="楷体" w:hint="eastAsia"/>
          <w:spacing w:val="-12"/>
        </w:rPr>
        <w:t>区、市发改委、市财政局、市市场监管局、市国土资源局、市房</w:t>
      </w:r>
      <w:r>
        <w:rPr>
          <w:rFonts w:ascii="楷体" w:eastAsia="楷体" w:hint="eastAsia"/>
        </w:rPr>
        <w:t>管局、市政府金融办按照职责分工负责]</w:t>
      </w:r>
    </w:p>
    <w:p>
      <w:pPr>
        <w:pStyle w:val="ListParagraph"/>
        <w:numPr>
          <w:ilvl w:val="0"/>
          <w:numId w:val="1"/>
        </w:numPr>
        <w:tabs>
          <w:tab w:pos="1238" w:val="left" w:leader="none"/>
        </w:tabs>
        <w:spacing w:line="350" w:lineRule="auto" w:before="7" w:after="0"/>
        <w:ind w:left="111" w:right="157" w:firstLine="640"/>
        <w:jc w:val="left"/>
        <w:rPr>
          <w:sz w:val="32"/>
        </w:rPr>
      </w:pPr>
      <w:r>
        <w:rPr>
          <w:sz w:val="32"/>
        </w:rPr>
        <w:t>加大企业上市挂牌奖励或补助力度。坚持境内境外上市</w:t>
      </w:r>
      <w:r>
        <w:rPr>
          <w:spacing w:val="-11"/>
          <w:sz w:val="32"/>
        </w:rPr>
        <w:t>并举，主板、中小板、创业板等市场并重，重点推动符合国家产</w:t>
      </w:r>
      <w:r>
        <w:rPr>
          <w:spacing w:val="-12"/>
          <w:sz w:val="32"/>
        </w:rPr>
        <w:t>业政策、发展前景好、盈利能力强的行业龙头企业在主板上市； </w:t>
      </w:r>
      <w:r>
        <w:rPr>
          <w:spacing w:val="-9"/>
          <w:sz w:val="32"/>
        </w:rPr>
        <w:t>积极推动科技型、成长型中小企业在中小板、创业板上市；推动</w:t>
      </w:r>
      <w:r>
        <w:rPr>
          <w:spacing w:val="6"/>
          <w:sz w:val="32"/>
        </w:rPr>
        <w:t>初创型、创新型中小企业在新三板或江西联合股权交易中心挂</w:t>
      </w:r>
      <w:r>
        <w:rPr>
          <w:spacing w:val="-11"/>
          <w:sz w:val="32"/>
        </w:rPr>
        <w:t>牌；鼓励旅游、农业、房地产及外向型企业到香港等境外资本市</w:t>
      </w:r>
      <w:r>
        <w:rPr>
          <w:spacing w:val="-12"/>
          <w:sz w:val="32"/>
        </w:rPr>
        <w:t>场上市；支持市内大型企业并购重组借壳等方式进入资本市场。</w:t>
      </w:r>
      <w:r>
        <w:rPr>
          <w:sz w:val="32"/>
        </w:rPr>
        <w:t>按照企业上市（挂牌）</w:t>
      </w:r>
      <w:r>
        <w:rPr>
          <w:spacing w:val="-1"/>
          <w:sz w:val="32"/>
        </w:rPr>
        <w:t>途径及阶段，分别给予以下奖励或补助：</w:t>
      </w:r>
    </w:p>
    <w:p>
      <w:pPr>
        <w:pStyle w:val="BodyText"/>
        <w:spacing w:line="350" w:lineRule="auto" w:before="12"/>
        <w:ind w:left="111" w:right="268" w:firstLine="640"/>
        <w:jc w:val="both"/>
      </w:pPr>
      <w:r>
        <w:rPr>
          <w:rFonts w:ascii="宋体" w:hAnsi="宋体" w:eastAsia="宋体" w:hint="eastAsia"/>
        </w:rPr>
        <w:t>①</w:t>
      </w:r>
      <w:r>
        <w:rPr>
          <w:spacing w:val="-10"/>
        </w:rPr>
        <w:t>境内主板首发上市奖励。对境内首发上市企业，给予总额</w:t>
      </w:r>
      <w:r>
        <w:rPr>
          <w:rFonts w:ascii="Times New Roman" w:hAnsi="Times New Roman" w:eastAsia="Times New Roman"/>
          <w:spacing w:val="1"/>
          <w:w w:val="99"/>
        </w:rPr>
        <w:t>100</w:t>
      </w:r>
      <w:r>
        <w:rPr>
          <w:rFonts w:ascii="Times New Roman" w:hAnsi="Times New Roman" w:eastAsia="Times New Roman"/>
          <w:w w:val="99"/>
        </w:rPr>
        <w:t>0</w:t>
      </w:r>
      <w:r>
        <w:rPr>
          <w:rFonts w:ascii="Times New Roman" w:hAnsi="Times New Roman" w:eastAsia="Times New Roman"/>
        </w:rPr>
        <w:t> </w:t>
      </w:r>
      <w:r>
        <w:rPr>
          <w:spacing w:val="-5"/>
          <w:w w:val="99"/>
        </w:rPr>
        <w:t>万元奖励</w:t>
      </w:r>
      <w:r>
        <w:rPr>
          <w:w w:val="99"/>
        </w:rPr>
        <w:t>（含省财政奖励市政府</w:t>
      </w:r>
      <w:r>
        <w:rPr>
          <w:spacing w:val="-77"/>
        </w:rPr>
        <w:t> </w:t>
      </w:r>
      <w:r>
        <w:rPr>
          <w:rFonts w:ascii="Times New Roman" w:hAnsi="Times New Roman" w:eastAsia="Times New Roman"/>
          <w:spacing w:val="-2"/>
          <w:w w:val="99"/>
        </w:rPr>
        <w:t>5</w:t>
      </w:r>
      <w:r>
        <w:rPr>
          <w:rFonts w:ascii="Times New Roman" w:hAnsi="Times New Roman" w:eastAsia="Times New Roman"/>
          <w:w w:val="99"/>
        </w:rPr>
        <w:t>00</w:t>
      </w:r>
      <w:r>
        <w:rPr>
          <w:rFonts w:ascii="Times New Roman" w:hAnsi="Times New Roman" w:eastAsia="Times New Roman"/>
        </w:rPr>
        <w:t> </w:t>
      </w:r>
      <w:r>
        <w:rPr>
          <w:spacing w:val="1"/>
          <w:w w:val="99"/>
        </w:rPr>
        <w:t>万元</w:t>
      </w:r>
      <w:r>
        <w:rPr>
          <w:spacing w:val="-161"/>
          <w:w w:val="99"/>
        </w:rPr>
        <w:t>）</w:t>
      </w:r>
      <w:r>
        <w:rPr>
          <w:spacing w:val="-5"/>
          <w:w w:val="99"/>
        </w:rPr>
        <w:t>，市财政和受益</w:t>
      </w:r>
      <w:r>
        <w:rPr>
          <w:spacing w:val="-7"/>
        </w:rPr>
        <w:t>财政按照企业报江西证监局完成上市辅导备案、向中国证监会报</w:t>
      </w:r>
      <w:r>
        <w:rPr>
          <w:spacing w:val="-8"/>
        </w:rPr>
        <w:t>送材料并被正式受理、成功上市三个阶段给予奖励。其中：企业</w:t>
      </w:r>
      <w:r>
        <w:rPr>
          <w:spacing w:val="-15"/>
        </w:rPr>
        <w:t>报江西证监局完成上市辅导备案，由受益财政奖励 </w:t>
      </w:r>
      <w:r>
        <w:rPr>
          <w:rFonts w:ascii="Times New Roman" w:hAnsi="Times New Roman" w:eastAsia="Times New Roman"/>
        </w:rPr>
        <w:t>100 </w:t>
      </w:r>
      <w:r>
        <w:rPr>
          <w:spacing w:val="-18"/>
        </w:rPr>
        <w:t>万元；向</w:t>
      </w:r>
      <w:r>
        <w:rPr>
          <w:spacing w:val="-9"/>
        </w:rPr>
        <w:t>中国证监会报送材料并被正式受理，由市财政和受益财政各奖励</w:t>
      </w:r>
      <w:r>
        <w:rPr>
          <w:rFonts w:ascii="Times New Roman" w:hAnsi="Times New Roman" w:eastAsia="Times New Roman"/>
        </w:rPr>
        <w:t>100 </w:t>
      </w:r>
      <w:r>
        <w:rPr>
          <w:spacing w:val="-10"/>
        </w:rPr>
        <w:t>万元；成功上市后，市财政奖励 </w:t>
      </w:r>
      <w:r>
        <w:rPr>
          <w:rFonts w:ascii="Times New Roman" w:hAnsi="Times New Roman" w:eastAsia="Times New Roman"/>
        </w:rPr>
        <w:t>600 </w:t>
      </w:r>
      <w:r>
        <w:rPr>
          <w:spacing w:val="-7"/>
        </w:rPr>
        <w:t>万元</w:t>
      </w:r>
      <w:r>
        <w:rPr/>
        <w:t>（含省财政奖励市</w:t>
      </w:r>
    </w:p>
    <w:p>
      <w:pPr>
        <w:pStyle w:val="BodyText"/>
        <w:spacing w:before="10"/>
        <w:ind w:left="111"/>
        <w:jc w:val="both"/>
      </w:pPr>
      <w:r>
        <w:rPr>
          <w:spacing w:val="1"/>
          <w:w w:val="99"/>
        </w:rPr>
        <w:t>政府</w:t>
      </w:r>
      <w:r>
        <w:rPr>
          <w:spacing w:val="-79"/>
        </w:rPr>
        <w:t> </w:t>
      </w:r>
      <w:r>
        <w:rPr>
          <w:rFonts w:ascii="Times New Roman" w:eastAsia="Times New Roman"/>
          <w:spacing w:val="-2"/>
          <w:w w:val="99"/>
        </w:rPr>
        <w:t>5</w:t>
      </w:r>
      <w:r>
        <w:rPr>
          <w:rFonts w:ascii="Times New Roman" w:eastAsia="Times New Roman"/>
          <w:w w:val="99"/>
        </w:rPr>
        <w:t>00</w:t>
      </w:r>
      <w:r>
        <w:rPr>
          <w:rFonts w:ascii="Times New Roman" w:eastAsia="Times New Roman"/>
        </w:rPr>
        <w:t> </w:t>
      </w:r>
      <w:r>
        <w:rPr>
          <w:spacing w:val="1"/>
          <w:w w:val="99"/>
        </w:rPr>
        <w:t>万元</w:t>
      </w:r>
      <w:r>
        <w:rPr>
          <w:spacing w:val="-161"/>
          <w:w w:val="99"/>
        </w:rPr>
        <w:t>）</w:t>
      </w:r>
      <w:r>
        <w:rPr>
          <w:w w:val="99"/>
        </w:rPr>
        <w:t>，受益财政奖励</w:t>
      </w:r>
      <w:r>
        <w:rPr>
          <w:spacing w:val="-78"/>
        </w:rPr>
        <w:t> </w:t>
      </w:r>
      <w:r>
        <w:rPr>
          <w:rFonts w:ascii="Times New Roman" w:eastAsia="Times New Roman"/>
          <w:w w:val="99"/>
        </w:rPr>
        <w:t>1</w:t>
      </w:r>
      <w:r>
        <w:rPr>
          <w:rFonts w:ascii="Times New Roman" w:eastAsia="Times New Roman"/>
          <w:spacing w:val="-2"/>
          <w:w w:val="99"/>
        </w:rPr>
        <w:t>0</w:t>
      </w:r>
      <w:r>
        <w:rPr>
          <w:rFonts w:ascii="Times New Roman" w:eastAsia="Times New Roman"/>
          <w:w w:val="99"/>
        </w:rPr>
        <w:t>0</w:t>
      </w:r>
      <w:r>
        <w:rPr>
          <w:rFonts w:ascii="Times New Roman" w:eastAsia="Times New Roman"/>
          <w:spacing w:val="1"/>
        </w:rPr>
        <w:t> </w:t>
      </w:r>
      <w:r>
        <w:rPr>
          <w:w w:val="99"/>
        </w:rPr>
        <w:t>万元。</w:t>
      </w:r>
    </w:p>
    <w:p>
      <w:pPr>
        <w:spacing w:after="0"/>
        <w:jc w:val="both"/>
        <w:sectPr>
          <w:pgSz w:w="11910" w:h="16840"/>
          <w:pgMar w:header="0" w:footer="1539" w:top="1580" w:bottom="1720" w:left="1420" w:right="1260"/>
        </w:sectPr>
      </w:pPr>
    </w:p>
    <w:p>
      <w:pPr>
        <w:pStyle w:val="BodyText"/>
        <w:rPr>
          <w:sz w:val="20"/>
        </w:rPr>
      </w:pPr>
    </w:p>
    <w:p>
      <w:pPr>
        <w:pStyle w:val="BodyText"/>
        <w:spacing w:before="5"/>
        <w:rPr>
          <w:sz w:val="18"/>
        </w:rPr>
      </w:pPr>
    </w:p>
    <w:p>
      <w:pPr>
        <w:pStyle w:val="BodyText"/>
        <w:spacing w:line="350" w:lineRule="auto" w:before="55"/>
        <w:ind w:left="111" w:right="157" w:firstLine="640"/>
      </w:pPr>
      <w:r>
        <w:rPr>
          <w:rFonts w:ascii="宋体" w:hAnsi="宋体" w:eastAsia="宋体" w:hint="eastAsia"/>
        </w:rPr>
        <w:t>②</w:t>
      </w:r>
      <w:r>
        <w:rPr>
          <w:spacing w:val="-10"/>
        </w:rPr>
        <w:t>并购重组或借壳上市奖励。通过招商引资引入市外已成功上市企业并将工商注册地迁入我市或采用并购重组上市（借壳</w:t>
      </w:r>
      <w:r>
        <w:rPr>
          <w:spacing w:val="-16"/>
        </w:rPr>
        <w:t>） </w:t>
      </w:r>
      <w:r>
        <w:rPr>
          <w:spacing w:val="-3"/>
        </w:rPr>
        <w:t>后将上市公司注册地迁回我市的企业给予总额 </w:t>
      </w:r>
      <w:r>
        <w:rPr>
          <w:rFonts w:ascii="Times New Roman" w:hAnsi="Times New Roman" w:eastAsia="Times New Roman"/>
        </w:rPr>
        <w:t>1000</w:t>
      </w:r>
      <w:r>
        <w:rPr>
          <w:rFonts w:ascii="Times New Roman" w:hAnsi="Times New Roman" w:eastAsia="Times New Roman"/>
          <w:spacing w:val="20"/>
        </w:rPr>
        <w:t> </w:t>
      </w:r>
      <w:r>
        <w:rPr/>
        <w:t>万元奖励，</w:t>
      </w:r>
    </w:p>
    <w:p>
      <w:pPr>
        <w:pStyle w:val="BodyText"/>
        <w:spacing w:before="4"/>
        <w:ind w:left="111"/>
      </w:pPr>
      <w:r>
        <w:rPr>
          <w:spacing w:val="-8"/>
        </w:rPr>
        <w:t>其中：市财政奖励 </w:t>
      </w:r>
      <w:r>
        <w:rPr>
          <w:rFonts w:ascii="Times New Roman" w:eastAsia="Times New Roman"/>
        </w:rPr>
        <w:t>700</w:t>
      </w:r>
      <w:r>
        <w:rPr>
          <w:rFonts w:ascii="Times New Roman" w:eastAsia="Times New Roman"/>
          <w:spacing w:val="9"/>
        </w:rPr>
        <w:t> </w:t>
      </w:r>
      <w:r>
        <w:rPr/>
        <w:t>万元（</w:t>
      </w:r>
      <w:r>
        <w:rPr>
          <w:spacing w:val="-7"/>
        </w:rPr>
        <w:t>含省财政奖励市政府 </w:t>
      </w:r>
      <w:r>
        <w:rPr>
          <w:rFonts w:ascii="Times New Roman" w:eastAsia="Times New Roman"/>
        </w:rPr>
        <w:t>500</w:t>
      </w:r>
      <w:r>
        <w:rPr>
          <w:rFonts w:ascii="Times New Roman" w:eastAsia="Times New Roman"/>
          <w:spacing w:val="10"/>
        </w:rPr>
        <w:t> </w:t>
      </w:r>
      <w:r>
        <w:rPr/>
        <w:t>万元</w:t>
      </w:r>
      <w:r>
        <w:rPr>
          <w:spacing w:val="-161"/>
        </w:rPr>
        <w:t>）</w:t>
      </w:r>
      <w:r>
        <w:rPr/>
        <w:t>、</w:t>
      </w:r>
    </w:p>
    <w:p>
      <w:pPr>
        <w:pStyle w:val="BodyText"/>
        <w:spacing w:before="190"/>
        <w:ind w:left="111"/>
      </w:pPr>
      <w:r>
        <w:rPr/>
        <w:t>受益财政奖励 </w:t>
      </w:r>
      <w:r>
        <w:rPr>
          <w:rFonts w:ascii="Times New Roman" w:eastAsia="Times New Roman"/>
        </w:rPr>
        <w:t>300 </w:t>
      </w:r>
      <w:r>
        <w:rPr/>
        <w:t>万元。</w:t>
      </w:r>
    </w:p>
    <w:p>
      <w:pPr>
        <w:pStyle w:val="BodyText"/>
        <w:spacing w:line="350" w:lineRule="auto" w:before="190"/>
        <w:ind w:left="111" w:right="269" w:firstLine="640"/>
        <w:jc w:val="both"/>
      </w:pPr>
      <w:r>
        <w:rPr>
          <w:rFonts w:ascii="宋体" w:hAnsi="宋体" w:eastAsia="宋体" w:hint="eastAsia"/>
        </w:rPr>
        <w:t>③</w:t>
      </w:r>
      <w:r>
        <w:rPr>
          <w:spacing w:val="-10"/>
        </w:rPr>
        <w:t>境外证券交易所首发上市奖励。在境外证券交易所实现首</w:t>
      </w:r>
      <w:r>
        <w:rPr>
          <w:spacing w:val="-11"/>
        </w:rPr>
        <w:t>发上市企业，除将省财政下达给市政府的奖励资金</w:t>
      </w:r>
      <w:r>
        <w:rPr/>
        <w:t>（</w:t>
      </w:r>
      <w:r>
        <w:rPr>
          <w:spacing w:val="-3"/>
        </w:rPr>
        <w:t>按实际融资</w:t>
      </w:r>
      <w:r>
        <w:rPr>
          <w:spacing w:val="-17"/>
        </w:rPr>
        <w:t>金额的 </w:t>
      </w:r>
      <w:r>
        <w:rPr>
          <w:rFonts w:ascii="Times New Roman" w:hAnsi="Times New Roman" w:eastAsia="Times New Roman"/>
        </w:rPr>
        <w:t>2%</w:t>
      </w:r>
      <w:r>
        <w:rPr/>
        <w:t>计算奖励）</w:t>
      </w:r>
      <w:r>
        <w:rPr>
          <w:spacing w:val="-1"/>
        </w:rPr>
        <w:t>全额奖励企业外，市财政和受益财政分别</w:t>
      </w:r>
      <w:r>
        <w:rPr>
          <w:spacing w:val="-28"/>
        </w:rPr>
        <w:t>奖励 </w:t>
      </w:r>
      <w:r>
        <w:rPr>
          <w:rFonts w:ascii="Times New Roman" w:hAnsi="Times New Roman" w:eastAsia="Times New Roman"/>
        </w:rPr>
        <w:t>100</w:t>
      </w:r>
      <w:r>
        <w:rPr>
          <w:rFonts w:ascii="Times New Roman" w:hAnsi="Times New Roman" w:eastAsia="Times New Roman"/>
          <w:spacing w:val="-4"/>
        </w:rPr>
        <w:t> </w:t>
      </w:r>
      <w:r>
        <w:rPr>
          <w:spacing w:val="-4"/>
        </w:rPr>
        <w:t>万元、</w:t>
      </w:r>
      <w:r>
        <w:rPr>
          <w:rFonts w:ascii="Times New Roman" w:hAnsi="Times New Roman" w:eastAsia="Times New Roman"/>
        </w:rPr>
        <w:t>200</w:t>
      </w:r>
      <w:r>
        <w:rPr>
          <w:rFonts w:ascii="Times New Roman" w:hAnsi="Times New Roman" w:eastAsia="Times New Roman"/>
          <w:spacing w:val="-2"/>
        </w:rPr>
        <w:t> </w:t>
      </w:r>
      <w:r>
        <w:rPr>
          <w:spacing w:val="-5"/>
        </w:rPr>
        <w:t>万元。为实现我市企业境外上市新突破，率</w:t>
      </w:r>
      <w:r>
        <w:rPr>
          <w:spacing w:val="6"/>
          <w:w w:val="95"/>
        </w:rPr>
        <w:t>先在境外证券交易所首发上市的前两名企业，在上述奖励基础 </w:t>
      </w:r>
      <w:r>
        <w:rPr>
          <w:spacing w:val="-13"/>
        </w:rPr>
        <w:t>上，第一名增加奖励 </w:t>
      </w:r>
      <w:r>
        <w:rPr>
          <w:rFonts w:ascii="Times New Roman" w:hAnsi="Times New Roman" w:eastAsia="Times New Roman"/>
        </w:rPr>
        <w:t>200</w:t>
      </w:r>
      <w:r>
        <w:rPr>
          <w:rFonts w:ascii="Times New Roman" w:hAnsi="Times New Roman" w:eastAsia="Times New Roman"/>
          <w:spacing w:val="-2"/>
        </w:rPr>
        <w:t> </w:t>
      </w:r>
      <w:r>
        <w:rPr>
          <w:spacing w:val="-15"/>
        </w:rPr>
        <w:t>万元，其中：市财政奖励 </w:t>
      </w:r>
      <w:r>
        <w:rPr>
          <w:rFonts w:ascii="Times New Roman" w:hAnsi="Times New Roman" w:eastAsia="Times New Roman"/>
        </w:rPr>
        <w:t>100</w:t>
      </w:r>
      <w:r>
        <w:rPr>
          <w:rFonts w:ascii="Times New Roman" w:hAnsi="Times New Roman" w:eastAsia="Times New Roman"/>
          <w:spacing w:val="-4"/>
        </w:rPr>
        <w:t> </w:t>
      </w:r>
      <w:r>
        <w:rPr>
          <w:spacing w:val="-8"/>
        </w:rPr>
        <w:t>万元、受</w:t>
      </w:r>
    </w:p>
    <w:p>
      <w:pPr>
        <w:pStyle w:val="BodyText"/>
        <w:spacing w:before="9"/>
        <w:ind w:left="111"/>
        <w:jc w:val="both"/>
      </w:pPr>
      <w:r>
        <w:rPr>
          <w:spacing w:val="-14"/>
        </w:rPr>
        <w:t>益财政奖励 </w:t>
      </w:r>
      <w:r>
        <w:rPr>
          <w:rFonts w:ascii="Times New Roman" w:eastAsia="Times New Roman"/>
        </w:rPr>
        <w:t>100</w:t>
      </w:r>
      <w:r>
        <w:rPr>
          <w:rFonts w:ascii="Times New Roman" w:eastAsia="Times New Roman"/>
          <w:spacing w:val="-4"/>
        </w:rPr>
        <w:t> </w:t>
      </w:r>
      <w:r>
        <w:rPr>
          <w:spacing w:val="-13"/>
        </w:rPr>
        <w:t>万元；第二名增加奖励 </w:t>
      </w:r>
      <w:r>
        <w:rPr>
          <w:rFonts w:ascii="Times New Roman" w:eastAsia="Times New Roman"/>
        </w:rPr>
        <w:t>100</w:t>
      </w:r>
      <w:r>
        <w:rPr>
          <w:rFonts w:ascii="Times New Roman" w:eastAsia="Times New Roman"/>
          <w:spacing w:val="-4"/>
        </w:rPr>
        <w:t> </w:t>
      </w:r>
      <w:r>
        <w:rPr>
          <w:spacing w:val="-10"/>
        </w:rPr>
        <w:t>万元，其中：市财政</w:t>
      </w:r>
    </w:p>
    <w:p>
      <w:pPr>
        <w:pStyle w:val="BodyText"/>
        <w:spacing w:before="190"/>
        <w:ind w:left="111"/>
        <w:jc w:val="both"/>
      </w:pPr>
      <w:r>
        <w:rPr/>
        <w:t>奖励 </w:t>
      </w:r>
      <w:r>
        <w:rPr>
          <w:rFonts w:ascii="Times New Roman" w:eastAsia="Times New Roman"/>
        </w:rPr>
        <w:t>50 </w:t>
      </w:r>
      <w:r>
        <w:rPr/>
        <w:t>万元、受益财政奖励 </w:t>
      </w:r>
      <w:r>
        <w:rPr>
          <w:rFonts w:ascii="Times New Roman" w:eastAsia="Times New Roman"/>
        </w:rPr>
        <w:t>50 </w:t>
      </w:r>
      <w:r>
        <w:rPr/>
        <w:t>万元。</w:t>
      </w:r>
    </w:p>
    <w:p>
      <w:pPr>
        <w:pStyle w:val="BodyText"/>
        <w:spacing w:before="190"/>
        <w:ind w:left="752"/>
        <w:jc w:val="both"/>
      </w:pPr>
      <w:r>
        <w:rPr>
          <w:rFonts w:ascii="宋体" w:hAnsi="宋体" w:eastAsia="宋体" w:hint="eastAsia"/>
        </w:rPr>
        <w:t>④</w:t>
      </w:r>
      <w:r>
        <w:rPr/>
        <w:t>新三板挂牌奖励。企业实现新三板挂牌，给予奖励 </w:t>
      </w:r>
      <w:r>
        <w:rPr>
          <w:rFonts w:ascii="Times New Roman" w:hAnsi="Times New Roman" w:eastAsia="Times New Roman"/>
        </w:rPr>
        <w:t>150 </w:t>
      </w:r>
      <w:r>
        <w:rPr/>
        <w:t>万</w:t>
      </w:r>
    </w:p>
    <w:p>
      <w:pPr>
        <w:pStyle w:val="BodyText"/>
        <w:spacing w:before="190"/>
        <w:ind w:left="111"/>
        <w:jc w:val="both"/>
      </w:pPr>
      <w:r>
        <w:rPr/>
        <w:t>元，其中：市财政奖励 </w:t>
      </w:r>
      <w:r>
        <w:rPr>
          <w:rFonts w:ascii="Times New Roman" w:eastAsia="Times New Roman"/>
        </w:rPr>
        <w:t>50 </w:t>
      </w:r>
      <w:r>
        <w:rPr/>
        <w:t>万元、受益财政奖励 </w:t>
      </w:r>
      <w:r>
        <w:rPr>
          <w:rFonts w:ascii="Times New Roman" w:eastAsia="Times New Roman"/>
        </w:rPr>
        <w:t>100 </w:t>
      </w:r>
      <w:r>
        <w:rPr/>
        <w:t>万元。</w:t>
      </w:r>
    </w:p>
    <w:p>
      <w:pPr>
        <w:pStyle w:val="BodyText"/>
        <w:spacing w:line="350" w:lineRule="auto" w:before="190"/>
        <w:ind w:left="111" w:right="269" w:firstLine="640"/>
        <w:jc w:val="both"/>
      </w:pPr>
      <w:r>
        <w:rPr>
          <w:rFonts w:ascii="宋体" w:hAnsi="宋体" w:eastAsia="宋体" w:hint="eastAsia"/>
        </w:rPr>
        <w:t>⑤</w:t>
      </w:r>
      <w:r>
        <w:rPr>
          <w:spacing w:val="-9"/>
        </w:rPr>
        <w:t>区域股权市场挂牌奖励或展示补助。完成股份制改造并在</w:t>
      </w:r>
      <w:r>
        <w:rPr>
          <w:spacing w:val="-3"/>
        </w:rPr>
        <w:t>江西联合股权交易中心挂牌企业，给予奖励 </w:t>
      </w:r>
      <w:r>
        <w:rPr>
          <w:rFonts w:ascii="Times New Roman" w:hAnsi="Times New Roman" w:eastAsia="Times New Roman"/>
        </w:rPr>
        <w:t>50 </w:t>
      </w:r>
      <w:r>
        <w:rPr>
          <w:spacing w:val="-2"/>
        </w:rPr>
        <w:t>万元，其中：市</w:t>
      </w:r>
    </w:p>
    <w:p>
      <w:pPr>
        <w:pStyle w:val="BodyText"/>
        <w:spacing w:line="350" w:lineRule="auto" w:before="4"/>
        <w:ind w:left="111" w:right="268"/>
        <w:jc w:val="both"/>
      </w:pPr>
      <w:r>
        <w:rPr>
          <w:spacing w:val="-17"/>
        </w:rPr>
        <w:t>财政奖励 </w:t>
      </w:r>
      <w:r>
        <w:rPr>
          <w:rFonts w:ascii="Times New Roman" w:eastAsia="Times New Roman"/>
        </w:rPr>
        <w:t>10 </w:t>
      </w:r>
      <w:r>
        <w:rPr>
          <w:spacing w:val="-16"/>
        </w:rPr>
        <w:t>万元、受益财政奖励 </w:t>
      </w:r>
      <w:r>
        <w:rPr>
          <w:rFonts w:ascii="Times New Roman" w:eastAsia="Times New Roman"/>
        </w:rPr>
        <w:t>40 </w:t>
      </w:r>
      <w:r>
        <w:rPr>
          <w:spacing w:val="-9"/>
        </w:rPr>
        <w:t>万元。企业在江西联合股权</w:t>
      </w:r>
      <w:r>
        <w:rPr>
          <w:spacing w:val="6"/>
          <w:w w:val="95"/>
        </w:rPr>
        <w:t>交易中心孵化展示并取得江西联合股权交易中心资本市场培训 </w:t>
      </w:r>
      <w:r>
        <w:rPr>
          <w:spacing w:val="-1"/>
        </w:rPr>
        <w:t>结业证书的由受益财政补助 </w:t>
      </w:r>
      <w:r>
        <w:rPr>
          <w:rFonts w:ascii="Times New Roman" w:eastAsia="Times New Roman"/>
        </w:rPr>
        <w:t>2 </w:t>
      </w:r>
      <w:r>
        <w:rPr/>
        <w:t>万元。</w:t>
      </w:r>
    </w:p>
    <w:p>
      <w:pPr>
        <w:pStyle w:val="BodyText"/>
        <w:spacing w:before="4"/>
        <w:ind w:left="752"/>
      </w:pPr>
      <w:r>
        <w:rPr>
          <w:rFonts w:ascii="宋体" w:hAnsi="宋体" w:eastAsia="宋体" w:hint="eastAsia"/>
        </w:rPr>
        <w:t>⑥</w:t>
      </w:r>
      <w:r>
        <w:rPr/>
        <w:t>企业上市挂牌有功人员奖励。企业实现上市挂牌、并购或</w:t>
      </w:r>
    </w:p>
    <w:p>
      <w:pPr>
        <w:spacing w:after="0"/>
        <w:sectPr>
          <w:pgSz w:w="11910" w:h="16840"/>
          <w:pgMar w:header="0" w:footer="1539" w:top="1580" w:bottom="1720" w:left="1420" w:right="1260"/>
        </w:sectPr>
      </w:pPr>
    </w:p>
    <w:p>
      <w:pPr>
        <w:pStyle w:val="BodyText"/>
        <w:rPr>
          <w:sz w:val="20"/>
        </w:rPr>
      </w:pPr>
    </w:p>
    <w:p>
      <w:pPr>
        <w:pStyle w:val="BodyText"/>
        <w:spacing w:before="8"/>
        <w:rPr>
          <w:sz w:val="17"/>
        </w:rPr>
      </w:pPr>
    </w:p>
    <w:p>
      <w:pPr>
        <w:pStyle w:val="BodyText"/>
        <w:spacing w:before="64"/>
        <w:ind w:left="111"/>
        <w:rPr>
          <w:rFonts w:ascii="Times New Roman" w:eastAsia="Times New Roman"/>
        </w:rPr>
      </w:pPr>
      <w:r>
        <w:rPr/>
        <w:t>借壳上市后，可在政策范围内将上述所获奖励资金不超过 </w:t>
      </w:r>
      <w:r>
        <w:rPr>
          <w:rFonts w:ascii="Times New Roman" w:eastAsia="Times New Roman"/>
        </w:rPr>
        <w:t>20%</w:t>
      </w:r>
    </w:p>
    <w:p>
      <w:pPr>
        <w:pStyle w:val="BodyText"/>
        <w:spacing w:before="190"/>
        <w:ind w:left="111"/>
      </w:pPr>
      <w:r>
        <w:rPr/>
        <w:t>的部分，用于奖励企业上市挂牌工作有功人员。</w:t>
      </w:r>
    </w:p>
    <w:p>
      <w:pPr>
        <w:pStyle w:val="BodyText"/>
        <w:spacing w:line="350" w:lineRule="auto" w:before="190"/>
        <w:ind w:left="111" w:right="157" w:firstLine="640"/>
        <w:rPr>
          <w:rFonts w:ascii="楷体" w:eastAsia="楷体" w:hint="eastAsia"/>
        </w:rPr>
      </w:pPr>
      <w:r>
        <w:rPr/>
        <w:t>以上市级奖励资金（含省财政奖励市政府资金）</w:t>
      </w:r>
      <w:r>
        <w:rPr>
          <w:spacing w:val="-3"/>
        </w:rPr>
        <w:t>管理办法， </w:t>
      </w:r>
      <w:r>
        <w:rPr/>
        <w:t>由市政府金融办会同市财政局另行制定。</w:t>
      </w:r>
      <w:r>
        <w:rPr>
          <w:rFonts w:ascii="楷体" w:eastAsia="楷体" w:hint="eastAsia"/>
          <w:spacing w:val="1"/>
        </w:rPr>
        <w:t>[各县</w:t>
      </w:r>
      <w:r>
        <w:rPr>
          <w:rFonts w:ascii="楷体" w:eastAsia="楷体" w:hint="eastAsia"/>
        </w:rPr>
        <w:t>（市、区）人民</w:t>
      </w:r>
      <w:r>
        <w:rPr>
          <w:rFonts w:ascii="楷体" w:eastAsia="楷体" w:hint="eastAsia"/>
          <w:spacing w:val="-11"/>
        </w:rPr>
        <w:t>政府、市高新区、市陶瓷工业园区、市财政局、市政府金融办按照职责分工负责]</w:t>
      </w:r>
    </w:p>
    <w:p>
      <w:pPr>
        <w:pStyle w:val="BodyText"/>
        <w:spacing w:before="7"/>
        <w:ind w:left="752"/>
        <w:rPr>
          <w:rFonts w:ascii="黑体" w:eastAsia="黑体" w:hint="eastAsia"/>
        </w:rPr>
      </w:pPr>
      <w:r>
        <w:rPr>
          <w:rFonts w:ascii="黑体" w:eastAsia="黑体" w:hint="eastAsia"/>
        </w:rPr>
        <w:t>三、保障措施</w:t>
      </w:r>
    </w:p>
    <w:p>
      <w:pPr>
        <w:pStyle w:val="ListParagraph"/>
        <w:numPr>
          <w:ilvl w:val="0"/>
          <w:numId w:val="2"/>
        </w:numPr>
        <w:tabs>
          <w:tab w:pos="1240" w:val="left" w:leader="none"/>
        </w:tabs>
        <w:spacing w:line="350" w:lineRule="auto" w:before="190" w:after="0"/>
        <w:ind w:left="111" w:right="111" w:firstLine="640"/>
        <w:jc w:val="left"/>
        <w:rPr>
          <w:rFonts w:ascii="楷体" w:hAnsi="楷体" w:eastAsia="楷体" w:hint="eastAsia"/>
          <w:sz w:val="32"/>
        </w:rPr>
      </w:pPr>
      <w:r>
        <w:rPr>
          <w:sz w:val="32"/>
        </w:rPr>
        <w:t>加强组织领导。建立景德镇市企业上市</w:t>
      </w:r>
      <w:r>
        <w:rPr>
          <w:rFonts w:ascii="Times New Roman" w:hAnsi="Times New Roman" w:eastAsia="Times New Roman"/>
          <w:spacing w:val="4"/>
          <w:sz w:val="32"/>
        </w:rPr>
        <w:t>“</w:t>
      </w:r>
      <w:r>
        <w:rPr>
          <w:spacing w:val="2"/>
          <w:sz w:val="32"/>
        </w:rPr>
        <w:t>映山红行动</w:t>
      </w:r>
      <w:r>
        <w:rPr>
          <w:rFonts w:ascii="Times New Roman" w:hAnsi="Times New Roman" w:eastAsia="Times New Roman"/>
          <w:sz w:val="32"/>
        </w:rPr>
        <w:t>”</w:t>
      </w:r>
      <w:r>
        <w:rPr>
          <w:sz w:val="32"/>
        </w:rPr>
        <w:t>工</w:t>
      </w:r>
      <w:r>
        <w:rPr>
          <w:spacing w:val="-19"/>
          <w:sz w:val="32"/>
        </w:rPr>
        <w:t>作领导小组，市政府分管领导任组长，市直有关部门为成员单位， </w:t>
      </w:r>
      <w:r>
        <w:rPr>
          <w:spacing w:val="-7"/>
          <w:sz w:val="32"/>
        </w:rPr>
        <w:t>领导小组负责全市企业上市工作的指导、规划、协调、考核等工</w:t>
      </w:r>
      <w:r>
        <w:rPr>
          <w:spacing w:val="-10"/>
          <w:sz w:val="32"/>
        </w:rPr>
        <w:t>作，对重点拟上市企业，上市</w:t>
      </w:r>
      <w:r>
        <w:rPr>
          <w:sz w:val="32"/>
        </w:rPr>
        <w:t>（挂牌</w:t>
      </w:r>
      <w:r>
        <w:rPr>
          <w:spacing w:val="-29"/>
          <w:sz w:val="32"/>
        </w:rPr>
        <w:t>）</w:t>
      </w:r>
      <w:r>
        <w:rPr>
          <w:sz w:val="32"/>
        </w:rPr>
        <w:t>过程中涉及的重大事项进</w:t>
      </w:r>
      <w:r>
        <w:rPr>
          <w:spacing w:val="2"/>
          <w:w w:val="99"/>
          <w:sz w:val="32"/>
        </w:rPr>
        <w:t>行协调。领导小组下设办公室（</w:t>
      </w:r>
      <w:r>
        <w:rPr>
          <w:spacing w:val="5"/>
          <w:w w:val="99"/>
          <w:sz w:val="32"/>
        </w:rPr>
        <w:t>简称</w:t>
      </w:r>
      <w:r>
        <w:rPr>
          <w:rFonts w:ascii="Times New Roman" w:hAnsi="Times New Roman" w:eastAsia="Times New Roman"/>
          <w:spacing w:val="4"/>
          <w:w w:val="99"/>
          <w:sz w:val="32"/>
        </w:rPr>
        <w:t>“</w:t>
      </w:r>
      <w:r>
        <w:rPr>
          <w:spacing w:val="3"/>
          <w:w w:val="99"/>
          <w:sz w:val="32"/>
        </w:rPr>
        <w:t>上市办</w:t>
      </w:r>
      <w:r>
        <w:rPr>
          <w:rFonts w:ascii="Times New Roman" w:hAnsi="Times New Roman" w:eastAsia="Times New Roman"/>
          <w:spacing w:val="-1"/>
          <w:w w:val="99"/>
          <w:sz w:val="32"/>
        </w:rPr>
        <w:t>”</w:t>
      </w:r>
      <w:r>
        <w:rPr>
          <w:spacing w:val="-154"/>
          <w:w w:val="99"/>
          <w:sz w:val="32"/>
        </w:rPr>
        <w:t>）</w:t>
      </w:r>
      <w:r>
        <w:rPr>
          <w:spacing w:val="1"/>
          <w:w w:val="99"/>
          <w:sz w:val="32"/>
        </w:rPr>
        <w:t>，设在市政府金</w:t>
      </w:r>
      <w:r>
        <w:rPr>
          <w:sz w:val="32"/>
        </w:rPr>
        <w:t>融办，具体负责落实、协调和组织上市工作。各县（市、区</w:t>
      </w:r>
      <w:r>
        <w:rPr>
          <w:spacing w:val="-156"/>
          <w:sz w:val="32"/>
        </w:rPr>
        <w:t>）</w:t>
      </w:r>
      <w:r>
        <w:rPr>
          <w:sz w:val="32"/>
        </w:rPr>
        <w:t>、工业园区要根据各自实际，组建或完善相应的工作机构，规划、协调、组织本辖区内的企业上市工作。</w:t>
      </w:r>
      <w:r>
        <w:rPr>
          <w:rFonts w:ascii="楷体" w:hAnsi="楷体" w:eastAsia="楷体" w:hint="eastAsia"/>
          <w:sz w:val="32"/>
        </w:rPr>
        <w:t>[各县</w:t>
      </w:r>
      <w:r>
        <w:rPr>
          <w:rFonts w:ascii="楷体" w:hAnsi="楷体" w:eastAsia="楷体" w:hint="eastAsia"/>
          <w:spacing w:val="4"/>
          <w:sz w:val="32"/>
        </w:rPr>
        <w:t>（</w:t>
      </w:r>
      <w:r>
        <w:rPr>
          <w:rFonts w:ascii="楷体" w:hAnsi="楷体" w:eastAsia="楷体" w:hint="eastAsia"/>
          <w:sz w:val="32"/>
        </w:rPr>
        <w:t>市、区）人民政</w:t>
      </w:r>
      <w:r>
        <w:rPr>
          <w:rFonts w:ascii="楷体" w:hAnsi="楷体" w:eastAsia="楷体" w:hint="eastAsia"/>
          <w:spacing w:val="-12"/>
          <w:sz w:val="32"/>
        </w:rPr>
        <w:t>府、市高新区、市陶瓷工业园区、市政府金融办按照职责分工负责]</w:t>
      </w:r>
    </w:p>
    <w:p>
      <w:pPr>
        <w:pStyle w:val="ListParagraph"/>
        <w:numPr>
          <w:ilvl w:val="0"/>
          <w:numId w:val="2"/>
        </w:numPr>
        <w:tabs>
          <w:tab w:pos="1240" w:val="left" w:leader="none"/>
        </w:tabs>
        <w:spacing w:line="350" w:lineRule="auto" w:before="15" w:after="0"/>
        <w:ind w:left="111" w:right="106" w:firstLine="640"/>
        <w:jc w:val="both"/>
        <w:rPr>
          <w:sz w:val="32"/>
        </w:rPr>
      </w:pPr>
      <w:r>
        <w:rPr>
          <w:sz w:val="32"/>
        </w:rPr>
        <w:t>优化上市服务环境。建立企业上市</w:t>
      </w:r>
      <w:r>
        <w:rPr>
          <w:rFonts w:ascii="Times New Roman" w:hAnsi="Times New Roman" w:eastAsia="Times New Roman"/>
          <w:sz w:val="32"/>
        </w:rPr>
        <w:t>“</w:t>
      </w:r>
      <w:r>
        <w:rPr>
          <w:spacing w:val="2"/>
          <w:sz w:val="32"/>
        </w:rPr>
        <w:t>绿色通道</w:t>
      </w:r>
      <w:r>
        <w:rPr>
          <w:rFonts w:ascii="Times New Roman" w:hAnsi="Times New Roman" w:eastAsia="Times New Roman"/>
          <w:sz w:val="32"/>
        </w:rPr>
        <w:t>”</w:t>
      </w:r>
      <w:r>
        <w:rPr>
          <w:spacing w:val="1"/>
          <w:sz w:val="32"/>
        </w:rPr>
        <w:t>。企业因</w:t>
      </w:r>
      <w:r>
        <w:rPr>
          <w:spacing w:val="-11"/>
          <w:sz w:val="32"/>
        </w:rPr>
        <w:t>股份制改造、上市挂牌、并购重组、拟募投项目落地等需要办理</w:t>
      </w:r>
      <w:r>
        <w:rPr>
          <w:spacing w:val="-13"/>
          <w:sz w:val="32"/>
        </w:rPr>
        <w:t>审批、许可、登记事项或因证券交易部门规定需要出具相关证明</w:t>
      </w:r>
      <w:r>
        <w:rPr>
          <w:spacing w:val="-12"/>
          <w:sz w:val="32"/>
        </w:rPr>
        <w:t>的，各县</w:t>
      </w:r>
      <w:r>
        <w:rPr>
          <w:sz w:val="32"/>
        </w:rPr>
        <w:t>（</w:t>
      </w:r>
      <w:r>
        <w:rPr>
          <w:spacing w:val="-6"/>
          <w:sz w:val="32"/>
        </w:rPr>
        <w:t>市、区</w:t>
      </w:r>
      <w:r>
        <w:rPr>
          <w:spacing w:val="-159"/>
          <w:sz w:val="32"/>
        </w:rPr>
        <w:t>）</w:t>
      </w:r>
      <w:r>
        <w:rPr>
          <w:spacing w:val="-6"/>
          <w:sz w:val="32"/>
        </w:rPr>
        <w:t>、工业园区、市有关部门要开辟</w:t>
      </w:r>
      <w:r>
        <w:rPr>
          <w:rFonts w:ascii="Times New Roman" w:hAnsi="Times New Roman" w:eastAsia="Times New Roman"/>
          <w:sz w:val="32"/>
        </w:rPr>
        <w:t>“</w:t>
      </w:r>
      <w:r>
        <w:rPr>
          <w:sz w:val="32"/>
        </w:rPr>
        <w:t>绿色通道</w:t>
      </w:r>
      <w:r>
        <w:rPr>
          <w:rFonts w:ascii="Times New Roman" w:hAnsi="Times New Roman" w:eastAsia="Times New Roman"/>
          <w:spacing w:val="-7"/>
          <w:sz w:val="32"/>
        </w:rPr>
        <w:t>”</w:t>
      </w:r>
      <w:r>
        <w:rPr>
          <w:spacing w:val="-7"/>
          <w:sz w:val="32"/>
        </w:rPr>
        <w:t>，</w:t>
      </w:r>
    </w:p>
    <w:p>
      <w:pPr>
        <w:spacing w:after="0" w:line="350" w:lineRule="auto"/>
        <w:jc w:val="both"/>
        <w:rPr>
          <w:sz w:val="32"/>
        </w:rPr>
        <w:sectPr>
          <w:pgSz w:w="11910" w:h="16840"/>
          <w:pgMar w:header="0" w:footer="1539" w:top="1580" w:bottom="1720" w:left="1420" w:right="1260"/>
        </w:sectPr>
      </w:pPr>
    </w:p>
    <w:p>
      <w:pPr>
        <w:pStyle w:val="BodyText"/>
        <w:rPr>
          <w:sz w:val="20"/>
        </w:rPr>
      </w:pPr>
    </w:p>
    <w:p>
      <w:pPr>
        <w:pStyle w:val="BodyText"/>
        <w:spacing w:before="8"/>
        <w:rPr>
          <w:sz w:val="17"/>
        </w:rPr>
      </w:pPr>
    </w:p>
    <w:p>
      <w:pPr>
        <w:pStyle w:val="BodyText"/>
        <w:spacing w:line="350" w:lineRule="auto" w:before="64"/>
        <w:ind w:left="111" w:right="108"/>
        <w:rPr>
          <w:rFonts w:ascii="楷体" w:hAnsi="楷体" w:eastAsia="楷体" w:hint="eastAsia"/>
        </w:rPr>
      </w:pPr>
      <w:r>
        <w:rPr/>
        <w:t>采取</w:t>
      </w:r>
      <w:r>
        <w:rPr>
          <w:rFonts w:ascii="Times New Roman" w:hAnsi="Times New Roman" w:eastAsia="Times New Roman"/>
        </w:rPr>
        <w:t>“</w:t>
      </w:r>
      <w:r>
        <w:rPr/>
        <w:t>一企一策</w:t>
      </w:r>
      <w:r>
        <w:rPr>
          <w:rFonts w:ascii="Times New Roman" w:hAnsi="Times New Roman" w:eastAsia="Times New Roman"/>
          <w:spacing w:val="-3"/>
        </w:rPr>
        <w:t>”</w:t>
      </w:r>
      <w:r>
        <w:rPr>
          <w:spacing w:val="-14"/>
        </w:rPr>
        <w:t>、</w:t>
      </w:r>
      <w:r>
        <w:rPr>
          <w:rFonts w:ascii="Times New Roman" w:hAnsi="Times New Roman" w:eastAsia="Times New Roman"/>
        </w:rPr>
        <w:t>“</w:t>
      </w:r>
      <w:r>
        <w:rPr/>
        <w:t>一事一议</w:t>
      </w:r>
      <w:r>
        <w:rPr>
          <w:rFonts w:ascii="Times New Roman" w:hAnsi="Times New Roman" w:eastAsia="Times New Roman"/>
          <w:spacing w:val="-3"/>
        </w:rPr>
        <w:t>”</w:t>
      </w:r>
      <w:r>
        <w:rPr>
          <w:spacing w:val="-5"/>
        </w:rPr>
        <w:t>等方式，加快办理速度，提高办事</w:t>
      </w:r>
      <w:r>
        <w:rPr>
          <w:spacing w:val="-20"/>
        </w:rPr>
        <w:t>效率。对相关部门及具体经办人员实施容错免责机制。</w:t>
      </w:r>
      <w:r>
        <w:rPr>
          <w:rFonts w:ascii="楷体" w:hAnsi="楷体" w:eastAsia="楷体" w:hint="eastAsia"/>
          <w:spacing w:val="-48"/>
        </w:rPr>
        <w:t>[各县</w:t>
      </w:r>
      <w:r>
        <w:rPr>
          <w:rFonts w:ascii="楷体" w:hAnsi="楷体" w:eastAsia="楷体" w:hint="eastAsia"/>
        </w:rPr>
        <w:t>（</w:t>
      </w:r>
      <w:r>
        <w:rPr>
          <w:rFonts w:ascii="楷体" w:hAnsi="楷体" w:eastAsia="楷体" w:hint="eastAsia"/>
          <w:spacing w:val="-7"/>
        </w:rPr>
        <w:t>市、</w:t>
      </w:r>
      <w:r>
        <w:rPr>
          <w:rFonts w:ascii="楷体" w:hAnsi="楷体" w:eastAsia="楷体" w:hint="eastAsia"/>
        </w:rPr>
        <w:t>区</w:t>
      </w:r>
      <w:r>
        <w:rPr>
          <w:rFonts w:ascii="楷体" w:hAnsi="楷体" w:eastAsia="楷体" w:hint="eastAsia"/>
          <w:spacing w:val="-24"/>
        </w:rPr>
        <w:t>）</w:t>
      </w:r>
      <w:r>
        <w:rPr>
          <w:rFonts w:ascii="楷体" w:hAnsi="楷体" w:eastAsia="楷体" w:hint="eastAsia"/>
          <w:spacing w:val="-9"/>
        </w:rPr>
        <w:t>人民政府、市高新区、市陶瓷工业园区、市发改委、市工信</w:t>
      </w:r>
      <w:r>
        <w:rPr>
          <w:rFonts w:ascii="楷体" w:hAnsi="楷体" w:eastAsia="楷体" w:hint="eastAsia"/>
          <w:spacing w:val="-12"/>
        </w:rPr>
        <w:t>委、市国资委、市财政局、市人力资源社会保障局、市国土资源局、市环保局、市科技局、市房管局、市市场监管局、景德镇海关、市政府金融办按照职责分工负责]</w:t>
      </w:r>
    </w:p>
    <w:p>
      <w:pPr>
        <w:pStyle w:val="ListParagraph"/>
        <w:numPr>
          <w:ilvl w:val="0"/>
          <w:numId w:val="2"/>
        </w:numPr>
        <w:tabs>
          <w:tab w:pos="1234" w:val="left" w:leader="none"/>
        </w:tabs>
        <w:spacing w:line="350" w:lineRule="auto" w:before="9" w:after="0"/>
        <w:ind w:left="111" w:right="107" w:firstLine="640"/>
        <w:jc w:val="left"/>
        <w:rPr>
          <w:rFonts w:ascii="楷体" w:eastAsia="楷体" w:hint="eastAsia"/>
          <w:sz w:val="32"/>
        </w:rPr>
      </w:pPr>
      <w:r>
        <w:rPr>
          <w:spacing w:val="-3"/>
          <w:sz w:val="32"/>
        </w:rPr>
        <w:t>发挥股权投资基金带动作用。设立规模不少于 </w:t>
      </w:r>
      <w:r>
        <w:rPr>
          <w:rFonts w:ascii="Times New Roman" w:eastAsia="Times New Roman"/>
          <w:sz w:val="32"/>
        </w:rPr>
        <w:t>1</w:t>
      </w:r>
      <w:r>
        <w:rPr>
          <w:rFonts w:ascii="Times New Roman" w:eastAsia="Times New Roman"/>
          <w:spacing w:val="22"/>
          <w:sz w:val="32"/>
        </w:rPr>
        <w:t> </w:t>
      </w:r>
      <w:r>
        <w:rPr>
          <w:sz w:val="32"/>
        </w:rPr>
        <w:t>亿元的企业上市市级专项引导基金，通过市场化运作，采取直接投资、</w:t>
      </w:r>
      <w:r>
        <w:rPr>
          <w:spacing w:val="-7"/>
          <w:sz w:val="32"/>
        </w:rPr>
        <w:t>跟进投资及投贷联动等方式，重点投向上市后备资源库企业。支</w:t>
      </w:r>
      <w:r>
        <w:rPr>
          <w:spacing w:val="-13"/>
          <w:sz w:val="32"/>
        </w:rPr>
        <w:t>持社会资本设立股权投资基金，大力培育本土股权投资机构，积</w:t>
      </w:r>
      <w:r>
        <w:rPr>
          <w:spacing w:val="-17"/>
          <w:sz w:val="32"/>
        </w:rPr>
        <w:t>极引进境内外优质股权投资机构，鼓励其投向上市后备资源库企</w:t>
      </w:r>
      <w:r>
        <w:rPr>
          <w:spacing w:val="-10"/>
          <w:sz w:val="32"/>
        </w:rPr>
        <w:t>业，参与股份制改造，加快推动企业上市步伐。</w:t>
      </w:r>
      <w:r>
        <w:rPr>
          <w:rFonts w:ascii="楷体" w:eastAsia="楷体" w:hint="eastAsia"/>
          <w:spacing w:val="-8"/>
          <w:sz w:val="32"/>
        </w:rPr>
        <w:t>[各县</w:t>
      </w:r>
      <w:r>
        <w:rPr>
          <w:rFonts w:ascii="楷体" w:eastAsia="楷体" w:hint="eastAsia"/>
          <w:sz w:val="32"/>
        </w:rPr>
        <w:t>（</w:t>
      </w:r>
      <w:r>
        <w:rPr>
          <w:rFonts w:ascii="楷体" w:eastAsia="楷体" w:hint="eastAsia"/>
          <w:spacing w:val="-8"/>
          <w:sz w:val="32"/>
        </w:rPr>
        <w:t>市、区</w:t>
      </w:r>
      <w:r>
        <w:rPr>
          <w:rFonts w:ascii="楷体" w:eastAsia="楷体" w:hint="eastAsia"/>
          <w:spacing w:val="-13"/>
          <w:sz w:val="32"/>
        </w:rPr>
        <w:t>） </w:t>
      </w:r>
      <w:r>
        <w:rPr>
          <w:rFonts w:ascii="楷体" w:eastAsia="楷体" w:hint="eastAsia"/>
          <w:sz w:val="32"/>
        </w:rPr>
        <w:t>人民政府、市高新区、市陶瓷工业园区、市发改委、市财政局、市政府金融办按照职责分工负责]</w:t>
      </w:r>
    </w:p>
    <w:p>
      <w:pPr>
        <w:pStyle w:val="ListParagraph"/>
        <w:numPr>
          <w:ilvl w:val="0"/>
          <w:numId w:val="2"/>
        </w:numPr>
        <w:tabs>
          <w:tab w:pos="1238" w:val="left" w:leader="none"/>
        </w:tabs>
        <w:spacing w:line="350" w:lineRule="auto" w:before="12" w:after="0"/>
        <w:ind w:left="111" w:right="264" w:firstLine="640"/>
        <w:jc w:val="both"/>
        <w:rPr>
          <w:rFonts w:ascii="楷体" w:hAnsi="楷体" w:eastAsia="楷体" w:hint="eastAsia"/>
          <w:sz w:val="32"/>
        </w:rPr>
      </w:pPr>
      <w:r>
        <w:rPr>
          <w:sz w:val="32"/>
        </w:rPr>
        <w:t>发挥区域性股权市场培育作用。充分发挥江西联合股权</w:t>
      </w:r>
      <w:r>
        <w:rPr>
          <w:spacing w:val="-5"/>
          <w:sz w:val="32"/>
        </w:rPr>
        <w:t>交易中心扶持中小微企业政策措施综合运用平台优势，以推动企</w:t>
      </w:r>
      <w:r>
        <w:rPr>
          <w:spacing w:val="-13"/>
          <w:sz w:val="32"/>
        </w:rPr>
        <w:t>业股改规范、融资引智、上市并购为重点，通过该中心上市层板</w:t>
      </w:r>
      <w:r>
        <w:rPr>
          <w:spacing w:val="-20"/>
          <w:sz w:val="32"/>
        </w:rPr>
        <w:t>块、</w:t>
      </w:r>
      <w:r>
        <w:rPr>
          <w:rFonts w:ascii="Times New Roman" w:hAnsi="Times New Roman" w:eastAsia="Times New Roman"/>
          <w:sz w:val="32"/>
        </w:rPr>
        <w:t>“</w:t>
      </w:r>
      <w:r>
        <w:rPr>
          <w:sz w:val="32"/>
        </w:rPr>
        <w:t>新四板</w:t>
      </w:r>
      <w:r>
        <w:rPr>
          <w:rFonts w:ascii="Times New Roman" w:hAnsi="Times New Roman" w:eastAsia="Times New Roman"/>
          <w:spacing w:val="-3"/>
          <w:sz w:val="32"/>
        </w:rPr>
        <w:t>”</w:t>
      </w:r>
      <w:r>
        <w:rPr>
          <w:spacing w:val="-7"/>
          <w:sz w:val="32"/>
        </w:rPr>
        <w:t>基金、优化企业路演推荐等手段，为我市企业提供多元化、一条龙的企业上市（挂牌）</w:t>
      </w:r>
      <w:r>
        <w:rPr>
          <w:spacing w:val="-6"/>
          <w:sz w:val="32"/>
        </w:rPr>
        <w:t>和融资服务。</w:t>
      </w:r>
      <w:r>
        <w:rPr>
          <w:rFonts w:ascii="楷体" w:hAnsi="楷体" w:eastAsia="楷体" w:hint="eastAsia"/>
          <w:sz w:val="32"/>
        </w:rPr>
        <w:t>[各县（</w:t>
      </w:r>
      <w:r>
        <w:rPr>
          <w:rFonts w:ascii="楷体" w:hAnsi="楷体" w:eastAsia="楷体" w:hint="eastAsia"/>
          <w:spacing w:val="2"/>
          <w:sz w:val="32"/>
        </w:rPr>
        <w:t>市、区</w:t>
      </w:r>
      <w:r>
        <w:rPr>
          <w:rFonts w:ascii="楷体" w:hAnsi="楷体" w:eastAsia="楷体" w:hint="eastAsia"/>
          <w:spacing w:val="-29"/>
          <w:sz w:val="32"/>
        </w:rPr>
        <w:t>）</w:t>
      </w:r>
      <w:r>
        <w:rPr>
          <w:rFonts w:ascii="楷体" w:hAnsi="楷体" w:eastAsia="楷体" w:hint="eastAsia"/>
          <w:spacing w:val="-10"/>
          <w:sz w:val="32"/>
        </w:rPr>
        <w:t>人民政府、市高新区、市陶瓷工业园区、市政府金融办按照职责分工负责]</w:t>
      </w:r>
    </w:p>
    <w:p>
      <w:pPr>
        <w:spacing w:after="0" w:line="350" w:lineRule="auto"/>
        <w:jc w:val="both"/>
        <w:rPr>
          <w:rFonts w:ascii="楷体" w:hAnsi="楷体" w:eastAsia="楷体" w:hint="eastAsia"/>
          <w:sz w:val="32"/>
        </w:rPr>
        <w:sectPr>
          <w:pgSz w:w="11910" w:h="16840"/>
          <w:pgMar w:header="0" w:footer="1539" w:top="1580" w:bottom="1720" w:left="1420" w:right="1260"/>
        </w:sectPr>
      </w:pPr>
    </w:p>
    <w:p>
      <w:pPr>
        <w:pStyle w:val="BodyText"/>
        <w:rPr>
          <w:rFonts w:ascii="楷体"/>
          <w:sz w:val="20"/>
        </w:rPr>
      </w:pPr>
    </w:p>
    <w:p>
      <w:pPr>
        <w:pStyle w:val="BodyText"/>
        <w:spacing w:before="8"/>
        <w:rPr>
          <w:rFonts w:ascii="楷体"/>
          <w:sz w:val="17"/>
        </w:rPr>
      </w:pPr>
    </w:p>
    <w:p>
      <w:pPr>
        <w:pStyle w:val="ListParagraph"/>
        <w:numPr>
          <w:ilvl w:val="0"/>
          <w:numId w:val="2"/>
        </w:numPr>
        <w:tabs>
          <w:tab w:pos="1238" w:val="left" w:leader="none"/>
        </w:tabs>
        <w:spacing w:line="350" w:lineRule="auto" w:before="64" w:after="0"/>
        <w:ind w:left="111" w:right="157" w:firstLine="640"/>
        <w:jc w:val="left"/>
        <w:rPr>
          <w:rFonts w:ascii="楷体" w:eastAsia="楷体" w:hint="eastAsia"/>
          <w:sz w:val="32"/>
        </w:rPr>
      </w:pPr>
      <w:r>
        <w:rPr>
          <w:sz w:val="32"/>
        </w:rPr>
        <w:t>发挥证券中介机构推动作用。对推动我市企业上市挂牌</w:t>
      </w:r>
      <w:r>
        <w:rPr>
          <w:spacing w:val="-11"/>
          <w:sz w:val="32"/>
        </w:rPr>
        <w:t>工作力度大、成效显著、业绩突出的证券中介机构，市上市办要</w:t>
      </w:r>
      <w:r>
        <w:rPr>
          <w:spacing w:val="-14"/>
          <w:sz w:val="32"/>
        </w:rPr>
        <w:t>进行通报表扬，并优先向上市后备资源库企业推荐。建立资本市场发展顾问制度，每个县（市、区</w:t>
      </w:r>
      <w:r>
        <w:rPr>
          <w:spacing w:val="-159"/>
          <w:sz w:val="32"/>
        </w:rPr>
        <w:t>）</w:t>
      </w:r>
      <w:r>
        <w:rPr>
          <w:sz w:val="32"/>
        </w:rPr>
        <w:t>、工业园区自主选择一家证券机构或专业金融服务机构作为该县（市、区</w:t>
      </w:r>
      <w:r>
        <w:rPr>
          <w:spacing w:val="-156"/>
          <w:sz w:val="32"/>
        </w:rPr>
        <w:t>）</w:t>
      </w:r>
      <w:r>
        <w:rPr>
          <w:sz w:val="32"/>
        </w:rPr>
        <w:t>、工业园区资本市场发展顾问；支持证券机构派遣专业人员到县（市、区</w:t>
      </w:r>
      <w:r>
        <w:rPr>
          <w:spacing w:val="-159"/>
          <w:sz w:val="32"/>
        </w:rPr>
        <w:t>）</w:t>
      </w:r>
      <w:r>
        <w:rPr>
          <w:spacing w:val="2"/>
          <w:sz w:val="32"/>
        </w:rPr>
        <w:t>、工</w:t>
      </w:r>
      <w:r>
        <w:rPr>
          <w:spacing w:val="1"/>
          <w:sz w:val="32"/>
        </w:rPr>
        <w:t>业园区开展挂职交流、对口服务，加大企业上市挂牌指导力度。</w:t>
      </w:r>
      <w:r>
        <w:rPr>
          <w:rFonts w:ascii="楷体" w:eastAsia="楷体" w:hint="eastAsia"/>
          <w:sz w:val="32"/>
        </w:rPr>
        <w:t>[各县（</w:t>
      </w:r>
      <w:r>
        <w:rPr>
          <w:rFonts w:ascii="楷体" w:eastAsia="楷体" w:hint="eastAsia"/>
          <w:spacing w:val="1"/>
          <w:sz w:val="32"/>
        </w:rPr>
        <w:t>市、区</w:t>
      </w:r>
      <w:r>
        <w:rPr>
          <w:rFonts w:ascii="楷体" w:eastAsia="楷体" w:hint="eastAsia"/>
          <w:sz w:val="32"/>
        </w:rPr>
        <w:t>）人民政府、市高新区、市陶瓷工业园区、市政府金融办按照职责分工负责]</w:t>
      </w:r>
    </w:p>
    <w:p>
      <w:pPr>
        <w:pStyle w:val="ListParagraph"/>
        <w:numPr>
          <w:ilvl w:val="0"/>
          <w:numId w:val="2"/>
        </w:numPr>
        <w:tabs>
          <w:tab w:pos="1240" w:val="left" w:leader="none"/>
        </w:tabs>
        <w:spacing w:line="350" w:lineRule="auto" w:before="14" w:after="0"/>
        <w:ind w:left="111" w:right="108" w:firstLine="640"/>
        <w:jc w:val="left"/>
        <w:rPr>
          <w:rFonts w:ascii="楷体" w:hAnsi="楷体" w:eastAsia="楷体" w:hint="eastAsia"/>
          <w:sz w:val="32"/>
        </w:rPr>
      </w:pPr>
      <w:r>
        <w:rPr>
          <w:sz w:val="32"/>
        </w:rPr>
        <w:t>加强企业上市培训宣传。采取</w:t>
      </w:r>
      <w:r>
        <w:rPr>
          <w:rFonts w:ascii="Times New Roman" w:hAnsi="Times New Roman" w:eastAsia="Times New Roman"/>
          <w:sz w:val="32"/>
        </w:rPr>
        <w:t>“</w:t>
      </w:r>
      <w:r>
        <w:rPr>
          <w:spacing w:val="1"/>
          <w:sz w:val="32"/>
        </w:rPr>
        <w:t>走出去、请进来</w:t>
      </w:r>
      <w:r>
        <w:rPr>
          <w:rFonts w:ascii="Times New Roman" w:hAnsi="Times New Roman" w:eastAsia="Times New Roman"/>
          <w:sz w:val="32"/>
        </w:rPr>
        <w:t>”</w:t>
      </w:r>
      <w:r>
        <w:rPr>
          <w:spacing w:val="4"/>
          <w:sz w:val="32"/>
        </w:rPr>
        <w:t>相结合</w:t>
      </w:r>
      <w:r>
        <w:rPr>
          <w:sz w:val="32"/>
        </w:rPr>
        <w:t>的方式，市上市办要会同各县（市、区</w:t>
      </w:r>
      <w:r>
        <w:rPr>
          <w:spacing w:val="-159"/>
          <w:sz w:val="32"/>
        </w:rPr>
        <w:t>）</w:t>
      </w:r>
      <w:r>
        <w:rPr>
          <w:sz w:val="32"/>
        </w:rPr>
        <w:t>、工业园区、市有关部</w:t>
      </w:r>
      <w:r>
        <w:rPr>
          <w:spacing w:val="-12"/>
          <w:sz w:val="32"/>
        </w:rPr>
        <w:t>门，加强与沪深证券交易所、全国中小企业股份转让系统有限公</w:t>
      </w:r>
      <w:r>
        <w:rPr>
          <w:spacing w:val="-13"/>
          <w:sz w:val="32"/>
        </w:rPr>
        <w:t>司、江西省联合股权交易中心、知名中介机构，每季度开展不少</w:t>
      </w:r>
      <w:r>
        <w:rPr>
          <w:spacing w:val="-16"/>
          <w:sz w:val="32"/>
        </w:rPr>
        <w:t>于一次培训活动，提升企业管理人员、党政领导、职能部门负责</w:t>
      </w:r>
      <w:r>
        <w:rPr>
          <w:spacing w:val="-23"/>
          <w:sz w:val="32"/>
        </w:rPr>
        <w:t>人及经办人资本市场意识。加大宣传力度，广泛利用报纸、电视、</w:t>
      </w:r>
      <w:r>
        <w:rPr>
          <w:spacing w:val="-11"/>
          <w:sz w:val="32"/>
        </w:rPr>
        <w:t>论坛、讲座等媒介宣传和普及资本市场知识，提升企业对上市的</w:t>
      </w:r>
      <w:r>
        <w:rPr>
          <w:spacing w:val="-9"/>
          <w:sz w:val="32"/>
        </w:rPr>
        <w:t>认知度，激励引导更多企业上市</w:t>
      </w:r>
      <w:r>
        <w:rPr>
          <w:sz w:val="32"/>
        </w:rPr>
        <w:t>（挂牌</w:t>
      </w:r>
      <w:r>
        <w:rPr>
          <w:spacing w:val="-161"/>
          <w:sz w:val="32"/>
        </w:rPr>
        <w:t>）</w:t>
      </w:r>
      <w:r>
        <w:rPr>
          <w:spacing w:val="-15"/>
          <w:sz w:val="32"/>
        </w:rPr>
        <w:t>。</w:t>
      </w:r>
      <w:r>
        <w:rPr>
          <w:rFonts w:ascii="楷体" w:hAnsi="楷体" w:eastAsia="楷体" w:hint="eastAsia"/>
          <w:spacing w:val="-7"/>
          <w:sz w:val="32"/>
        </w:rPr>
        <w:t>[各县</w:t>
      </w:r>
      <w:r>
        <w:rPr>
          <w:rFonts w:ascii="楷体" w:hAnsi="楷体" w:eastAsia="楷体" w:hint="eastAsia"/>
          <w:sz w:val="32"/>
        </w:rPr>
        <w:t>（</w:t>
      </w:r>
      <w:r>
        <w:rPr>
          <w:rFonts w:ascii="楷体" w:hAnsi="楷体" w:eastAsia="楷体" w:hint="eastAsia"/>
          <w:spacing w:val="-7"/>
          <w:sz w:val="32"/>
        </w:rPr>
        <w:t>市、区</w:t>
      </w:r>
      <w:r>
        <w:rPr>
          <w:rFonts w:ascii="楷体" w:hAnsi="楷体" w:eastAsia="楷体" w:hint="eastAsia"/>
          <w:spacing w:val="-20"/>
          <w:sz w:val="32"/>
        </w:rPr>
        <w:t>）</w:t>
      </w:r>
      <w:r>
        <w:rPr>
          <w:rFonts w:ascii="楷体" w:hAnsi="楷体" w:eastAsia="楷体" w:hint="eastAsia"/>
          <w:sz w:val="32"/>
        </w:rPr>
        <w:t>人民</w:t>
      </w:r>
      <w:r>
        <w:rPr>
          <w:rFonts w:ascii="楷体" w:hAnsi="楷体" w:eastAsia="楷体" w:hint="eastAsia"/>
          <w:spacing w:val="-11"/>
          <w:sz w:val="32"/>
        </w:rPr>
        <w:t>政府、市高新区、市陶瓷工业园区、市政府金融办按照职责分工负责]</w:t>
      </w:r>
    </w:p>
    <w:p>
      <w:pPr>
        <w:pStyle w:val="ListParagraph"/>
        <w:numPr>
          <w:ilvl w:val="0"/>
          <w:numId w:val="2"/>
        </w:numPr>
        <w:tabs>
          <w:tab w:pos="1238" w:val="left" w:leader="none"/>
        </w:tabs>
        <w:spacing w:line="350" w:lineRule="auto" w:before="15" w:after="0"/>
        <w:ind w:left="111" w:right="264" w:firstLine="640"/>
        <w:jc w:val="left"/>
        <w:rPr>
          <w:sz w:val="32"/>
        </w:rPr>
      </w:pPr>
      <w:r>
        <w:rPr>
          <w:sz w:val="32"/>
        </w:rPr>
        <w:t>加强督查考核。将扶持、推进企业上市工作纳入市县高质量发展考核评价。各县（市、区</w:t>
      </w:r>
      <w:r>
        <w:rPr>
          <w:spacing w:val="-159"/>
          <w:sz w:val="32"/>
        </w:rPr>
        <w:t>）</w:t>
      </w:r>
      <w:r>
        <w:rPr>
          <w:sz w:val="32"/>
        </w:rPr>
        <w:t>、工业园区要将企业上市工</w:t>
      </w:r>
    </w:p>
    <w:p>
      <w:pPr>
        <w:spacing w:after="0" w:line="350" w:lineRule="auto"/>
        <w:jc w:val="left"/>
        <w:rPr>
          <w:sz w:val="32"/>
        </w:rPr>
        <w:sectPr>
          <w:pgSz w:w="11910" w:h="16840"/>
          <w:pgMar w:header="0" w:footer="1539" w:top="1580" w:bottom="1720" w:left="1420" w:right="1260"/>
        </w:sectPr>
      </w:pPr>
    </w:p>
    <w:p>
      <w:pPr>
        <w:pStyle w:val="BodyText"/>
        <w:rPr>
          <w:sz w:val="20"/>
        </w:rPr>
      </w:pPr>
    </w:p>
    <w:p>
      <w:pPr>
        <w:pStyle w:val="BodyText"/>
        <w:spacing w:before="5"/>
        <w:rPr>
          <w:sz w:val="18"/>
        </w:rPr>
      </w:pPr>
    </w:p>
    <w:p>
      <w:pPr>
        <w:pStyle w:val="BodyText"/>
        <w:spacing w:line="350" w:lineRule="auto" w:before="55"/>
        <w:ind w:left="111" w:right="265"/>
        <w:jc w:val="both"/>
        <w:rPr>
          <w:rFonts w:ascii="楷体" w:eastAsia="楷体" w:hint="eastAsia"/>
        </w:rPr>
      </w:pPr>
      <w:r>
        <w:rPr>
          <w:spacing w:val="-6"/>
        </w:rPr>
        <w:t>作纳入政府或管委会工作的重要议事日程，定期调度本辖区企业</w:t>
      </w:r>
      <w:r>
        <w:rPr>
          <w:spacing w:val="-13"/>
        </w:rPr>
        <w:t>上市工作推进情况。市上市办配合市六项考核督查办公室定期对各县（市、区</w:t>
      </w:r>
      <w:r>
        <w:rPr>
          <w:spacing w:val="-157"/>
        </w:rPr>
        <w:t>）</w:t>
      </w:r>
      <w:r>
        <w:rPr/>
        <w:t>、工业园区、市有关部门开展企业上市工作情况</w:t>
      </w:r>
      <w:r>
        <w:rPr>
          <w:spacing w:val="6"/>
          <w:w w:val="95"/>
        </w:rPr>
        <w:t>进行专项督查，并将督查结果报送至市政府主要领导和分管领 </w:t>
      </w:r>
      <w:r>
        <w:rPr>
          <w:spacing w:val="6"/>
        </w:rPr>
        <w:t>导，促进工作有效落实。</w:t>
      </w:r>
      <w:r>
        <w:rPr>
          <w:rFonts w:ascii="楷体" w:eastAsia="楷体" w:hint="eastAsia"/>
        </w:rPr>
        <w:t>[市六项考核办、市政府金融办按职责分工负责]</w:t>
      </w:r>
    </w:p>
    <w:p>
      <w:pPr>
        <w:pStyle w:val="BodyText"/>
        <w:spacing w:before="9"/>
        <w:ind w:left="752"/>
        <w:rPr>
          <w:rFonts w:ascii="黑体" w:eastAsia="黑体" w:hint="eastAsia"/>
        </w:rPr>
      </w:pPr>
      <w:r>
        <w:rPr>
          <w:rFonts w:ascii="黑体" w:eastAsia="黑体" w:hint="eastAsia"/>
        </w:rPr>
        <w:t>四、附则</w:t>
      </w:r>
    </w:p>
    <w:p>
      <w:pPr>
        <w:pStyle w:val="ListParagraph"/>
        <w:numPr>
          <w:ilvl w:val="0"/>
          <w:numId w:val="3"/>
        </w:numPr>
        <w:tabs>
          <w:tab w:pos="1238" w:val="left" w:leader="none"/>
        </w:tabs>
        <w:spacing w:line="350" w:lineRule="auto" w:before="190" w:after="0"/>
        <w:ind w:left="111" w:right="264" w:firstLine="640"/>
        <w:jc w:val="left"/>
        <w:rPr>
          <w:sz w:val="32"/>
        </w:rPr>
      </w:pPr>
      <w:r>
        <w:rPr>
          <w:sz w:val="32"/>
        </w:rPr>
        <w:t>本意见在实施期间，如遇国家、省资本市场政策发生重大变化，应及时进行修改调整。</w:t>
      </w:r>
    </w:p>
    <w:p>
      <w:pPr>
        <w:pStyle w:val="ListParagraph"/>
        <w:numPr>
          <w:ilvl w:val="0"/>
          <w:numId w:val="3"/>
        </w:numPr>
        <w:tabs>
          <w:tab w:pos="1238" w:val="left" w:leader="none"/>
        </w:tabs>
        <w:spacing w:line="350" w:lineRule="auto" w:before="2" w:after="0"/>
        <w:ind w:left="111" w:right="156" w:firstLine="640"/>
        <w:jc w:val="both"/>
        <w:rPr>
          <w:sz w:val="32"/>
        </w:rPr>
      </w:pPr>
      <w:r>
        <w:rPr>
          <w:sz w:val="32"/>
        </w:rPr>
        <w:t>关于纳入上市后备资源库企业资格认定。上市后备资源</w:t>
      </w:r>
      <w:r>
        <w:rPr>
          <w:spacing w:val="-7"/>
          <w:sz w:val="32"/>
        </w:rPr>
        <w:t>库企业分为重点层和培育层两个层次。纳入重点层企业须符合以</w:t>
      </w:r>
      <w:r>
        <w:rPr>
          <w:spacing w:val="-13"/>
          <w:sz w:val="32"/>
        </w:rPr>
        <w:t>下条件：</w:t>
      </w:r>
      <w:r>
        <w:rPr>
          <w:rFonts w:ascii="宋体" w:hAnsi="宋体" w:eastAsia="宋体" w:hint="eastAsia"/>
          <w:spacing w:val="-28"/>
          <w:sz w:val="32"/>
        </w:rPr>
        <w:t>①</w:t>
      </w:r>
      <w:r>
        <w:rPr>
          <w:spacing w:val="-10"/>
          <w:sz w:val="32"/>
        </w:rPr>
        <w:t>有上市意愿。</w:t>
      </w:r>
      <w:r>
        <w:rPr>
          <w:rFonts w:ascii="宋体" w:hAnsi="宋体" w:eastAsia="宋体" w:hint="eastAsia"/>
          <w:sz w:val="32"/>
        </w:rPr>
        <w:t>②</w:t>
      </w:r>
      <w:r>
        <w:rPr>
          <w:sz w:val="32"/>
        </w:rPr>
        <w:t>已改制为股份有限公司或基本建立法人治理结构的有限责任公司。</w:t>
      </w:r>
      <w:r>
        <w:rPr>
          <w:rFonts w:ascii="宋体" w:hAnsi="宋体" w:eastAsia="宋体" w:hint="eastAsia"/>
          <w:sz w:val="32"/>
        </w:rPr>
        <w:t>③</w:t>
      </w:r>
      <w:r>
        <w:rPr>
          <w:spacing w:val="-2"/>
          <w:sz w:val="32"/>
        </w:rPr>
        <w:t>内控制度较为完善，运作规范。</w:t>
      </w:r>
    </w:p>
    <w:p>
      <w:pPr>
        <w:pStyle w:val="BodyText"/>
        <w:spacing w:before="6"/>
        <w:ind w:left="111"/>
      </w:pPr>
      <w:r>
        <w:rPr>
          <w:rFonts w:ascii="宋体" w:hAnsi="宋体" w:eastAsia="宋体" w:hint="eastAsia"/>
        </w:rPr>
        <w:t>④</w:t>
      </w:r>
      <w:r>
        <w:rPr/>
        <w:t>生产经营合法合规、主营业务突出、符合国家产业发展政策。</w:t>
      </w:r>
    </w:p>
    <w:p>
      <w:pPr>
        <w:pStyle w:val="BodyText"/>
        <w:spacing w:line="350" w:lineRule="auto" w:before="190"/>
        <w:ind w:left="111" w:right="268"/>
        <w:jc w:val="both"/>
      </w:pPr>
      <w:r>
        <w:rPr>
          <w:rFonts w:ascii="宋体" w:hAnsi="宋体" w:eastAsia="宋体" w:hint="eastAsia"/>
        </w:rPr>
        <w:t>⑤</w:t>
      </w:r>
      <w:r>
        <w:rPr>
          <w:spacing w:val="-9"/>
        </w:rPr>
        <w:t>企业及其控股股东或实际控制人，最近两年内不存在重大违法</w:t>
      </w:r>
      <w:r>
        <w:rPr>
          <w:spacing w:val="-2"/>
        </w:rPr>
        <w:t>违规行为。</w:t>
      </w:r>
      <w:r>
        <w:rPr>
          <w:rFonts w:ascii="宋体" w:hAnsi="宋体" w:eastAsia="宋体" w:hint="eastAsia"/>
        </w:rPr>
        <w:t>⑥</w:t>
      </w:r>
      <w:r>
        <w:rPr>
          <w:spacing w:val="-1"/>
        </w:rPr>
        <w:t>财务指标满足下列之一：</w:t>
      </w:r>
      <w:r>
        <w:rPr>
          <w:rFonts w:ascii="Times New Roman" w:hAnsi="Times New Roman" w:eastAsia="Times New Roman"/>
          <w:spacing w:val="-4"/>
        </w:rPr>
        <w:t>A</w:t>
      </w:r>
      <w:r>
        <w:rPr>
          <w:spacing w:val="-4"/>
        </w:rPr>
        <w:t>、最近两年连续盈利且</w:t>
      </w:r>
      <w:r>
        <w:rPr>
          <w:spacing w:val="-8"/>
        </w:rPr>
        <w:t>近两年净利润累计不低于 </w:t>
      </w:r>
      <w:r>
        <w:rPr>
          <w:rFonts w:ascii="Times New Roman" w:hAnsi="Times New Roman" w:eastAsia="Times New Roman"/>
        </w:rPr>
        <w:t>800</w:t>
      </w:r>
      <w:r>
        <w:rPr>
          <w:rFonts w:ascii="Times New Roman" w:hAnsi="Times New Roman" w:eastAsia="Times New Roman"/>
          <w:spacing w:val="-6"/>
        </w:rPr>
        <w:t> </w:t>
      </w:r>
      <w:r>
        <w:rPr/>
        <w:t>万元。</w:t>
      </w:r>
      <w:r>
        <w:rPr>
          <w:rFonts w:ascii="Times New Roman" w:hAnsi="Times New Roman" w:eastAsia="Times New Roman"/>
        </w:rPr>
        <w:t>B</w:t>
      </w:r>
      <w:r>
        <w:rPr>
          <w:spacing w:val="-3"/>
        </w:rPr>
        <w:t>、最近一年净利润不少于</w:t>
      </w:r>
    </w:p>
    <w:p>
      <w:pPr>
        <w:pStyle w:val="BodyText"/>
        <w:spacing w:line="350" w:lineRule="auto" w:before="5"/>
        <w:ind w:left="111" w:right="267"/>
        <w:jc w:val="both"/>
      </w:pPr>
      <w:r>
        <w:rPr>
          <w:rFonts w:ascii="Times New Roman" w:hAnsi="Times New Roman" w:eastAsia="Times New Roman"/>
        </w:rPr>
        <w:t>500</w:t>
      </w:r>
      <w:r>
        <w:rPr>
          <w:rFonts w:ascii="Times New Roman" w:hAnsi="Times New Roman" w:eastAsia="Times New Roman"/>
          <w:spacing w:val="-1"/>
        </w:rPr>
        <w:t> </w:t>
      </w:r>
      <w:r>
        <w:rPr>
          <w:spacing w:val="-7"/>
        </w:rPr>
        <w:t>万元或主营业务收入不少于 </w:t>
      </w:r>
      <w:r>
        <w:rPr>
          <w:rFonts w:ascii="Times New Roman" w:hAnsi="Times New Roman" w:eastAsia="Times New Roman"/>
        </w:rPr>
        <w:t>5000</w:t>
      </w:r>
      <w:r>
        <w:rPr>
          <w:rFonts w:ascii="Times New Roman" w:hAnsi="Times New Roman" w:eastAsia="Times New Roman"/>
          <w:spacing w:val="-2"/>
        </w:rPr>
        <w:t> </w:t>
      </w:r>
      <w:r>
        <w:rPr>
          <w:spacing w:val="-15"/>
        </w:rPr>
        <w:t>万元。</w:t>
      </w:r>
      <w:r>
        <w:rPr>
          <w:rFonts w:ascii="Times New Roman" w:hAnsi="Times New Roman" w:eastAsia="Times New Roman"/>
        </w:rPr>
        <w:t>C</w:t>
      </w:r>
      <w:r>
        <w:rPr>
          <w:spacing w:val="-9"/>
        </w:rPr>
        <w:t>、最近两年营业收</w:t>
      </w:r>
      <w:r>
        <w:rPr/>
        <w:t>入连续增长，且年均营业收入不低于三千万元。对</w:t>
      </w:r>
      <w:r>
        <w:rPr>
          <w:rFonts w:ascii="Times New Roman" w:hAnsi="Times New Roman" w:eastAsia="Times New Roman"/>
        </w:rPr>
        <w:t>“3+1”</w:t>
      </w:r>
      <w:r>
        <w:rPr/>
        <w:t>主导产</w:t>
      </w:r>
      <w:r>
        <w:rPr>
          <w:spacing w:val="-12"/>
        </w:rPr>
        <w:t>业、传统优势产业、战略性新兴产业、互联网文化创意等行业的</w:t>
      </w:r>
      <w:r>
        <w:rPr>
          <w:spacing w:val="-13"/>
          <w:w w:val="95"/>
        </w:rPr>
        <w:t>企业，暂不满足上述条件的可适当放宽要求。纳入培育层企业须</w:t>
      </w:r>
    </w:p>
    <w:p>
      <w:pPr>
        <w:spacing w:after="0" w:line="350" w:lineRule="auto"/>
        <w:jc w:val="both"/>
        <w:sectPr>
          <w:pgSz w:w="11910" w:h="16840"/>
          <w:pgMar w:header="0" w:footer="1539" w:top="1580" w:bottom="1720" w:left="1420" w:right="1260"/>
        </w:sectPr>
      </w:pPr>
    </w:p>
    <w:p>
      <w:pPr>
        <w:pStyle w:val="BodyText"/>
        <w:rPr>
          <w:sz w:val="20"/>
        </w:rPr>
      </w:pPr>
    </w:p>
    <w:p>
      <w:pPr>
        <w:pStyle w:val="BodyText"/>
        <w:spacing w:before="5"/>
        <w:rPr>
          <w:sz w:val="18"/>
        </w:rPr>
      </w:pPr>
    </w:p>
    <w:p>
      <w:pPr>
        <w:pStyle w:val="BodyText"/>
        <w:spacing w:before="55"/>
        <w:ind w:left="111"/>
      </w:pPr>
      <w:r>
        <w:rPr>
          <w:spacing w:val="-7"/>
        </w:rPr>
        <w:t>符合以下条件：</w:t>
      </w:r>
      <w:r>
        <w:rPr>
          <w:rFonts w:ascii="宋体" w:hAnsi="宋体" w:eastAsia="宋体" w:hint="eastAsia"/>
          <w:spacing w:val="-44"/>
        </w:rPr>
        <w:t>①</w:t>
      </w:r>
      <w:r>
        <w:rPr>
          <w:spacing w:val="-16"/>
        </w:rPr>
        <w:t>有上市意愿。</w:t>
      </w:r>
      <w:r>
        <w:rPr>
          <w:rFonts w:ascii="宋体" w:hAnsi="宋体" w:eastAsia="宋体" w:hint="eastAsia"/>
        </w:rPr>
        <w:t>②</w:t>
      </w:r>
      <w:r>
        <w:rPr>
          <w:spacing w:val="-10"/>
        </w:rPr>
        <w:t>内控制度较为完善，运作规范。</w:t>
      </w:r>
    </w:p>
    <w:p>
      <w:pPr>
        <w:pStyle w:val="BodyText"/>
        <w:spacing w:before="190"/>
        <w:ind w:left="111"/>
      </w:pPr>
      <w:r>
        <w:rPr>
          <w:rFonts w:ascii="宋体" w:hAnsi="宋体" w:eastAsia="宋体" w:hint="eastAsia"/>
        </w:rPr>
        <w:t>③</w:t>
      </w:r>
      <w:r>
        <w:rPr/>
        <w:t>生产经营合法合规、主营业务突出、符合国家产业发展政策。</w:t>
      </w:r>
    </w:p>
    <w:p>
      <w:pPr>
        <w:pStyle w:val="BodyText"/>
        <w:spacing w:line="350" w:lineRule="auto" w:before="190"/>
        <w:ind w:left="111" w:right="267"/>
        <w:jc w:val="both"/>
      </w:pPr>
      <w:r>
        <w:rPr>
          <w:rFonts w:ascii="宋体" w:hAnsi="宋体" w:eastAsia="宋体" w:hint="eastAsia"/>
        </w:rPr>
        <w:t>④</w:t>
      </w:r>
      <w:r>
        <w:rPr>
          <w:spacing w:val="-9"/>
        </w:rPr>
        <w:t>企业及其控股股东或实际控制人，最近两年内不存在重大违法</w:t>
      </w:r>
      <w:r>
        <w:rPr/>
        <w:t>违规行为。</w:t>
      </w:r>
      <w:r>
        <w:rPr>
          <w:rFonts w:ascii="宋体" w:hAnsi="宋体" w:eastAsia="宋体" w:hint="eastAsia"/>
        </w:rPr>
        <w:t>⑤</w:t>
      </w:r>
      <w:r>
        <w:rPr/>
        <w:t>企业存续期两年以上，且最近一年度保持盈利 。</w:t>
      </w:r>
      <w:r>
        <w:rPr>
          <w:spacing w:val="4"/>
        </w:rPr>
        <w:t>对</w:t>
      </w:r>
      <w:r>
        <w:rPr>
          <w:rFonts w:ascii="Times New Roman" w:hAnsi="Times New Roman" w:eastAsia="Times New Roman"/>
        </w:rPr>
        <w:t>“3+1”</w:t>
      </w:r>
      <w:r>
        <w:rPr/>
        <w:t>主导产业、传统优势产业、高科技新型技术产业、国家战略性新型产业及绿色环保节能行业的企业可适度放宽条件。</w:t>
      </w:r>
    </w:p>
    <w:p>
      <w:pPr>
        <w:pStyle w:val="ListParagraph"/>
        <w:numPr>
          <w:ilvl w:val="0"/>
          <w:numId w:val="3"/>
        </w:numPr>
        <w:tabs>
          <w:tab w:pos="1234" w:val="left" w:leader="none"/>
        </w:tabs>
        <w:spacing w:line="240" w:lineRule="auto" w:before="6" w:after="0"/>
        <w:ind w:left="1233" w:right="0" w:hanging="482"/>
        <w:jc w:val="both"/>
        <w:rPr>
          <w:rFonts w:ascii="Times New Roman" w:eastAsia="Times New Roman"/>
          <w:sz w:val="32"/>
        </w:rPr>
      </w:pPr>
      <w:r>
        <w:rPr>
          <w:spacing w:val="-1"/>
          <w:sz w:val="32"/>
        </w:rPr>
        <w:t>享受本意见奖励政策的改制上市</w:t>
      </w:r>
      <w:r>
        <w:rPr>
          <w:sz w:val="32"/>
        </w:rPr>
        <w:t>（挂牌</w:t>
      </w:r>
      <w:r>
        <w:rPr>
          <w:spacing w:val="-13"/>
          <w:sz w:val="32"/>
        </w:rPr>
        <w:t>）企业注册地 </w:t>
      </w:r>
      <w:r>
        <w:rPr>
          <w:rFonts w:ascii="Times New Roman" w:eastAsia="Times New Roman"/>
          <w:sz w:val="32"/>
        </w:rPr>
        <w:t>10</w:t>
      </w:r>
    </w:p>
    <w:p>
      <w:pPr>
        <w:pStyle w:val="BodyText"/>
        <w:spacing w:before="190"/>
        <w:ind w:left="111"/>
        <w:jc w:val="both"/>
      </w:pPr>
      <w:r>
        <w:rPr/>
        <w:t>年内不得迁出。如 </w:t>
      </w:r>
      <w:r>
        <w:rPr>
          <w:rFonts w:ascii="Times New Roman" w:eastAsia="Times New Roman"/>
        </w:rPr>
        <w:t>10 </w:t>
      </w:r>
      <w:r>
        <w:rPr/>
        <w:t>年内迁出须返回所享受的上述奖励。</w:t>
      </w:r>
    </w:p>
    <w:p>
      <w:pPr>
        <w:pStyle w:val="ListParagraph"/>
        <w:numPr>
          <w:ilvl w:val="0"/>
          <w:numId w:val="3"/>
        </w:numPr>
        <w:tabs>
          <w:tab w:pos="1238" w:val="left" w:leader="none"/>
        </w:tabs>
        <w:spacing w:line="350" w:lineRule="auto" w:before="190" w:after="0"/>
        <w:ind w:left="111" w:right="266" w:firstLine="640"/>
        <w:jc w:val="both"/>
        <w:rPr>
          <w:sz w:val="32"/>
        </w:rPr>
      </w:pPr>
      <w:r>
        <w:rPr>
          <w:sz w:val="32"/>
        </w:rPr>
        <w:t>本意见由市政府金融办负责解释，自印发之日起施行。原景府发〔</w:t>
      </w:r>
      <w:r>
        <w:rPr>
          <w:rFonts w:ascii="Times New Roman" w:eastAsia="Times New Roman"/>
          <w:sz w:val="32"/>
        </w:rPr>
        <w:t>2014</w:t>
      </w:r>
      <w:r>
        <w:rPr>
          <w:spacing w:val="3"/>
          <w:sz w:val="32"/>
        </w:rPr>
        <w:t>〕</w:t>
      </w:r>
      <w:r>
        <w:rPr>
          <w:rFonts w:ascii="Times New Roman" w:eastAsia="Times New Roman"/>
          <w:sz w:val="32"/>
        </w:rPr>
        <w:t>4</w:t>
      </w:r>
      <w:r>
        <w:rPr>
          <w:rFonts w:ascii="Times New Roman" w:eastAsia="Times New Roman"/>
          <w:spacing w:val="-1"/>
          <w:sz w:val="32"/>
        </w:rPr>
        <w:t> </w:t>
      </w:r>
      <w:r>
        <w:rPr>
          <w:sz w:val="32"/>
        </w:rPr>
        <w:t>号文件同时废止。</w:t>
      </w:r>
    </w:p>
    <w:p>
      <w:pPr>
        <w:pStyle w:val="BodyText"/>
        <w:spacing w:before="3"/>
        <w:rPr>
          <w:sz w:val="41"/>
        </w:rPr>
      </w:pPr>
    </w:p>
    <w:p>
      <w:pPr>
        <w:pStyle w:val="BodyText"/>
        <w:ind w:left="910"/>
      </w:pPr>
      <w:r>
        <w:rPr/>
        <w:t>附件：各县（市、区）企业上市（挂牌）目标任务</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4"/>
        </w:rPr>
      </w:pPr>
      <w:r>
        <w:rPr/>
        <w:pict>
          <v:line style="position:absolute;mso-position-horizontal-relative:page;mso-position-vertical-relative:paragraph;z-index:-251649024;mso-wrap-distance-left:0;mso-wrap-distance-right:0" from="77.300003pt,11.765625pt" to="519.500003pt,11.765625pt" stroked="true" strokeweight="1.25pt" strokecolor="#000000">
            <v:stroke dashstyle="solid"/>
            <w10:wrap type="topAndBottom"/>
          </v:line>
        </w:pict>
      </w:r>
    </w:p>
    <w:p>
      <w:pPr>
        <w:tabs>
          <w:tab w:pos="5990" w:val="left" w:leader="none"/>
        </w:tabs>
        <w:spacing w:before="0" w:after="55"/>
        <w:ind w:left="392" w:right="0" w:firstLine="0"/>
        <w:jc w:val="left"/>
        <w:rPr>
          <w:sz w:val="28"/>
        </w:rPr>
      </w:pPr>
      <w:r>
        <w:rPr>
          <w:sz w:val="28"/>
        </w:rPr>
        <w:t>景德镇</w:t>
      </w:r>
      <w:r>
        <w:rPr>
          <w:spacing w:val="-3"/>
          <w:sz w:val="28"/>
        </w:rPr>
        <w:t>市</w:t>
      </w:r>
      <w:r>
        <w:rPr>
          <w:sz w:val="28"/>
        </w:rPr>
        <w:t>人民</w:t>
      </w:r>
      <w:r>
        <w:rPr>
          <w:spacing w:val="-3"/>
          <w:sz w:val="28"/>
        </w:rPr>
        <w:t>政府</w:t>
      </w:r>
      <w:r>
        <w:rPr>
          <w:sz w:val="28"/>
        </w:rPr>
        <w:t>办公室</w:t>
      </w:r>
      <w:r>
        <w:rPr>
          <w:spacing w:val="-3"/>
          <w:sz w:val="28"/>
        </w:rPr>
        <w:t>秘</w:t>
      </w:r>
      <w:r>
        <w:rPr>
          <w:sz w:val="28"/>
        </w:rPr>
        <w:t>书科</w:t>
        <w:tab/>
      </w:r>
      <w:r>
        <w:rPr>
          <w:rFonts w:ascii="Times New Roman" w:eastAsia="Times New Roman"/>
          <w:sz w:val="28"/>
        </w:rPr>
        <w:t>2018</w:t>
      </w:r>
      <w:r>
        <w:rPr>
          <w:rFonts w:ascii="Times New Roman" w:eastAsia="Times New Roman"/>
          <w:spacing w:val="-2"/>
          <w:sz w:val="28"/>
        </w:rPr>
        <w:t> </w:t>
      </w:r>
      <w:r>
        <w:rPr>
          <w:sz w:val="28"/>
        </w:rPr>
        <w:t>年</w:t>
      </w:r>
      <w:r>
        <w:rPr>
          <w:spacing w:val="-70"/>
          <w:sz w:val="28"/>
        </w:rPr>
        <w:t> </w:t>
      </w:r>
      <w:r>
        <w:rPr>
          <w:rFonts w:ascii="Times New Roman" w:eastAsia="Times New Roman"/>
          <w:sz w:val="28"/>
        </w:rPr>
        <w:t>12</w:t>
      </w:r>
      <w:r>
        <w:rPr>
          <w:rFonts w:ascii="Times New Roman" w:eastAsia="Times New Roman"/>
          <w:spacing w:val="-1"/>
          <w:sz w:val="28"/>
        </w:rPr>
        <w:t> </w:t>
      </w:r>
      <w:r>
        <w:rPr>
          <w:sz w:val="28"/>
        </w:rPr>
        <w:t>月</w:t>
      </w:r>
      <w:r>
        <w:rPr>
          <w:spacing w:val="-69"/>
          <w:sz w:val="28"/>
        </w:rPr>
        <w:t> </w:t>
      </w:r>
      <w:r>
        <w:rPr>
          <w:rFonts w:ascii="Times New Roman" w:eastAsia="Times New Roman"/>
          <w:sz w:val="28"/>
        </w:rPr>
        <w:t>1</w:t>
      </w:r>
      <w:r>
        <w:rPr>
          <w:rFonts w:ascii="Times New Roman" w:eastAsia="Times New Roman"/>
          <w:spacing w:val="-1"/>
          <w:sz w:val="28"/>
        </w:rPr>
        <w:t> </w:t>
      </w:r>
      <w:r>
        <w:rPr>
          <w:sz w:val="28"/>
        </w:rPr>
        <w:t>日印发</w:t>
      </w:r>
    </w:p>
    <w:p>
      <w:pPr>
        <w:pStyle w:val="BodyText"/>
        <w:spacing w:line="26" w:lineRule="exact"/>
        <w:ind w:left="113"/>
        <w:rPr>
          <w:sz w:val="2"/>
        </w:rPr>
      </w:pPr>
      <w:r>
        <w:rPr>
          <w:position w:val="0"/>
          <w:sz w:val="2"/>
        </w:rPr>
        <w:pict>
          <v:group style="width:442.2pt;height:1.25pt;mso-position-horizontal-relative:char;mso-position-vertical-relative:line" coordorigin="0,0" coordsize="8844,25">
            <v:line style="position:absolute" from="0,12" to="8844,12" stroked="true" strokeweight="1.25pt" strokecolor="#000000">
              <v:stroke dashstyle="solid"/>
            </v:line>
          </v:group>
        </w:pict>
      </w:r>
      <w:r>
        <w:rPr>
          <w:position w:val="0"/>
          <w:sz w:val="2"/>
        </w:rPr>
      </w:r>
    </w:p>
    <w:p>
      <w:pPr>
        <w:spacing w:after="0" w:line="26" w:lineRule="exact"/>
        <w:rPr>
          <w:sz w:val="2"/>
        </w:rPr>
        <w:sectPr>
          <w:pgSz w:w="11910" w:h="16840"/>
          <w:pgMar w:header="0" w:footer="1539" w:top="1580" w:bottom="1720" w:left="1420" w:right="1260"/>
        </w:sectPr>
      </w:pPr>
    </w:p>
    <w:p>
      <w:pPr>
        <w:pStyle w:val="BodyText"/>
        <w:rPr>
          <w:sz w:val="20"/>
        </w:rPr>
      </w:pPr>
    </w:p>
    <w:p>
      <w:pPr>
        <w:pStyle w:val="BodyText"/>
        <w:spacing w:before="216"/>
        <w:ind w:left="111"/>
        <w:rPr>
          <w:rFonts w:ascii="黑体" w:eastAsia="黑体" w:hint="eastAsia"/>
        </w:rPr>
      </w:pPr>
      <w:r>
        <w:rPr>
          <w:rFonts w:ascii="黑体" w:eastAsia="黑体" w:hint="eastAsia"/>
        </w:rPr>
        <w:t>附件</w:t>
      </w:r>
    </w:p>
    <w:p>
      <w:pPr>
        <w:pStyle w:val="BodyText"/>
        <w:spacing w:before="8"/>
        <w:rPr>
          <w:rFonts w:ascii="黑体"/>
          <w:sz w:val="29"/>
        </w:rPr>
      </w:pPr>
      <w:r>
        <w:rPr/>
        <w:pict>
          <v:group style="position:absolute;margin-left:88.584pt;margin-top:20.947500pt;width:440.2pt;height:25.1pt;mso-position-horizontal-relative:page;mso-position-vertical-relative:paragraph;z-index:-251646976;mso-wrap-distance-left:0;mso-wrap-distance-right:0" coordorigin="1772,419" coordsize="8804,502">
            <v:shape style="position:absolute;left:1771;top:418;width:879;height:502" type="#_x0000_t75" stroked="false">
              <v:imagedata r:id="rId21" o:title=""/>
            </v:shape>
            <v:shape style="position:absolute;left:2210;top:418;width:3081;height:502" type="#_x0000_t75" stroked="false">
              <v:imagedata r:id="rId22" o:title=""/>
            </v:shape>
            <v:shape style="position:absolute;left:4851;top:418;width:5724;height:502" type="#_x0000_t75" stroked="false">
              <v:imagedata r:id="rId23" o:title=""/>
            </v:shape>
            <w10:wrap type="topAndBottom"/>
          </v:group>
        </w:pict>
      </w:r>
    </w:p>
    <w:p>
      <w:pPr>
        <w:pStyle w:val="BodyText"/>
        <w:spacing w:before="8"/>
        <w:rPr>
          <w:rFonts w:ascii="黑体"/>
          <w:sz w:val="27"/>
        </w:rPr>
      </w:pPr>
    </w:p>
    <w:p>
      <w:pPr>
        <w:spacing w:before="62"/>
        <w:ind w:left="0" w:right="545" w:firstLine="0"/>
        <w:jc w:val="right"/>
        <w:rPr>
          <w:sz w:val="28"/>
        </w:rPr>
      </w:pPr>
      <w:r>
        <w:rPr>
          <w:sz w:val="28"/>
        </w:rPr>
        <w:t>单位：户</w:t>
      </w:r>
    </w:p>
    <w:p>
      <w:pPr>
        <w:pStyle w:val="BodyText"/>
        <w:spacing w:before="5" w:after="1"/>
        <w:rPr>
          <w:sz w:val="8"/>
        </w:rPr>
      </w:pPr>
    </w:p>
    <w:tbl>
      <w:tblPr>
        <w:tblW w:w="0" w:type="auto"/>
        <w:jc w:val="left"/>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17"/>
        <w:gridCol w:w="1218"/>
        <w:gridCol w:w="1217"/>
        <w:gridCol w:w="1217"/>
        <w:gridCol w:w="1219"/>
        <w:gridCol w:w="1217"/>
        <w:gridCol w:w="1219"/>
      </w:tblGrid>
      <w:tr>
        <w:trPr>
          <w:trHeight w:val="1164" w:hRule="atLeast"/>
        </w:trPr>
        <w:tc>
          <w:tcPr>
            <w:tcW w:w="1217" w:type="dxa"/>
            <w:vMerge w:val="restart"/>
          </w:tcPr>
          <w:p>
            <w:pPr>
              <w:pStyle w:val="TableParagraph"/>
              <w:rPr>
                <w:sz w:val="28"/>
              </w:rPr>
            </w:pPr>
          </w:p>
          <w:p>
            <w:pPr>
              <w:pStyle w:val="TableParagraph"/>
              <w:rPr>
                <w:sz w:val="28"/>
              </w:rPr>
            </w:pPr>
          </w:p>
          <w:p>
            <w:pPr>
              <w:pStyle w:val="TableParagraph"/>
              <w:rPr>
                <w:sz w:val="28"/>
              </w:rPr>
            </w:pPr>
          </w:p>
          <w:p>
            <w:pPr>
              <w:pStyle w:val="TableParagraph"/>
              <w:spacing w:before="12"/>
              <w:rPr>
                <w:sz w:val="38"/>
              </w:rPr>
            </w:pPr>
          </w:p>
          <w:p>
            <w:pPr>
              <w:pStyle w:val="TableParagraph"/>
              <w:spacing w:line="388" w:lineRule="auto"/>
              <w:ind w:left="328" w:right="-29" w:hanging="221"/>
              <w:rPr>
                <w:sz w:val="28"/>
              </w:rPr>
            </w:pPr>
            <w:r>
              <w:rPr>
                <w:sz w:val="28"/>
              </w:rPr>
              <w:t>县（</w:t>
            </w:r>
            <w:r>
              <w:rPr>
                <w:spacing w:val="-8"/>
                <w:sz w:val="28"/>
              </w:rPr>
              <w:t>市， </w:t>
            </w:r>
            <w:r>
              <w:rPr>
                <w:sz w:val="28"/>
              </w:rPr>
              <w:t>区）</w:t>
            </w:r>
          </w:p>
        </w:tc>
        <w:tc>
          <w:tcPr>
            <w:tcW w:w="2435" w:type="dxa"/>
            <w:gridSpan w:val="2"/>
          </w:tcPr>
          <w:p>
            <w:pPr>
              <w:pStyle w:val="TableParagraph"/>
              <w:spacing w:before="6"/>
              <w:rPr>
                <w:sz w:val="31"/>
              </w:rPr>
            </w:pPr>
          </w:p>
          <w:p>
            <w:pPr>
              <w:pStyle w:val="TableParagraph"/>
              <w:ind w:left="234"/>
              <w:rPr>
                <w:sz w:val="28"/>
              </w:rPr>
            </w:pPr>
            <w:r>
              <w:rPr>
                <w:sz w:val="28"/>
              </w:rPr>
              <w:t>境内外上市企业</w:t>
            </w:r>
          </w:p>
        </w:tc>
        <w:tc>
          <w:tcPr>
            <w:tcW w:w="2436" w:type="dxa"/>
            <w:gridSpan w:val="2"/>
          </w:tcPr>
          <w:p>
            <w:pPr>
              <w:pStyle w:val="TableParagraph"/>
              <w:spacing w:before="6"/>
              <w:rPr>
                <w:sz w:val="31"/>
              </w:rPr>
            </w:pPr>
          </w:p>
          <w:p>
            <w:pPr>
              <w:pStyle w:val="TableParagraph"/>
              <w:ind w:left="517"/>
              <w:rPr>
                <w:sz w:val="28"/>
              </w:rPr>
            </w:pPr>
            <w:r>
              <w:rPr>
                <w:sz w:val="28"/>
              </w:rPr>
              <w:t>新三板挂牌</w:t>
            </w:r>
          </w:p>
        </w:tc>
        <w:tc>
          <w:tcPr>
            <w:tcW w:w="2436" w:type="dxa"/>
            <w:gridSpan w:val="2"/>
          </w:tcPr>
          <w:p>
            <w:pPr>
              <w:pStyle w:val="TableParagraph"/>
              <w:spacing w:before="113"/>
              <w:ind w:left="236"/>
              <w:rPr>
                <w:sz w:val="28"/>
              </w:rPr>
            </w:pPr>
            <w:r>
              <w:rPr>
                <w:spacing w:val="-1"/>
                <w:sz w:val="28"/>
              </w:rPr>
              <w:t>江西联合股权交</w:t>
            </w:r>
          </w:p>
          <w:p>
            <w:pPr>
              <w:pStyle w:val="TableParagraph"/>
              <w:spacing w:before="225"/>
              <w:ind w:left="236"/>
              <w:rPr>
                <w:sz w:val="28"/>
              </w:rPr>
            </w:pPr>
            <w:r>
              <w:rPr>
                <w:spacing w:val="-1"/>
                <w:sz w:val="28"/>
              </w:rPr>
              <w:t>易中心挂牌展示</w:t>
            </w:r>
          </w:p>
        </w:tc>
      </w:tr>
      <w:tr>
        <w:trPr>
          <w:trHeight w:val="2910" w:hRule="atLeast"/>
        </w:trPr>
        <w:tc>
          <w:tcPr>
            <w:tcW w:w="1217" w:type="dxa"/>
            <w:vMerge/>
            <w:tcBorders>
              <w:top w:val="nil"/>
            </w:tcBorders>
          </w:tcPr>
          <w:p>
            <w:pPr>
              <w:rPr>
                <w:sz w:val="2"/>
                <w:szCs w:val="2"/>
              </w:rPr>
            </w:pPr>
          </w:p>
        </w:tc>
        <w:tc>
          <w:tcPr>
            <w:tcW w:w="1218" w:type="dxa"/>
          </w:tcPr>
          <w:p>
            <w:pPr>
              <w:pStyle w:val="TableParagraph"/>
              <w:rPr>
                <w:sz w:val="28"/>
              </w:rPr>
            </w:pPr>
          </w:p>
          <w:p>
            <w:pPr>
              <w:pStyle w:val="TableParagraph"/>
              <w:rPr>
                <w:sz w:val="28"/>
              </w:rPr>
            </w:pPr>
          </w:p>
          <w:p>
            <w:pPr>
              <w:pStyle w:val="TableParagraph"/>
              <w:rPr>
                <w:sz w:val="21"/>
              </w:rPr>
            </w:pPr>
          </w:p>
          <w:p>
            <w:pPr>
              <w:pStyle w:val="TableParagraph"/>
              <w:spacing w:line="391" w:lineRule="auto"/>
              <w:ind w:left="328" w:right="176" w:hanging="142"/>
              <w:rPr>
                <w:sz w:val="28"/>
              </w:rPr>
            </w:pPr>
            <w:r>
              <w:rPr>
                <w:sz w:val="28"/>
              </w:rPr>
              <w:t>已上市企业</w:t>
            </w:r>
          </w:p>
        </w:tc>
        <w:tc>
          <w:tcPr>
            <w:tcW w:w="1217" w:type="dxa"/>
          </w:tcPr>
          <w:p>
            <w:pPr>
              <w:pStyle w:val="TableParagraph"/>
              <w:spacing w:before="113"/>
              <w:ind w:left="152"/>
              <w:jc w:val="both"/>
              <w:rPr>
                <w:rFonts w:ascii="Times New Roman" w:eastAsia="Times New Roman"/>
                <w:sz w:val="28"/>
              </w:rPr>
            </w:pPr>
            <w:r>
              <w:rPr>
                <w:sz w:val="28"/>
              </w:rPr>
              <w:t>至 </w:t>
            </w:r>
            <w:r>
              <w:rPr>
                <w:rFonts w:ascii="Times New Roman" w:eastAsia="Times New Roman"/>
                <w:sz w:val="28"/>
              </w:rPr>
              <w:t>2020</w:t>
            </w:r>
          </w:p>
          <w:p>
            <w:pPr>
              <w:pStyle w:val="TableParagraph"/>
              <w:spacing w:line="388" w:lineRule="auto" w:before="225"/>
              <w:ind w:left="186" w:right="176"/>
              <w:jc w:val="both"/>
              <w:rPr>
                <w:sz w:val="28"/>
              </w:rPr>
            </w:pPr>
            <w:r>
              <w:rPr>
                <w:spacing w:val="-7"/>
                <w:sz w:val="28"/>
              </w:rPr>
              <w:t>年底新增上市企业目</w:t>
            </w:r>
          </w:p>
          <w:p>
            <w:pPr>
              <w:pStyle w:val="TableParagraph"/>
              <w:spacing w:before="1"/>
              <w:ind w:left="186"/>
              <w:rPr>
                <w:sz w:val="28"/>
              </w:rPr>
            </w:pPr>
            <w:r>
              <w:rPr>
                <w:sz w:val="28"/>
              </w:rPr>
              <w:t>标任务</w:t>
            </w:r>
          </w:p>
        </w:tc>
        <w:tc>
          <w:tcPr>
            <w:tcW w:w="1217" w:type="dxa"/>
          </w:tcPr>
          <w:p>
            <w:pPr>
              <w:pStyle w:val="TableParagraph"/>
              <w:rPr>
                <w:sz w:val="28"/>
              </w:rPr>
            </w:pPr>
          </w:p>
          <w:p>
            <w:pPr>
              <w:pStyle w:val="TableParagraph"/>
              <w:rPr>
                <w:sz w:val="28"/>
              </w:rPr>
            </w:pPr>
          </w:p>
          <w:p>
            <w:pPr>
              <w:pStyle w:val="TableParagraph"/>
              <w:rPr>
                <w:sz w:val="21"/>
              </w:rPr>
            </w:pPr>
          </w:p>
          <w:p>
            <w:pPr>
              <w:pStyle w:val="TableParagraph"/>
              <w:spacing w:line="391" w:lineRule="auto"/>
              <w:ind w:left="327" w:right="176" w:hanging="142"/>
              <w:rPr>
                <w:sz w:val="28"/>
              </w:rPr>
            </w:pPr>
            <w:r>
              <w:rPr>
                <w:sz w:val="28"/>
              </w:rPr>
              <w:t>已挂牌企业</w:t>
            </w:r>
          </w:p>
        </w:tc>
        <w:tc>
          <w:tcPr>
            <w:tcW w:w="1219" w:type="dxa"/>
          </w:tcPr>
          <w:p>
            <w:pPr>
              <w:pStyle w:val="TableParagraph"/>
              <w:spacing w:before="113"/>
              <w:ind w:left="152"/>
              <w:jc w:val="both"/>
              <w:rPr>
                <w:rFonts w:ascii="Times New Roman" w:eastAsia="Times New Roman"/>
                <w:sz w:val="28"/>
              </w:rPr>
            </w:pPr>
            <w:r>
              <w:rPr>
                <w:sz w:val="28"/>
              </w:rPr>
              <w:t>至 </w:t>
            </w:r>
            <w:r>
              <w:rPr>
                <w:rFonts w:ascii="Times New Roman" w:eastAsia="Times New Roman"/>
                <w:sz w:val="28"/>
              </w:rPr>
              <w:t>2020</w:t>
            </w:r>
          </w:p>
          <w:p>
            <w:pPr>
              <w:pStyle w:val="TableParagraph"/>
              <w:spacing w:line="388" w:lineRule="auto" w:before="225"/>
              <w:ind w:left="188" w:right="176"/>
              <w:jc w:val="both"/>
              <w:rPr>
                <w:sz w:val="28"/>
              </w:rPr>
            </w:pPr>
            <w:r>
              <w:rPr>
                <w:spacing w:val="-7"/>
                <w:sz w:val="28"/>
              </w:rPr>
              <w:t>年底新增企业挂牌目</w:t>
            </w:r>
          </w:p>
          <w:p>
            <w:pPr>
              <w:pStyle w:val="TableParagraph"/>
              <w:spacing w:before="1"/>
              <w:ind w:left="188"/>
              <w:rPr>
                <w:sz w:val="28"/>
              </w:rPr>
            </w:pPr>
            <w:r>
              <w:rPr>
                <w:sz w:val="28"/>
              </w:rPr>
              <w:t>标任务</w:t>
            </w:r>
          </w:p>
        </w:tc>
        <w:tc>
          <w:tcPr>
            <w:tcW w:w="1217" w:type="dxa"/>
          </w:tcPr>
          <w:p>
            <w:pPr>
              <w:pStyle w:val="TableParagraph"/>
              <w:spacing w:before="113"/>
              <w:ind w:left="152"/>
              <w:jc w:val="both"/>
              <w:rPr>
                <w:rFonts w:ascii="Times New Roman" w:eastAsia="Times New Roman"/>
                <w:sz w:val="28"/>
              </w:rPr>
            </w:pPr>
            <w:r>
              <w:rPr>
                <w:sz w:val="28"/>
              </w:rPr>
              <w:t>至 </w:t>
            </w:r>
            <w:r>
              <w:rPr>
                <w:rFonts w:ascii="Times New Roman" w:eastAsia="Times New Roman"/>
                <w:sz w:val="28"/>
              </w:rPr>
              <w:t>2020</w:t>
            </w:r>
          </w:p>
          <w:p>
            <w:pPr>
              <w:pStyle w:val="TableParagraph"/>
              <w:spacing w:line="388" w:lineRule="auto" w:before="225"/>
              <w:ind w:left="188" w:right="173"/>
              <w:jc w:val="both"/>
              <w:rPr>
                <w:sz w:val="28"/>
              </w:rPr>
            </w:pPr>
            <w:r>
              <w:rPr>
                <w:spacing w:val="-6"/>
                <w:sz w:val="28"/>
              </w:rPr>
              <w:t>年底新增企业挂牌目</w:t>
            </w:r>
          </w:p>
          <w:p>
            <w:pPr>
              <w:pStyle w:val="TableParagraph"/>
              <w:spacing w:before="1"/>
              <w:ind w:left="188"/>
              <w:rPr>
                <w:sz w:val="28"/>
              </w:rPr>
            </w:pPr>
            <w:r>
              <w:rPr>
                <w:sz w:val="28"/>
              </w:rPr>
              <w:t>标任务</w:t>
            </w:r>
          </w:p>
        </w:tc>
        <w:tc>
          <w:tcPr>
            <w:tcW w:w="1219" w:type="dxa"/>
          </w:tcPr>
          <w:p>
            <w:pPr>
              <w:pStyle w:val="TableParagraph"/>
              <w:spacing w:before="113"/>
              <w:ind w:left="153"/>
              <w:jc w:val="both"/>
              <w:rPr>
                <w:rFonts w:ascii="Times New Roman" w:eastAsia="Times New Roman"/>
                <w:sz w:val="28"/>
              </w:rPr>
            </w:pPr>
            <w:r>
              <w:rPr>
                <w:sz w:val="28"/>
              </w:rPr>
              <w:t>至 </w:t>
            </w:r>
            <w:r>
              <w:rPr>
                <w:rFonts w:ascii="Times New Roman" w:eastAsia="Times New Roman"/>
                <w:sz w:val="28"/>
              </w:rPr>
              <w:t>2020</w:t>
            </w:r>
          </w:p>
          <w:p>
            <w:pPr>
              <w:pStyle w:val="TableParagraph"/>
              <w:spacing w:line="388" w:lineRule="auto" w:before="225"/>
              <w:ind w:left="189" w:right="175"/>
              <w:jc w:val="both"/>
              <w:rPr>
                <w:sz w:val="28"/>
              </w:rPr>
            </w:pPr>
            <w:r>
              <w:rPr>
                <w:spacing w:val="-7"/>
                <w:sz w:val="28"/>
              </w:rPr>
              <w:t>年底新增企业展示目</w:t>
            </w:r>
          </w:p>
          <w:p>
            <w:pPr>
              <w:pStyle w:val="TableParagraph"/>
              <w:spacing w:before="1"/>
              <w:ind w:left="189"/>
              <w:rPr>
                <w:sz w:val="28"/>
              </w:rPr>
            </w:pPr>
            <w:r>
              <w:rPr>
                <w:sz w:val="28"/>
              </w:rPr>
              <w:t>标任务</w:t>
            </w:r>
          </w:p>
        </w:tc>
      </w:tr>
      <w:tr>
        <w:trPr>
          <w:trHeight w:val="582" w:hRule="atLeast"/>
        </w:trPr>
        <w:tc>
          <w:tcPr>
            <w:tcW w:w="1217" w:type="dxa"/>
          </w:tcPr>
          <w:p>
            <w:pPr>
              <w:pStyle w:val="TableParagraph"/>
              <w:spacing w:before="113"/>
              <w:ind w:left="107"/>
              <w:rPr>
                <w:sz w:val="28"/>
              </w:rPr>
            </w:pPr>
            <w:r>
              <w:rPr>
                <w:sz w:val="28"/>
              </w:rPr>
              <w:t>乐平市</w:t>
            </w:r>
          </w:p>
        </w:tc>
        <w:tc>
          <w:tcPr>
            <w:tcW w:w="1218" w:type="dxa"/>
          </w:tcPr>
          <w:p>
            <w:pPr>
              <w:pStyle w:val="TableParagraph"/>
              <w:spacing w:before="127"/>
              <w:ind w:left="6"/>
              <w:jc w:val="center"/>
              <w:rPr>
                <w:rFonts w:ascii="Times New Roman"/>
                <w:sz w:val="28"/>
              </w:rPr>
            </w:pPr>
            <w:r>
              <w:rPr>
                <w:rFonts w:ascii="Times New Roman"/>
                <w:w w:val="100"/>
                <w:sz w:val="28"/>
              </w:rPr>
              <w:t>1</w:t>
            </w:r>
          </w:p>
        </w:tc>
        <w:tc>
          <w:tcPr>
            <w:tcW w:w="1217" w:type="dxa"/>
          </w:tcPr>
          <w:p>
            <w:pPr>
              <w:pStyle w:val="TableParagraph"/>
              <w:spacing w:before="127"/>
              <w:ind w:left="536"/>
              <w:rPr>
                <w:rFonts w:ascii="Times New Roman"/>
                <w:sz w:val="28"/>
              </w:rPr>
            </w:pPr>
            <w:r>
              <w:rPr>
                <w:rFonts w:ascii="Times New Roman"/>
                <w:w w:val="100"/>
                <w:sz w:val="28"/>
              </w:rPr>
              <w:t>2</w:t>
            </w:r>
          </w:p>
        </w:tc>
        <w:tc>
          <w:tcPr>
            <w:tcW w:w="1217" w:type="dxa"/>
          </w:tcPr>
          <w:p>
            <w:pPr>
              <w:pStyle w:val="TableParagraph"/>
              <w:rPr>
                <w:rFonts w:ascii="Times New Roman"/>
                <w:sz w:val="28"/>
              </w:rPr>
            </w:pPr>
          </w:p>
        </w:tc>
        <w:tc>
          <w:tcPr>
            <w:tcW w:w="1219" w:type="dxa"/>
          </w:tcPr>
          <w:p>
            <w:pPr>
              <w:pStyle w:val="TableParagraph"/>
              <w:spacing w:before="127"/>
              <w:ind w:right="527"/>
              <w:jc w:val="right"/>
              <w:rPr>
                <w:rFonts w:ascii="Times New Roman"/>
                <w:sz w:val="28"/>
              </w:rPr>
            </w:pPr>
            <w:r>
              <w:rPr>
                <w:rFonts w:ascii="Times New Roman"/>
                <w:w w:val="100"/>
                <w:sz w:val="28"/>
              </w:rPr>
              <w:t>2</w:t>
            </w:r>
          </w:p>
        </w:tc>
        <w:tc>
          <w:tcPr>
            <w:tcW w:w="1217" w:type="dxa"/>
          </w:tcPr>
          <w:p>
            <w:pPr>
              <w:pStyle w:val="TableParagraph"/>
              <w:spacing w:before="127"/>
              <w:ind w:left="539"/>
              <w:rPr>
                <w:rFonts w:ascii="Times New Roman"/>
                <w:sz w:val="28"/>
              </w:rPr>
            </w:pPr>
            <w:r>
              <w:rPr>
                <w:rFonts w:ascii="Times New Roman"/>
                <w:w w:val="100"/>
                <w:sz w:val="28"/>
              </w:rPr>
              <w:t>4</w:t>
            </w:r>
          </w:p>
        </w:tc>
        <w:tc>
          <w:tcPr>
            <w:tcW w:w="1219" w:type="dxa"/>
          </w:tcPr>
          <w:p>
            <w:pPr>
              <w:pStyle w:val="TableParagraph"/>
              <w:spacing w:before="127"/>
              <w:ind w:left="378" w:right="369"/>
              <w:jc w:val="center"/>
              <w:rPr>
                <w:rFonts w:ascii="Times New Roman"/>
                <w:sz w:val="28"/>
              </w:rPr>
            </w:pPr>
            <w:r>
              <w:rPr>
                <w:rFonts w:ascii="Times New Roman"/>
                <w:sz w:val="28"/>
              </w:rPr>
              <w:t>60</w:t>
            </w:r>
          </w:p>
        </w:tc>
      </w:tr>
      <w:tr>
        <w:trPr>
          <w:trHeight w:val="580" w:hRule="atLeast"/>
        </w:trPr>
        <w:tc>
          <w:tcPr>
            <w:tcW w:w="1217" w:type="dxa"/>
          </w:tcPr>
          <w:p>
            <w:pPr>
              <w:pStyle w:val="TableParagraph"/>
              <w:spacing w:before="114"/>
              <w:ind w:left="107"/>
              <w:rPr>
                <w:sz w:val="28"/>
              </w:rPr>
            </w:pPr>
            <w:r>
              <w:rPr>
                <w:sz w:val="28"/>
              </w:rPr>
              <w:t>浮梁县</w:t>
            </w:r>
          </w:p>
        </w:tc>
        <w:tc>
          <w:tcPr>
            <w:tcW w:w="1218" w:type="dxa"/>
          </w:tcPr>
          <w:p>
            <w:pPr>
              <w:pStyle w:val="TableParagraph"/>
              <w:rPr>
                <w:rFonts w:ascii="Times New Roman"/>
                <w:sz w:val="28"/>
              </w:rPr>
            </w:pPr>
          </w:p>
        </w:tc>
        <w:tc>
          <w:tcPr>
            <w:tcW w:w="1217" w:type="dxa"/>
          </w:tcPr>
          <w:p>
            <w:pPr>
              <w:pStyle w:val="TableParagraph"/>
              <w:rPr>
                <w:rFonts w:ascii="Times New Roman"/>
                <w:sz w:val="28"/>
              </w:rPr>
            </w:pPr>
          </w:p>
        </w:tc>
        <w:tc>
          <w:tcPr>
            <w:tcW w:w="1217" w:type="dxa"/>
          </w:tcPr>
          <w:p>
            <w:pPr>
              <w:pStyle w:val="TableParagraph"/>
              <w:spacing w:before="127"/>
              <w:ind w:left="6"/>
              <w:jc w:val="center"/>
              <w:rPr>
                <w:rFonts w:ascii="Times New Roman"/>
                <w:sz w:val="28"/>
              </w:rPr>
            </w:pPr>
            <w:r>
              <w:rPr>
                <w:rFonts w:ascii="Times New Roman"/>
                <w:w w:val="100"/>
                <w:sz w:val="28"/>
              </w:rPr>
              <w:t>1</w:t>
            </w:r>
          </w:p>
        </w:tc>
        <w:tc>
          <w:tcPr>
            <w:tcW w:w="1219" w:type="dxa"/>
          </w:tcPr>
          <w:p>
            <w:pPr>
              <w:pStyle w:val="TableParagraph"/>
              <w:spacing w:before="127"/>
              <w:ind w:right="527"/>
              <w:jc w:val="right"/>
              <w:rPr>
                <w:rFonts w:ascii="Times New Roman"/>
                <w:sz w:val="28"/>
              </w:rPr>
            </w:pPr>
            <w:r>
              <w:rPr>
                <w:rFonts w:ascii="Times New Roman"/>
                <w:w w:val="100"/>
                <w:sz w:val="28"/>
              </w:rPr>
              <w:t>1</w:t>
            </w:r>
          </w:p>
        </w:tc>
        <w:tc>
          <w:tcPr>
            <w:tcW w:w="1217" w:type="dxa"/>
          </w:tcPr>
          <w:p>
            <w:pPr>
              <w:pStyle w:val="TableParagraph"/>
              <w:spacing w:before="127"/>
              <w:ind w:left="539"/>
              <w:rPr>
                <w:rFonts w:ascii="Times New Roman"/>
                <w:sz w:val="28"/>
              </w:rPr>
            </w:pPr>
            <w:r>
              <w:rPr>
                <w:rFonts w:ascii="Times New Roman"/>
                <w:w w:val="100"/>
                <w:sz w:val="28"/>
              </w:rPr>
              <w:t>3</w:t>
            </w:r>
          </w:p>
        </w:tc>
        <w:tc>
          <w:tcPr>
            <w:tcW w:w="1219" w:type="dxa"/>
          </w:tcPr>
          <w:p>
            <w:pPr>
              <w:pStyle w:val="TableParagraph"/>
              <w:spacing w:before="127"/>
              <w:ind w:left="378" w:right="369"/>
              <w:jc w:val="center"/>
              <w:rPr>
                <w:rFonts w:ascii="Times New Roman"/>
                <w:sz w:val="28"/>
              </w:rPr>
            </w:pPr>
            <w:r>
              <w:rPr>
                <w:rFonts w:ascii="Times New Roman"/>
                <w:sz w:val="28"/>
              </w:rPr>
              <w:t>40</w:t>
            </w:r>
          </w:p>
        </w:tc>
      </w:tr>
      <w:tr>
        <w:trPr>
          <w:trHeight w:val="582" w:hRule="atLeast"/>
        </w:trPr>
        <w:tc>
          <w:tcPr>
            <w:tcW w:w="1217" w:type="dxa"/>
          </w:tcPr>
          <w:p>
            <w:pPr>
              <w:pStyle w:val="TableParagraph"/>
              <w:spacing w:before="113"/>
              <w:ind w:left="107"/>
              <w:rPr>
                <w:sz w:val="28"/>
              </w:rPr>
            </w:pPr>
            <w:r>
              <w:rPr>
                <w:sz w:val="28"/>
              </w:rPr>
              <w:t>昌江区</w:t>
            </w:r>
          </w:p>
        </w:tc>
        <w:tc>
          <w:tcPr>
            <w:tcW w:w="1218" w:type="dxa"/>
          </w:tcPr>
          <w:p>
            <w:pPr>
              <w:pStyle w:val="TableParagraph"/>
              <w:spacing w:before="127"/>
              <w:ind w:left="6"/>
              <w:jc w:val="center"/>
              <w:rPr>
                <w:rFonts w:ascii="Times New Roman"/>
                <w:sz w:val="28"/>
              </w:rPr>
            </w:pPr>
            <w:r>
              <w:rPr>
                <w:rFonts w:ascii="Times New Roman"/>
                <w:w w:val="100"/>
                <w:sz w:val="28"/>
              </w:rPr>
              <w:t>1</w:t>
            </w:r>
          </w:p>
        </w:tc>
        <w:tc>
          <w:tcPr>
            <w:tcW w:w="1217" w:type="dxa"/>
          </w:tcPr>
          <w:p>
            <w:pPr>
              <w:pStyle w:val="TableParagraph"/>
              <w:rPr>
                <w:rFonts w:ascii="Times New Roman"/>
                <w:sz w:val="28"/>
              </w:rPr>
            </w:pPr>
          </w:p>
        </w:tc>
        <w:tc>
          <w:tcPr>
            <w:tcW w:w="1217" w:type="dxa"/>
          </w:tcPr>
          <w:p>
            <w:pPr>
              <w:pStyle w:val="TableParagraph"/>
              <w:rPr>
                <w:rFonts w:ascii="Times New Roman"/>
                <w:sz w:val="28"/>
              </w:rPr>
            </w:pPr>
          </w:p>
        </w:tc>
        <w:tc>
          <w:tcPr>
            <w:tcW w:w="1219" w:type="dxa"/>
          </w:tcPr>
          <w:p>
            <w:pPr>
              <w:pStyle w:val="TableParagraph"/>
              <w:spacing w:before="127"/>
              <w:ind w:right="527"/>
              <w:jc w:val="right"/>
              <w:rPr>
                <w:rFonts w:ascii="Times New Roman"/>
                <w:sz w:val="28"/>
              </w:rPr>
            </w:pPr>
            <w:r>
              <w:rPr>
                <w:rFonts w:ascii="Times New Roman"/>
                <w:w w:val="100"/>
                <w:sz w:val="28"/>
              </w:rPr>
              <w:t>2</w:t>
            </w:r>
          </w:p>
        </w:tc>
        <w:tc>
          <w:tcPr>
            <w:tcW w:w="1217" w:type="dxa"/>
          </w:tcPr>
          <w:p>
            <w:pPr>
              <w:pStyle w:val="TableParagraph"/>
              <w:spacing w:before="127"/>
              <w:ind w:left="539"/>
              <w:rPr>
                <w:rFonts w:ascii="Times New Roman"/>
                <w:sz w:val="28"/>
              </w:rPr>
            </w:pPr>
            <w:r>
              <w:rPr>
                <w:rFonts w:ascii="Times New Roman"/>
                <w:w w:val="100"/>
                <w:sz w:val="28"/>
              </w:rPr>
              <w:t>2</w:t>
            </w:r>
          </w:p>
        </w:tc>
        <w:tc>
          <w:tcPr>
            <w:tcW w:w="1219" w:type="dxa"/>
          </w:tcPr>
          <w:p>
            <w:pPr>
              <w:pStyle w:val="TableParagraph"/>
              <w:spacing w:before="127"/>
              <w:ind w:left="378" w:right="369"/>
              <w:jc w:val="center"/>
              <w:rPr>
                <w:rFonts w:ascii="Times New Roman"/>
                <w:sz w:val="28"/>
              </w:rPr>
            </w:pPr>
            <w:r>
              <w:rPr>
                <w:rFonts w:ascii="Times New Roman"/>
                <w:sz w:val="28"/>
              </w:rPr>
              <w:t>30</w:t>
            </w:r>
          </w:p>
        </w:tc>
      </w:tr>
      <w:tr>
        <w:trPr>
          <w:trHeight w:val="582" w:hRule="atLeast"/>
        </w:trPr>
        <w:tc>
          <w:tcPr>
            <w:tcW w:w="1217" w:type="dxa"/>
          </w:tcPr>
          <w:p>
            <w:pPr>
              <w:pStyle w:val="TableParagraph"/>
              <w:spacing w:before="113"/>
              <w:ind w:left="107"/>
              <w:rPr>
                <w:sz w:val="28"/>
              </w:rPr>
            </w:pPr>
            <w:r>
              <w:rPr>
                <w:sz w:val="28"/>
              </w:rPr>
              <w:t>珠山区</w:t>
            </w:r>
          </w:p>
        </w:tc>
        <w:tc>
          <w:tcPr>
            <w:tcW w:w="1218" w:type="dxa"/>
          </w:tcPr>
          <w:p>
            <w:pPr>
              <w:pStyle w:val="TableParagraph"/>
              <w:rPr>
                <w:rFonts w:ascii="Times New Roman"/>
                <w:sz w:val="28"/>
              </w:rPr>
            </w:pPr>
          </w:p>
        </w:tc>
        <w:tc>
          <w:tcPr>
            <w:tcW w:w="1217" w:type="dxa"/>
          </w:tcPr>
          <w:p>
            <w:pPr>
              <w:pStyle w:val="TableParagraph"/>
              <w:rPr>
                <w:rFonts w:ascii="Times New Roman"/>
                <w:sz w:val="28"/>
              </w:rPr>
            </w:pPr>
          </w:p>
        </w:tc>
        <w:tc>
          <w:tcPr>
            <w:tcW w:w="1217" w:type="dxa"/>
          </w:tcPr>
          <w:p>
            <w:pPr>
              <w:pStyle w:val="TableParagraph"/>
              <w:spacing w:before="127"/>
              <w:ind w:left="6"/>
              <w:jc w:val="center"/>
              <w:rPr>
                <w:rFonts w:ascii="Times New Roman"/>
                <w:sz w:val="28"/>
              </w:rPr>
            </w:pPr>
            <w:r>
              <w:rPr>
                <w:rFonts w:ascii="Times New Roman"/>
                <w:w w:val="100"/>
                <w:sz w:val="28"/>
              </w:rPr>
              <w:t>1</w:t>
            </w:r>
          </w:p>
        </w:tc>
        <w:tc>
          <w:tcPr>
            <w:tcW w:w="1219" w:type="dxa"/>
          </w:tcPr>
          <w:p>
            <w:pPr>
              <w:pStyle w:val="TableParagraph"/>
              <w:spacing w:before="127"/>
              <w:ind w:right="527"/>
              <w:jc w:val="right"/>
              <w:rPr>
                <w:rFonts w:ascii="Times New Roman"/>
                <w:sz w:val="28"/>
              </w:rPr>
            </w:pPr>
            <w:r>
              <w:rPr>
                <w:rFonts w:ascii="Times New Roman"/>
                <w:w w:val="100"/>
                <w:sz w:val="28"/>
              </w:rPr>
              <w:t>1</w:t>
            </w:r>
          </w:p>
        </w:tc>
        <w:tc>
          <w:tcPr>
            <w:tcW w:w="1217" w:type="dxa"/>
          </w:tcPr>
          <w:p>
            <w:pPr>
              <w:pStyle w:val="TableParagraph"/>
              <w:spacing w:before="127"/>
              <w:ind w:left="539"/>
              <w:rPr>
                <w:rFonts w:ascii="Times New Roman"/>
                <w:sz w:val="28"/>
              </w:rPr>
            </w:pPr>
            <w:r>
              <w:rPr>
                <w:rFonts w:ascii="Times New Roman"/>
                <w:w w:val="100"/>
                <w:sz w:val="28"/>
              </w:rPr>
              <w:t>2</w:t>
            </w:r>
          </w:p>
        </w:tc>
        <w:tc>
          <w:tcPr>
            <w:tcW w:w="1219" w:type="dxa"/>
          </w:tcPr>
          <w:p>
            <w:pPr>
              <w:pStyle w:val="TableParagraph"/>
              <w:spacing w:before="127"/>
              <w:ind w:left="378" w:right="369"/>
              <w:jc w:val="center"/>
              <w:rPr>
                <w:rFonts w:ascii="Times New Roman"/>
                <w:sz w:val="28"/>
              </w:rPr>
            </w:pPr>
            <w:r>
              <w:rPr>
                <w:rFonts w:ascii="Times New Roman"/>
                <w:sz w:val="28"/>
              </w:rPr>
              <w:t>25</w:t>
            </w:r>
          </w:p>
        </w:tc>
      </w:tr>
      <w:tr>
        <w:trPr>
          <w:trHeight w:val="1163" w:hRule="atLeast"/>
        </w:trPr>
        <w:tc>
          <w:tcPr>
            <w:tcW w:w="1217" w:type="dxa"/>
          </w:tcPr>
          <w:p>
            <w:pPr>
              <w:pStyle w:val="TableParagraph"/>
              <w:spacing w:before="113"/>
              <w:ind w:left="107"/>
              <w:rPr>
                <w:sz w:val="28"/>
              </w:rPr>
            </w:pPr>
            <w:r>
              <w:rPr>
                <w:sz w:val="28"/>
              </w:rPr>
              <w:t>市高新</w:t>
            </w:r>
          </w:p>
          <w:p>
            <w:pPr>
              <w:pStyle w:val="TableParagraph"/>
              <w:spacing w:before="222"/>
              <w:ind w:left="107"/>
              <w:rPr>
                <w:sz w:val="28"/>
              </w:rPr>
            </w:pPr>
            <w:r>
              <w:rPr>
                <w:w w:val="100"/>
                <w:sz w:val="28"/>
              </w:rPr>
              <w:t>区</w:t>
            </w:r>
          </w:p>
        </w:tc>
        <w:tc>
          <w:tcPr>
            <w:tcW w:w="1218" w:type="dxa"/>
          </w:tcPr>
          <w:p>
            <w:pPr>
              <w:pStyle w:val="TableParagraph"/>
              <w:spacing w:before="7"/>
              <w:rPr>
                <w:sz w:val="32"/>
              </w:rPr>
            </w:pPr>
          </w:p>
          <w:p>
            <w:pPr>
              <w:pStyle w:val="TableParagraph"/>
              <w:ind w:left="6"/>
              <w:jc w:val="center"/>
              <w:rPr>
                <w:rFonts w:ascii="Times New Roman"/>
                <w:sz w:val="28"/>
              </w:rPr>
            </w:pPr>
            <w:r>
              <w:rPr>
                <w:rFonts w:ascii="Times New Roman"/>
                <w:w w:val="100"/>
                <w:sz w:val="28"/>
              </w:rPr>
              <w:t>2</w:t>
            </w:r>
          </w:p>
        </w:tc>
        <w:tc>
          <w:tcPr>
            <w:tcW w:w="1217" w:type="dxa"/>
          </w:tcPr>
          <w:p>
            <w:pPr>
              <w:pStyle w:val="TableParagraph"/>
              <w:spacing w:before="7"/>
              <w:rPr>
                <w:sz w:val="32"/>
              </w:rPr>
            </w:pPr>
          </w:p>
          <w:p>
            <w:pPr>
              <w:pStyle w:val="TableParagraph"/>
              <w:ind w:left="536"/>
              <w:rPr>
                <w:rFonts w:ascii="Times New Roman"/>
                <w:sz w:val="28"/>
              </w:rPr>
            </w:pPr>
            <w:r>
              <w:rPr>
                <w:rFonts w:ascii="Times New Roman"/>
                <w:w w:val="100"/>
                <w:sz w:val="28"/>
              </w:rPr>
              <w:t>1</w:t>
            </w:r>
          </w:p>
        </w:tc>
        <w:tc>
          <w:tcPr>
            <w:tcW w:w="1217" w:type="dxa"/>
          </w:tcPr>
          <w:p>
            <w:pPr>
              <w:pStyle w:val="TableParagraph"/>
              <w:spacing w:before="7"/>
              <w:rPr>
                <w:sz w:val="32"/>
              </w:rPr>
            </w:pPr>
          </w:p>
          <w:p>
            <w:pPr>
              <w:pStyle w:val="TableParagraph"/>
              <w:ind w:left="6"/>
              <w:jc w:val="center"/>
              <w:rPr>
                <w:rFonts w:ascii="Times New Roman"/>
                <w:sz w:val="28"/>
              </w:rPr>
            </w:pPr>
            <w:r>
              <w:rPr>
                <w:rFonts w:ascii="Times New Roman"/>
                <w:w w:val="100"/>
                <w:sz w:val="28"/>
              </w:rPr>
              <w:t>1</w:t>
            </w:r>
          </w:p>
        </w:tc>
        <w:tc>
          <w:tcPr>
            <w:tcW w:w="1219" w:type="dxa"/>
          </w:tcPr>
          <w:p>
            <w:pPr>
              <w:pStyle w:val="TableParagraph"/>
              <w:spacing w:before="7"/>
              <w:rPr>
                <w:sz w:val="32"/>
              </w:rPr>
            </w:pPr>
          </w:p>
          <w:p>
            <w:pPr>
              <w:pStyle w:val="TableParagraph"/>
              <w:ind w:right="527"/>
              <w:jc w:val="right"/>
              <w:rPr>
                <w:rFonts w:ascii="Times New Roman"/>
                <w:sz w:val="28"/>
              </w:rPr>
            </w:pPr>
            <w:r>
              <w:rPr>
                <w:rFonts w:ascii="Times New Roman"/>
                <w:w w:val="100"/>
                <w:sz w:val="28"/>
              </w:rPr>
              <w:t>1</w:t>
            </w:r>
          </w:p>
        </w:tc>
        <w:tc>
          <w:tcPr>
            <w:tcW w:w="1217" w:type="dxa"/>
          </w:tcPr>
          <w:p>
            <w:pPr>
              <w:pStyle w:val="TableParagraph"/>
              <w:spacing w:before="7"/>
              <w:rPr>
                <w:sz w:val="32"/>
              </w:rPr>
            </w:pPr>
          </w:p>
          <w:p>
            <w:pPr>
              <w:pStyle w:val="TableParagraph"/>
              <w:ind w:left="539"/>
              <w:rPr>
                <w:rFonts w:ascii="Times New Roman"/>
                <w:sz w:val="28"/>
              </w:rPr>
            </w:pPr>
            <w:r>
              <w:rPr>
                <w:rFonts w:ascii="Times New Roman"/>
                <w:w w:val="100"/>
                <w:sz w:val="28"/>
              </w:rPr>
              <w:t>4</w:t>
            </w:r>
          </w:p>
        </w:tc>
        <w:tc>
          <w:tcPr>
            <w:tcW w:w="1219" w:type="dxa"/>
          </w:tcPr>
          <w:p>
            <w:pPr>
              <w:pStyle w:val="TableParagraph"/>
              <w:spacing w:before="7"/>
              <w:rPr>
                <w:sz w:val="32"/>
              </w:rPr>
            </w:pPr>
          </w:p>
          <w:p>
            <w:pPr>
              <w:pStyle w:val="TableParagraph"/>
              <w:ind w:left="378" w:right="369"/>
              <w:jc w:val="center"/>
              <w:rPr>
                <w:rFonts w:ascii="Times New Roman"/>
                <w:sz w:val="28"/>
              </w:rPr>
            </w:pPr>
            <w:r>
              <w:rPr>
                <w:rFonts w:ascii="Times New Roman"/>
                <w:sz w:val="28"/>
              </w:rPr>
              <w:t>50</w:t>
            </w:r>
          </w:p>
        </w:tc>
      </w:tr>
      <w:tr>
        <w:trPr>
          <w:trHeight w:val="1745" w:hRule="atLeast"/>
        </w:trPr>
        <w:tc>
          <w:tcPr>
            <w:tcW w:w="1217" w:type="dxa"/>
          </w:tcPr>
          <w:p>
            <w:pPr>
              <w:pStyle w:val="TableParagraph"/>
              <w:spacing w:line="388" w:lineRule="auto" w:before="113"/>
              <w:ind w:left="107" w:right="254"/>
              <w:rPr>
                <w:sz w:val="28"/>
              </w:rPr>
            </w:pPr>
            <w:r>
              <w:rPr>
                <w:sz w:val="28"/>
              </w:rPr>
              <w:t>市陶瓷工业园</w:t>
            </w:r>
          </w:p>
          <w:p>
            <w:pPr>
              <w:pStyle w:val="TableParagraph"/>
              <w:spacing w:before="2"/>
              <w:ind w:left="107"/>
              <w:rPr>
                <w:sz w:val="28"/>
              </w:rPr>
            </w:pPr>
            <w:r>
              <w:rPr>
                <w:w w:val="100"/>
                <w:sz w:val="28"/>
              </w:rPr>
              <w:t>区</w:t>
            </w:r>
          </w:p>
        </w:tc>
        <w:tc>
          <w:tcPr>
            <w:tcW w:w="1218" w:type="dxa"/>
          </w:tcPr>
          <w:p>
            <w:pPr>
              <w:pStyle w:val="TableParagraph"/>
              <w:rPr>
                <w:rFonts w:ascii="Times New Roman"/>
                <w:sz w:val="28"/>
              </w:rPr>
            </w:pPr>
          </w:p>
        </w:tc>
        <w:tc>
          <w:tcPr>
            <w:tcW w:w="1217" w:type="dxa"/>
          </w:tcPr>
          <w:p>
            <w:pPr>
              <w:pStyle w:val="TableParagraph"/>
              <w:rPr>
                <w:sz w:val="30"/>
              </w:rPr>
            </w:pPr>
          </w:p>
          <w:p>
            <w:pPr>
              <w:pStyle w:val="TableParagraph"/>
              <w:spacing w:before="3"/>
              <w:rPr>
                <w:sz w:val="25"/>
              </w:rPr>
            </w:pPr>
          </w:p>
          <w:p>
            <w:pPr>
              <w:pStyle w:val="TableParagraph"/>
              <w:spacing w:before="1"/>
              <w:ind w:left="536"/>
              <w:rPr>
                <w:rFonts w:ascii="Times New Roman"/>
                <w:sz w:val="28"/>
              </w:rPr>
            </w:pPr>
            <w:r>
              <w:rPr>
                <w:rFonts w:ascii="Times New Roman"/>
                <w:w w:val="100"/>
                <w:sz w:val="28"/>
              </w:rPr>
              <w:t>1</w:t>
            </w:r>
          </w:p>
        </w:tc>
        <w:tc>
          <w:tcPr>
            <w:tcW w:w="1217" w:type="dxa"/>
          </w:tcPr>
          <w:p>
            <w:pPr>
              <w:pStyle w:val="TableParagraph"/>
              <w:rPr>
                <w:rFonts w:ascii="Times New Roman"/>
                <w:sz w:val="28"/>
              </w:rPr>
            </w:pPr>
          </w:p>
        </w:tc>
        <w:tc>
          <w:tcPr>
            <w:tcW w:w="1219" w:type="dxa"/>
          </w:tcPr>
          <w:p>
            <w:pPr>
              <w:pStyle w:val="TableParagraph"/>
              <w:rPr>
                <w:sz w:val="30"/>
              </w:rPr>
            </w:pPr>
          </w:p>
          <w:p>
            <w:pPr>
              <w:pStyle w:val="TableParagraph"/>
              <w:spacing w:before="3"/>
              <w:rPr>
                <w:sz w:val="25"/>
              </w:rPr>
            </w:pPr>
          </w:p>
          <w:p>
            <w:pPr>
              <w:pStyle w:val="TableParagraph"/>
              <w:spacing w:before="1"/>
              <w:ind w:right="527"/>
              <w:jc w:val="right"/>
              <w:rPr>
                <w:rFonts w:ascii="Times New Roman"/>
                <w:sz w:val="28"/>
              </w:rPr>
            </w:pPr>
            <w:r>
              <w:rPr>
                <w:rFonts w:ascii="Times New Roman"/>
                <w:w w:val="100"/>
                <w:sz w:val="28"/>
              </w:rPr>
              <w:t>2</w:t>
            </w:r>
          </w:p>
        </w:tc>
        <w:tc>
          <w:tcPr>
            <w:tcW w:w="1217" w:type="dxa"/>
          </w:tcPr>
          <w:p>
            <w:pPr>
              <w:pStyle w:val="TableParagraph"/>
              <w:rPr>
                <w:sz w:val="30"/>
              </w:rPr>
            </w:pPr>
          </w:p>
          <w:p>
            <w:pPr>
              <w:pStyle w:val="TableParagraph"/>
              <w:spacing w:before="3"/>
              <w:rPr>
                <w:sz w:val="25"/>
              </w:rPr>
            </w:pPr>
          </w:p>
          <w:p>
            <w:pPr>
              <w:pStyle w:val="TableParagraph"/>
              <w:spacing w:before="1"/>
              <w:ind w:left="539"/>
              <w:rPr>
                <w:rFonts w:ascii="Times New Roman"/>
                <w:sz w:val="28"/>
              </w:rPr>
            </w:pPr>
            <w:r>
              <w:rPr>
                <w:rFonts w:ascii="Times New Roman"/>
                <w:w w:val="100"/>
                <w:sz w:val="28"/>
              </w:rPr>
              <w:t>3</w:t>
            </w:r>
          </w:p>
        </w:tc>
        <w:tc>
          <w:tcPr>
            <w:tcW w:w="1219" w:type="dxa"/>
          </w:tcPr>
          <w:p>
            <w:pPr>
              <w:pStyle w:val="TableParagraph"/>
              <w:rPr>
                <w:sz w:val="30"/>
              </w:rPr>
            </w:pPr>
          </w:p>
          <w:p>
            <w:pPr>
              <w:pStyle w:val="TableParagraph"/>
              <w:spacing w:before="3"/>
              <w:rPr>
                <w:sz w:val="25"/>
              </w:rPr>
            </w:pPr>
          </w:p>
          <w:p>
            <w:pPr>
              <w:pStyle w:val="TableParagraph"/>
              <w:spacing w:before="1"/>
              <w:ind w:left="378" w:right="369"/>
              <w:jc w:val="center"/>
              <w:rPr>
                <w:rFonts w:ascii="Times New Roman"/>
                <w:sz w:val="28"/>
              </w:rPr>
            </w:pPr>
            <w:r>
              <w:rPr>
                <w:rFonts w:ascii="Times New Roman"/>
                <w:sz w:val="28"/>
              </w:rPr>
              <w:t>40</w:t>
            </w:r>
          </w:p>
        </w:tc>
      </w:tr>
      <w:tr>
        <w:trPr>
          <w:trHeight w:val="582" w:hRule="atLeast"/>
        </w:trPr>
        <w:tc>
          <w:tcPr>
            <w:tcW w:w="1217" w:type="dxa"/>
          </w:tcPr>
          <w:p>
            <w:pPr>
              <w:pStyle w:val="TableParagraph"/>
              <w:tabs>
                <w:tab w:pos="666" w:val="left" w:leader="none"/>
              </w:tabs>
              <w:spacing w:before="115"/>
              <w:ind w:left="107"/>
              <w:rPr>
                <w:sz w:val="28"/>
              </w:rPr>
            </w:pPr>
            <w:r>
              <w:rPr>
                <w:sz w:val="28"/>
              </w:rPr>
              <w:t>合</w:t>
              <w:tab/>
              <w:t>计</w:t>
            </w:r>
          </w:p>
        </w:tc>
        <w:tc>
          <w:tcPr>
            <w:tcW w:w="1218" w:type="dxa"/>
          </w:tcPr>
          <w:p>
            <w:pPr>
              <w:pStyle w:val="TableParagraph"/>
              <w:spacing w:before="129"/>
              <w:ind w:left="6"/>
              <w:jc w:val="center"/>
              <w:rPr>
                <w:rFonts w:ascii="Times New Roman"/>
                <w:sz w:val="28"/>
              </w:rPr>
            </w:pPr>
            <w:r>
              <w:rPr>
                <w:rFonts w:ascii="Times New Roman"/>
                <w:w w:val="100"/>
                <w:sz w:val="28"/>
              </w:rPr>
              <w:t>4</w:t>
            </w:r>
          </w:p>
        </w:tc>
        <w:tc>
          <w:tcPr>
            <w:tcW w:w="1217" w:type="dxa"/>
          </w:tcPr>
          <w:p>
            <w:pPr>
              <w:pStyle w:val="TableParagraph"/>
              <w:spacing w:before="129"/>
              <w:ind w:left="536"/>
              <w:rPr>
                <w:rFonts w:ascii="Times New Roman"/>
                <w:sz w:val="28"/>
              </w:rPr>
            </w:pPr>
            <w:r>
              <w:rPr>
                <w:rFonts w:ascii="Times New Roman"/>
                <w:w w:val="100"/>
                <w:sz w:val="28"/>
              </w:rPr>
              <w:t>4</w:t>
            </w:r>
          </w:p>
        </w:tc>
        <w:tc>
          <w:tcPr>
            <w:tcW w:w="1217" w:type="dxa"/>
          </w:tcPr>
          <w:p>
            <w:pPr>
              <w:pStyle w:val="TableParagraph"/>
              <w:spacing w:before="129"/>
              <w:ind w:left="6"/>
              <w:jc w:val="center"/>
              <w:rPr>
                <w:rFonts w:ascii="Times New Roman"/>
                <w:sz w:val="28"/>
              </w:rPr>
            </w:pPr>
            <w:r>
              <w:rPr>
                <w:rFonts w:ascii="Times New Roman"/>
                <w:w w:val="100"/>
                <w:sz w:val="28"/>
              </w:rPr>
              <w:t>3</w:t>
            </w:r>
          </w:p>
        </w:tc>
        <w:tc>
          <w:tcPr>
            <w:tcW w:w="1219" w:type="dxa"/>
          </w:tcPr>
          <w:p>
            <w:pPr>
              <w:pStyle w:val="TableParagraph"/>
              <w:spacing w:before="129"/>
              <w:ind w:right="527"/>
              <w:jc w:val="right"/>
              <w:rPr>
                <w:rFonts w:ascii="Times New Roman"/>
                <w:sz w:val="28"/>
              </w:rPr>
            </w:pPr>
            <w:r>
              <w:rPr>
                <w:rFonts w:ascii="Times New Roman"/>
                <w:w w:val="100"/>
                <w:sz w:val="28"/>
              </w:rPr>
              <w:t>9</w:t>
            </w:r>
          </w:p>
        </w:tc>
        <w:tc>
          <w:tcPr>
            <w:tcW w:w="1217" w:type="dxa"/>
          </w:tcPr>
          <w:p>
            <w:pPr>
              <w:pStyle w:val="TableParagraph"/>
              <w:spacing w:before="129"/>
              <w:ind w:left="467"/>
              <w:rPr>
                <w:rFonts w:ascii="Times New Roman"/>
                <w:sz w:val="28"/>
              </w:rPr>
            </w:pPr>
            <w:r>
              <w:rPr>
                <w:rFonts w:ascii="Times New Roman"/>
                <w:sz w:val="28"/>
              </w:rPr>
              <w:t>18</w:t>
            </w:r>
          </w:p>
        </w:tc>
        <w:tc>
          <w:tcPr>
            <w:tcW w:w="1219" w:type="dxa"/>
          </w:tcPr>
          <w:p>
            <w:pPr>
              <w:pStyle w:val="TableParagraph"/>
              <w:spacing w:before="129"/>
              <w:ind w:left="378" w:right="371"/>
              <w:jc w:val="center"/>
              <w:rPr>
                <w:rFonts w:ascii="Times New Roman"/>
                <w:sz w:val="28"/>
              </w:rPr>
            </w:pPr>
            <w:r>
              <w:rPr>
                <w:rFonts w:ascii="Times New Roman"/>
                <w:sz w:val="28"/>
              </w:rPr>
              <w:t>245</w:t>
            </w:r>
          </w:p>
        </w:tc>
      </w:tr>
    </w:tbl>
    <w:sectPr>
      <w:pgSz w:w="11910" w:h="16840"/>
      <w:pgMar w:header="0" w:footer="1539" w:top="1580" w:bottom="1720" w:left="142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仿宋_GB2312">
    <w:altName w:val="仿宋_GB2312"/>
    <w:charset w:val="86"/>
    <w:family w:val="modern"/>
    <w:pitch w:val="fixed"/>
  </w:font>
  <w:font w:name="楷体">
    <w:altName w:val="楷体"/>
    <w:charset w:val="86"/>
    <w:family w:val="modern"/>
    <w:pitch w:val="fixed"/>
  </w:font>
  <w:font w:name="黑体">
    <w:altName w:val="黑体"/>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61.820007pt;margin-top:753.950378pt;width:44.15pt;height:16.05pt;mso-position-horizontal-relative:page;mso-position-vertical-relative:page;z-index:-252165120" type="#_x0000_t202" filled="false" stroked="false">
          <v:textbox inset="0,0,0,0">
            <w:txbxContent>
              <w:p>
                <w:pPr>
                  <w:spacing w:line="321" w:lineRule="exact" w:before="0"/>
                  <w:ind w:left="20" w:right="0" w:firstLine="0"/>
                  <w:jc w:val="left"/>
                  <w:rPr>
                    <w:rFonts w:ascii="宋体" w:hAnsi="宋体"/>
                    <w:sz w:val="28"/>
                  </w:rPr>
                </w:pPr>
                <w:r>
                  <w:rPr>
                    <w:rFonts w:ascii="宋体" w:hAnsi="宋体"/>
                    <w:sz w:val="28"/>
                  </w:rPr>
                  <w:t>—</w:t>
                </w:r>
                <w:r>
                  <w:rPr/>
                  <w:fldChar w:fldCharType="begin"/>
                </w:r>
                <w:r>
                  <w:rPr>
                    <w:rFonts w:ascii="宋体" w:hAnsi="宋体"/>
                    <w:sz w:val="28"/>
                  </w:rPr>
                  <w:instrText> PAGE </w:instrText>
                </w:r>
                <w:r>
                  <w:rPr/>
                  <w:fldChar w:fldCharType="separate"/>
                </w:r>
                <w:r>
                  <w:rPr/>
                  <w:t>11</w:t>
                </w:r>
                <w:r>
                  <w:rPr/>
                  <w:fldChar w:fldCharType="end"/>
                </w:r>
                <w:r>
                  <w:rPr>
                    <w:rFonts w:ascii="宋体" w:hAnsi="宋体"/>
                    <w:sz w:val="28"/>
                  </w:rPr>
                  <w:t>—</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624001pt;margin-top:753.950378pt;width:44.15pt;height:16.05pt;mso-position-horizontal-relative:page;mso-position-vertical-relative:page;z-index:-252164096" type="#_x0000_t202" filled="false" stroked="false">
          <v:textbox inset="0,0,0,0">
            <w:txbxContent>
              <w:p>
                <w:pPr>
                  <w:spacing w:line="321" w:lineRule="exact" w:before="0"/>
                  <w:ind w:left="20" w:right="0" w:firstLine="0"/>
                  <w:jc w:val="left"/>
                  <w:rPr>
                    <w:rFonts w:ascii="宋体" w:hAnsi="宋体"/>
                    <w:sz w:val="28"/>
                  </w:rPr>
                </w:pPr>
                <w:r>
                  <w:rPr>
                    <w:rFonts w:ascii="宋体" w:hAnsi="宋体"/>
                    <w:sz w:val="28"/>
                  </w:rPr>
                  <w:t>—</w:t>
                </w:r>
                <w:r>
                  <w:rPr/>
                  <w:fldChar w:fldCharType="begin"/>
                </w:r>
                <w:r>
                  <w:rPr>
                    <w:rFonts w:ascii="宋体" w:hAnsi="宋体"/>
                    <w:sz w:val="28"/>
                  </w:rPr>
                  <w:instrText> PAGE </w:instrText>
                </w:r>
                <w:r>
                  <w:rPr/>
                  <w:fldChar w:fldCharType="separate"/>
                </w:r>
                <w:r>
                  <w:rPr/>
                  <w:t>10</w:t>
                </w:r>
                <w:r>
                  <w:rPr/>
                  <w:fldChar w:fldCharType="end"/>
                </w:r>
                <w:r>
                  <w:rPr>
                    <w:rFonts w:ascii="宋体" w:hAnsi="宋体"/>
                    <w:sz w:val="28"/>
                  </w:rPr>
                  <w:t>—</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11" w:hanging="485"/>
        <w:jc w:val="left"/>
      </w:pPr>
      <w:rPr>
        <w:rFonts w:hint="default" w:ascii="Times New Roman" w:hAnsi="Times New Roman" w:eastAsia="Times New Roman" w:cs="Times New Roman"/>
        <w:spacing w:val="1"/>
        <w:w w:val="99"/>
        <w:sz w:val="30"/>
        <w:szCs w:val="30"/>
        <w:lang w:val="zh-CN" w:eastAsia="zh-CN" w:bidi="zh-CN"/>
      </w:rPr>
    </w:lvl>
    <w:lvl w:ilvl="1">
      <w:start w:val="0"/>
      <w:numFmt w:val="bullet"/>
      <w:lvlText w:val="•"/>
      <w:lvlJc w:val="left"/>
      <w:pPr>
        <w:ind w:left="1030" w:hanging="485"/>
      </w:pPr>
      <w:rPr>
        <w:rFonts w:hint="default"/>
        <w:lang w:val="zh-CN" w:eastAsia="zh-CN" w:bidi="zh-CN"/>
      </w:rPr>
    </w:lvl>
    <w:lvl w:ilvl="2">
      <w:start w:val="0"/>
      <w:numFmt w:val="bullet"/>
      <w:lvlText w:val="•"/>
      <w:lvlJc w:val="left"/>
      <w:pPr>
        <w:ind w:left="1941" w:hanging="485"/>
      </w:pPr>
      <w:rPr>
        <w:rFonts w:hint="default"/>
        <w:lang w:val="zh-CN" w:eastAsia="zh-CN" w:bidi="zh-CN"/>
      </w:rPr>
    </w:lvl>
    <w:lvl w:ilvl="3">
      <w:start w:val="0"/>
      <w:numFmt w:val="bullet"/>
      <w:lvlText w:val="•"/>
      <w:lvlJc w:val="left"/>
      <w:pPr>
        <w:ind w:left="2851" w:hanging="485"/>
      </w:pPr>
      <w:rPr>
        <w:rFonts w:hint="default"/>
        <w:lang w:val="zh-CN" w:eastAsia="zh-CN" w:bidi="zh-CN"/>
      </w:rPr>
    </w:lvl>
    <w:lvl w:ilvl="4">
      <w:start w:val="0"/>
      <w:numFmt w:val="bullet"/>
      <w:lvlText w:val="•"/>
      <w:lvlJc w:val="left"/>
      <w:pPr>
        <w:ind w:left="3762" w:hanging="485"/>
      </w:pPr>
      <w:rPr>
        <w:rFonts w:hint="default"/>
        <w:lang w:val="zh-CN" w:eastAsia="zh-CN" w:bidi="zh-CN"/>
      </w:rPr>
    </w:lvl>
    <w:lvl w:ilvl="5">
      <w:start w:val="0"/>
      <w:numFmt w:val="bullet"/>
      <w:lvlText w:val="•"/>
      <w:lvlJc w:val="left"/>
      <w:pPr>
        <w:ind w:left="4673" w:hanging="485"/>
      </w:pPr>
      <w:rPr>
        <w:rFonts w:hint="default"/>
        <w:lang w:val="zh-CN" w:eastAsia="zh-CN" w:bidi="zh-CN"/>
      </w:rPr>
    </w:lvl>
    <w:lvl w:ilvl="6">
      <w:start w:val="0"/>
      <w:numFmt w:val="bullet"/>
      <w:lvlText w:val="•"/>
      <w:lvlJc w:val="left"/>
      <w:pPr>
        <w:ind w:left="5583" w:hanging="485"/>
      </w:pPr>
      <w:rPr>
        <w:rFonts w:hint="default"/>
        <w:lang w:val="zh-CN" w:eastAsia="zh-CN" w:bidi="zh-CN"/>
      </w:rPr>
    </w:lvl>
    <w:lvl w:ilvl="7">
      <w:start w:val="0"/>
      <w:numFmt w:val="bullet"/>
      <w:lvlText w:val="•"/>
      <w:lvlJc w:val="left"/>
      <w:pPr>
        <w:ind w:left="6494" w:hanging="485"/>
      </w:pPr>
      <w:rPr>
        <w:rFonts w:hint="default"/>
        <w:lang w:val="zh-CN" w:eastAsia="zh-CN" w:bidi="zh-CN"/>
      </w:rPr>
    </w:lvl>
    <w:lvl w:ilvl="8">
      <w:start w:val="0"/>
      <w:numFmt w:val="bullet"/>
      <w:lvlText w:val="•"/>
      <w:lvlJc w:val="left"/>
      <w:pPr>
        <w:ind w:left="7405" w:hanging="485"/>
      </w:pPr>
      <w:rPr>
        <w:rFonts w:hint="default"/>
        <w:lang w:val="zh-CN" w:eastAsia="zh-CN" w:bidi="zh-CN"/>
      </w:rPr>
    </w:lvl>
  </w:abstractNum>
  <w:abstractNum w:abstractNumId="1">
    <w:multiLevelType w:val="hybridMultilevel"/>
    <w:lvl w:ilvl="0">
      <w:start w:val="1"/>
      <w:numFmt w:val="decimal"/>
      <w:lvlText w:val="%1."/>
      <w:lvlJc w:val="left"/>
      <w:pPr>
        <w:ind w:left="111" w:hanging="488"/>
        <w:jc w:val="left"/>
      </w:pPr>
      <w:rPr>
        <w:rFonts w:hint="default" w:ascii="Times New Roman" w:hAnsi="Times New Roman" w:eastAsia="Times New Roman" w:cs="Times New Roman"/>
        <w:spacing w:val="3"/>
        <w:w w:val="99"/>
        <w:sz w:val="30"/>
        <w:szCs w:val="30"/>
        <w:lang w:val="zh-CN" w:eastAsia="zh-CN" w:bidi="zh-CN"/>
      </w:rPr>
    </w:lvl>
    <w:lvl w:ilvl="1">
      <w:start w:val="0"/>
      <w:numFmt w:val="bullet"/>
      <w:lvlText w:val="•"/>
      <w:lvlJc w:val="left"/>
      <w:pPr>
        <w:ind w:left="1030" w:hanging="488"/>
      </w:pPr>
      <w:rPr>
        <w:rFonts w:hint="default"/>
        <w:lang w:val="zh-CN" w:eastAsia="zh-CN" w:bidi="zh-CN"/>
      </w:rPr>
    </w:lvl>
    <w:lvl w:ilvl="2">
      <w:start w:val="0"/>
      <w:numFmt w:val="bullet"/>
      <w:lvlText w:val="•"/>
      <w:lvlJc w:val="left"/>
      <w:pPr>
        <w:ind w:left="1941" w:hanging="488"/>
      </w:pPr>
      <w:rPr>
        <w:rFonts w:hint="default"/>
        <w:lang w:val="zh-CN" w:eastAsia="zh-CN" w:bidi="zh-CN"/>
      </w:rPr>
    </w:lvl>
    <w:lvl w:ilvl="3">
      <w:start w:val="0"/>
      <w:numFmt w:val="bullet"/>
      <w:lvlText w:val="•"/>
      <w:lvlJc w:val="left"/>
      <w:pPr>
        <w:ind w:left="2851" w:hanging="488"/>
      </w:pPr>
      <w:rPr>
        <w:rFonts w:hint="default"/>
        <w:lang w:val="zh-CN" w:eastAsia="zh-CN" w:bidi="zh-CN"/>
      </w:rPr>
    </w:lvl>
    <w:lvl w:ilvl="4">
      <w:start w:val="0"/>
      <w:numFmt w:val="bullet"/>
      <w:lvlText w:val="•"/>
      <w:lvlJc w:val="left"/>
      <w:pPr>
        <w:ind w:left="3762" w:hanging="488"/>
      </w:pPr>
      <w:rPr>
        <w:rFonts w:hint="default"/>
        <w:lang w:val="zh-CN" w:eastAsia="zh-CN" w:bidi="zh-CN"/>
      </w:rPr>
    </w:lvl>
    <w:lvl w:ilvl="5">
      <w:start w:val="0"/>
      <w:numFmt w:val="bullet"/>
      <w:lvlText w:val="•"/>
      <w:lvlJc w:val="left"/>
      <w:pPr>
        <w:ind w:left="4673" w:hanging="488"/>
      </w:pPr>
      <w:rPr>
        <w:rFonts w:hint="default"/>
        <w:lang w:val="zh-CN" w:eastAsia="zh-CN" w:bidi="zh-CN"/>
      </w:rPr>
    </w:lvl>
    <w:lvl w:ilvl="6">
      <w:start w:val="0"/>
      <w:numFmt w:val="bullet"/>
      <w:lvlText w:val="•"/>
      <w:lvlJc w:val="left"/>
      <w:pPr>
        <w:ind w:left="5583" w:hanging="488"/>
      </w:pPr>
      <w:rPr>
        <w:rFonts w:hint="default"/>
        <w:lang w:val="zh-CN" w:eastAsia="zh-CN" w:bidi="zh-CN"/>
      </w:rPr>
    </w:lvl>
    <w:lvl w:ilvl="7">
      <w:start w:val="0"/>
      <w:numFmt w:val="bullet"/>
      <w:lvlText w:val="•"/>
      <w:lvlJc w:val="left"/>
      <w:pPr>
        <w:ind w:left="6494" w:hanging="488"/>
      </w:pPr>
      <w:rPr>
        <w:rFonts w:hint="default"/>
        <w:lang w:val="zh-CN" w:eastAsia="zh-CN" w:bidi="zh-CN"/>
      </w:rPr>
    </w:lvl>
    <w:lvl w:ilvl="8">
      <w:start w:val="0"/>
      <w:numFmt w:val="bullet"/>
      <w:lvlText w:val="•"/>
      <w:lvlJc w:val="left"/>
      <w:pPr>
        <w:ind w:left="7405" w:hanging="488"/>
      </w:pPr>
      <w:rPr>
        <w:rFonts w:hint="default"/>
        <w:lang w:val="zh-CN" w:eastAsia="zh-CN" w:bidi="zh-CN"/>
      </w:rPr>
    </w:lvl>
  </w:abstractNum>
  <w:abstractNum w:abstractNumId="0">
    <w:multiLevelType w:val="hybridMultilevel"/>
    <w:lvl w:ilvl="0">
      <w:start w:val="1"/>
      <w:numFmt w:val="decimal"/>
      <w:lvlText w:val="%1."/>
      <w:lvlJc w:val="left"/>
      <w:pPr>
        <w:ind w:left="111" w:hanging="481"/>
        <w:jc w:val="left"/>
      </w:pPr>
      <w:rPr>
        <w:rFonts w:hint="default" w:ascii="Times New Roman" w:hAnsi="Times New Roman" w:eastAsia="Times New Roman" w:cs="Times New Roman"/>
        <w:spacing w:val="-24"/>
        <w:w w:val="99"/>
        <w:sz w:val="30"/>
        <w:szCs w:val="30"/>
        <w:lang w:val="zh-CN" w:eastAsia="zh-CN" w:bidi="zh-CN"/>
      </w:rPr>
    </w:lvl>
    <w:lvl w:ilvl="1">
      <w:start w:val="0"/>
      <w:numFmt w:val="bullet"/>
      <w:lvlText w:val="•"/>
      <w:lvlJc w:val="left"/>
      <w:pPr>
        <w:ind w:left="1030" w:hanging="481"/>
      </w:pPr>
      <w:rPr>
        <w:rFonts w:hint="default"/>
        <w:lang w:val="zh-CN" w:eastAsia="zh-CN" w:bidi="zh-CN"/>
      </w:rPr>
    </w:lvl>
    <w:lvl w:ilvl="2">
      <w:start w:val="0"/>
      <w:numFmt w:val="bullet"/>
      <w:lvlText w:val="•"/>
      <w:lvlJc w:val="left"/>
      <w:pPr>
        <w:ind w:left="1941" w:hanging="481"/>
      </w:pPr>
      <w:rPr>
        <w:rFonts w:hint="default"/>
        <w:lang w:val="zh-CN" w:eastAsia="zh-CN" w:bidi="zh-CN"/>
      </w:rPr>
    </w:lvl>
    <w:lvl w:ilvl="3">
      <w:start w:val="0"/>
      <w:numFmt w:val="bullet"/>
      <w:lvlText w:val="•"/>
      <w:lvlJc w:val="left"/>
      <w:pPr>
        <w:ind w:left="2851" w:hanging="481"/>
      </w:pPr>
      <w:rPr>
        <w:rFonts w:hint="default"/>
        <w:lang w:val="zh-CN" w:eastAsia="zh-CN" w:bidi="zh-CN"/>
      </w:rPr>
    </w:lvl>
    <w:lvl w:ilvl="4">
      <w:start w:val="0"/>
      <w:numFmt w:val="bullet"/>
      <w:lvlText w:val="•"/>
      <w:lvlJc w:val="left"/>
      <w:pPr>
        <w:ind w:left="3762" w:hanging="481"/>
      </w:pPr>
      <w:rPr>
        <w:rFonts w:hint="default"/>
        <w:lang w:val="zh-CN" w:eastAsia="zh-CN" w:bidi="zh-CN"/>
      </w:rPr>
    </w:lvl>
    <w:lvl w:ilvl="5">
      <w:start w:val="0"/>
      <w:numFmt w:val="bullet"/>
      <w:lvlText w:val="•"/>
      <w:lvlJc w:val="left"/>
      <w:pPr>
        <w:ind w:left="4673" w:hanging="481"/>
      </w:pPr>
      <w:rPr>
        <w:rFonts w:hint="default"/>
        <w:lang w:val="zh-CN" w:eastAsia="zh-CN" w:bidi="zh-CN"/>
      </w:rPr>
    </w:lvl>
    <w:lvl w:ilvl="6">
      <w:start w:val="0"/>
      <w:numFmt w:val="bullet"/>
      <w:lvlText w:val="•"/>
      <w:lvlJc w:val="left"/>
      <w:pPr>
        <w:ind w:left="5583" w:hanging="481"/>
      </w:pPr>
      <w:rPr>
        <w:rFonts w:hint="default"/>
        <w:lang w:val="zh-CN" w:eastAsia="zh-CN" w:bidi="zh-CN"/>
      </w:rPr>
    </w:lvl>
    <w:lvl w:ilvl="7">
      <w:start w:val="0"/>
      <w:numFmt w:val="bullet"/>
      <w:lvlText w:val="•"/>
      <w:lvlJc w:val="left"/>
      <w:pPr>
        <w:ind w:left="6494" w:hanging="481"/>
      </w:pPr>
      <w:rPr>
        <w:rFonts w:hint="default"/>
        <w:lang w:val="zh-CN" w:eastAsia="zh-CN" w:bidi="zh-CN"/>
      </w:rPr>
    </w:lvl>
    <w:lvl w:ilvl="8">
      <w:start w:val="0"/>
      <w:numFmt w:val="bullet"/>
      <w:lvlText w:val="•"/>
      <w:lvlJc w:val="left"/>
      <w:pPr>
        <w:ind w:left="7405" w:hanging="481"/>
      </w:pPr>
      <w:rPr>
        <w:rFonts w:hint="default"/>
        <w:lang w:val="zh-CN" w:eastAsia="zh-CN" w:bidi="zh-CN"/>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_GB2312" w:hAnsi="仿宋_GB2312" w:eastAsia="仿宋_GB2312" w:cs="仿宋_GB2312"/>
      <w:lang w:val="zh-CN" w:eastAsia="zh-CN" w:bidi="zh-CN"/>
    </w:rPr>
  </w:style>
  <w:style w:styleId="BodyText" w:type="paragraph">
    <w:name w:val="Body Text"/>
    <w:basedOn w:val="Normal"/>
    <w:uiPriority w:val="1"/>
    <w:qFormat/>
    <w:pPr/>
    <w:rPr>
      <w:rFonts w:ascii="仿宋_GB2312" w:hAnsi="仿宋_GB2312" w:eastAsia="仿宋_GB2312" w:cs="仿宋_GB2312"/>
      <w:sz w:val="32"/>
      <w:szCs w:val="32"/>
      <w:lang w:val="zh-CN" w:eastAsia="zh-CN" w:bidi="zh-CN"/>
    </w:rPr>
  </w:style>
  <w:style w:styleId="ListParagraph" w:type="paragraph">
    <w:name w:val="List Paragraph"/>
    <w:basedOn w:val="Normal"/>
    <w:uiPriority w:val="1"/>
    <w:qFormat/>
    <w:pPr>
      <w:spacing w:before="190"/>
      <w:ind w:left="111" w:right="264" w:firstLine="640"/>
    </w:pPr>
    <w:rPr>
      <w:rFonts w:ascii="仿宋_GB2312" w:hAnsi="仿宋_GB2312" w:eastAsia="仿宋_GB2312" w:cs="仿宋_GB2312"/>
      <w:lang w:val="zh-CN" w:eastAsia="zh-CN" w:bidi="zh-CN"/>
    </w:rPr>
  </w:style>
  <w:style w:styleId="TableParagraph" w:type="paragraph">
    <w:name w:val="Table Paragraph"/>
    <w:basedOn w:val="Normal"/>
    <w:uiPriority w:val="1"/>
    <w:qFormat/>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番茄花园</dc:creator>
  <dc:title>景德镇市乡级土地利用总体规划审查报批办法</dc:title>
  <dcterms:created xsi:type="dcterms:W3CDTF">2022-10-17T07:04:06Z</dcterms:created>
  <dcterms:modified xsi:type="dcterms:W3CDTF">2022-10-17T07:04:06Z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2018-12-05T00:00:00Z</vt:filetime>
  </property>
  <property fmtid="{D5CDD505-2E9C-101B-9397-08002B2CF9AE}" pid="3" name="Creator">
    <vt:lpwstr>Microsoft? Office Word 2007</vt:lpwstr>
  </property>
  <property fmtid="{D5CDD505-2E9C-101B-9397-08002B2CF9AE}" pid="4" name="LastSaved">
    <vt:filetime>2022-10-17T00:00:00Z</vt:filetime>
  </property>
</Properties>
</file>