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简体" w:hAnsi="方正小标宋_GBK" w:eastAsia="方正小标宋简体"/>
          <w:b w:val="0"/>
          <w:bCs w:val="0"/>
        </w:rPr>
      </w:pPr>
      <w:bookmarkStart w:id="1" w:name="_GoBack"/>
      <w:bookmarkStart w:id="0" w:name="_Toc24724722"/>
      <w:r>
        <w:rPr>
          <w:rFonts w:hint="eastAsia" w:ascii="方正小标宋简体" w:hAnsi="方正小标宋_GBK" w:eastAsia="方正小标宋简体"/>
          <w:b w:val="0"/>
          <w:bCs w:val="0"/>
        </w:rPr>
        <w:t>珠山区涉农补贴领域基层政务公开标准目录</w:t>
      </w:r>
      <w:bookmarkEnd w:id="0"/>
    </w:p>
    <w:bookmarkEnd w:id="1"/>
    <w:tbl>
      <w:tblPr>
        <w:tblStyle w:val="3"/>
        <w:tblW w:w="15300" w:type="dxa"/>
        <w:tblInd w:w="-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900"/>
        <w:gridCol w:w="2340"/>
        <w:gridCol w:w="2880"/>
        <w:gridCol w:w="1260"/>
        <w:gridCol w:w="1260"/>
        <w:gridCol w:w="1440"/>
        <w:gridCol w:w="720"/>
        <w:gridCol w:w="709"/>
        <w:gridCol w:w="11"/>
        <w:gridCol w:w="540"/>
        <w:gridCol w:w="720"/>
        <w:gridCol w:w="720"/>
        <w:gridCol w:w="5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Times New Roman" w:eastAsia="黑体"/>
                <w:kern w:val="0"/>
                <w:sz w:val="22"/>
              </w:rPr>
            </w:pPr>
            <w:r>
              <w:rPr>
                <w:rFonts w:hint="eastAsia" w:ascii="黑体" w:hAnsi="宋体" w:eastAsia="黑体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公开内容（要素）</w:t>
            </w:r>
          </w:p>
        </w:tc>
        <w:tc>
          <w:tcPr>
            <w:tcW w:w="2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公开时限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Times New Roman" w:eastAsia="黑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2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县级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乡级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农业生产发展资金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耕地地力保护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政策依据；</w:t>
            </w:r>
          </w:p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申请指南：包括补贴对象、补贴范围、补贴标准、申请程序、申请材料、咨询电话、受理单位、办理时限、联系方式等；</w:t>
            </w:r>
          </w:p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补贴结果；</w:t>
            </w:r>
          </w:p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监督渠道：包括举报电话、地址等。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《农业生产发展资金管理办法》、《财政部 农业部关于全面推开农业“三项补贴”改革工作的通知》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信息形成或者变更之日起20个工作日内。法律、法规对政府信息公开的期限另有规定的，从其规定。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珠山区农业农村和水利局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</w:t>
            </w:r>
          </w:p>
          <w:p>
            <w:pPr>
              <w:spacing w:line="24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　</w:t>
            </w:r>
          </w:p>
        </w:tc>
      </w:tr>
      <w:tr>
        <w:trPr>
          <w:cantSplit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动物防疫等补助经费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强制扑杀、强制免疫和养殖环节无害化处理补助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政策依据；</w:t>
            </w:r>
          </w:p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申请指南：包括补贴对象、补贴范围、补贴标准、申请程序、申请材料、咨询电话、受理单位、办理时限、联系方式等；</w:t>
            </w:r>
          </w:p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补贴结果；</w:t>
            </w:r>
          </w:p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监督渠道：包括举报电话、地址等。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《动物防疫法》、《动物防疫等补助经费管理办法》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信息形成或者变更之日起20个工作日内。法律、法规对政府信息公开的期限另有规定的，从其规定。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珠山区农业农村和水利局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■政府网站 </w:t>
            </w:r>
          </w:p>
          <w:p>
            <w:pPr>
              <w:spacing w:line="24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 w:val="18"/>
                <w:szCs w:val="18"/>
              </w:rPr>
              <w:t>　</w:t>
            </w:r>
          </w:p>
        </w:tc>
      </w:tr>
    </w:tbl>
    <w:p>
      <w:pPr>
        <w:jc w:val="center"/>
        <w:rPr>
          <w:rFonts w:ascii="Times New Roman" w:hAnsi="Times New Roman" w:eastAsia="方正小标宋_GBK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2054E"/>
    <w:rsid w:val="00A6238E"/>
    <w:rsid w:val="00CA4C38"/>
    <w:rsid w:val="2B314ACA"/>
    <w:rsid w:val="3D6A512F"/>
    <w:rsid w:val="5942054E"/>
    <w:rsid w:val="6CD35232"/>
    <w:rsid w:val="7484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84</Words>
  <Characters>481</Characters>
  <Lines>4</Lines>
  <Paragraphs>1</Paragraphs>
  <TotalTime>0</TotalTime>
  <ScaleCrop>false</ScaleCrop>
  <LinksUpToDate>false</LinksUpToDate>
  <CharactersWithSpaces>564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2020-12-14T04:59:00Z</dcterms:created>
  <dc:creator>Freya</dc:creator>
  <cp:lastModifiedBy>WPS_1619320334</cp:lastModifiedBy>
  <dcterms:modified xsi:type="dcterms:W3CDTF">2022-01-10T02:28:17Z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A7AB6099F15747659F21F9843A6F1966</vt:lpwstr>
  </property>
</Properties>
</file>