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15E32">
      <w:pPr>
        <w:pStyle w:val="2"/>
        <w:jc w:val="center"/>
        <w:rPr>
          <w:rFonts w:hint="eastAsia" w:ascii="方正小标宋简体" w:hAnsi="方正小标宋_GBK" w:eastAsia="方正小标宋简体"/>
          <w:b w:val="0"/>
          <w:bCs w:val="0"/>
        </w:rPr>
      </w:pPr>
      <w:bookmarkStart w:id="1" w:name="_GoBack"/>
      <w:bookmarkEnd w:id="1"/>
      <w:bookmarkStart w:id="0" w:name="_Toc24724710"/>
      <w:r>
        <w:rPr>
          <w:rFonts w:hint="eastAsia" w:ascii="方正小标宋简体" w:hAnsi="方正小标宋_GBK" w:eastAsia="方正小标宋简体"/>
          <w:b w:val="0"/>
          <w:bCs w:val="0"/>
        </w:rPr>
        <w:t>珠山区公共法律服务领域基层政务公开标准目录</w:t>
      </w:r>
      <w:bookmarkEnd w:id="0"/>
    </w:p>
    <w:tbl>
      <w:tblPr>
        <w:tblStyle w:val="3"/>
        <w:tblW w:w="15480" w:type="dxa"/>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900"/>
        <w:gridCol w:w="1440"/>
        <w:gridCol w:w="1810"/>
        <w:gridCol w:w="2835"/>
        <w:gridCol w:w="1559"/>
        <w:gridCol w:w="1134"/>
        <w:gridCol w:w="1302"/>
        <w:gridCol w:w="540"/>
        <w:gridCol w:w="900"/>
        <w:gridCol w:w="540"/>
        <w:gridCol w:w="720"/>
        <w:gridCol w:w="540"/>
        <w:gridCol w:w="720"/>
      </w:tblGrid>
      <w:tr w14:paraId="40C7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restart"/>
            <w:shd w:val="clear" w:color="auto" w:fill="auto"/>
            <w:vAlign w:val="center"/>
          </w:tcPr>
          <w:p w14:paraId="792A0513">
            <w:pPr>
              <w:widowControl/>
              <w:jc w:val="center"/>
              <w:rPr>
                <w:rFonts w:ascii="Times New Roman" w:hAnsi="Times New Roman"/>
                <w:color w:val="000000"/>
                <w:kern w:val="0"/>
                <w:sz w:val="22"/>
              </w:rPr>
            </w:pPr>
            <w:r>
              <w:rPr>
                <w:rFonts w:ascii="Times New Roman" w:hAnsi="宋体"/>
                <w:color w:val="000000"/>
                <w:kern w:val="0"/>
                <w:sz w:val="22"/>
              </w:rPr>
              <w:t>序号</w:t>
            </w:r>
          </w:p>
        </w:tc>
        <w:tc>
          <w:tcPr>
            <w:tcW w:w="2340" w:type="dxa"/>
            <w:gridSpan w:val="2"/>
            <w:shd w:val="clear" w:color="auto" w:fill="auto"/>
            <w:vAlign w:val="center"/>
          </w:tcPr>
          <w:p w14:paraId="250F19B1">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1810" w:type="dxa"/>
            <w:vMerge w:val="restart"/>
            <w:shd w:val="clear" w:color="auto" w:fill="auto"/>
            <w:vAlign w:val="center"/>
          </w:tcPr>
          <w:p w14:paraId="728D8F50">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2835" w:type="dxa"/>
            <w:vMerge w:val="restart"/>
            <w:shd w:val="clear" w:color="auto" w:fill="auto"/>
            <w:vAlign w:val="center"/>
          </w:tcPr>
          <w:p w14:paraId="00285525">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559" w:type="dxa"/>
            <w:vMerge w:val="restart"/>
            <w:shd w:val="clear" w:color="auto" w:fill="auto"/>
            <w:vAlign w:val="center"/>
          </w:tcPr>
          <w:p w14:paraId="02FF2FA2">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134" w:type="dxa"/>
            <w:vMerge w:val="restart"/>
            <w:shd w:val="clear" w:color="auto" w:fill="auto"/>
            <w:vAlign w:val="center"/>
          </w:tcPr>
          <w:p w14:paraId="724C2C2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302" w:type="dxa"/>
            <w:vMerge w:val="restart"/>
            <w:shd w:val="clear" w:color="auto" w:fill="auto"/>
            <w:vAlign w:val="center"/>
          </w:tcPr>
          <w:p w14:paraId="67D93B0E">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40" w:type="dxa"/>
            <w:gridSpan w:val="2"/>
            <w:shd w:val="clear" w:color="auto" w:fill="auto"/>
            <w:vAlign w:val="center"/>
          </w:tcPr>
          <w:p w14:paraId="5F7BC84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60" w:type="dxa"/>
            <w:gridSpan w:val="2"/>
            <w:shd w:val="clear" w:color="auto" w:fill="auto"/>
            <w:vAlign w:val="center"/>
          </w:tcPr>
          <w:p w14:paraId="27624BB3">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260" w:type="dxa"/>
            <w:gridSpan w:val="2"/>
            <w:shd w:val="clear" w:color="auto" w:fill="auto"/>
            <w:vAlign w:val="center"/>
          </w:tcPr>
          <w:p w14:paraId="6F36E9C3">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14:paraId="00A5D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vMerge w:val="continue"/>
            <w:shd w:val="clear" w:color="auto" w:fill="auto"/>
            <w:vAlign w:val="center"/>
          </w:tcPr>
          <w:p w14:paraId="08915A7A">
            <w:pPr>
              <w:widowControl/>
              <w:jc w:val="left"/>
              <w:rPr>
                <w:rFonts w:ascii="Times New Roman" w:hAnsi="Times New Roman"/>
                <w:color w:val="000000"/>
                <w:kern w:val="0"/>
                <w:sz w:val="22"/>
              </w:rPr>
            </w:pPr>
          </w:p>
        </w:tc>
        <w:tc>
          <w:tcPr>
            <w:tcW w:w="900" w:type="dxa"/>
            <w:shd w:val="clear" w:color="auto" w:fill="auto"/>
            <w:vAlign w:val="center"/>
          </w:tcPr>
          <w:p w14:paraId="10ABDD2C">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440" w:type="dxa"/>
            <w:shd w:val="clear" w:color="auto" w:fill="auto"/>
            <w:vAlign w:val="center"/>
          </w:tcPr>
          <w:p w14:paraId="0D35D93C">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1810" w:type="dxa"/>
            <w:vMerge w:val="continue"/>
            <w:shd w:val="clear" w:color="auto" w:fill="auto"/>
            <w:vAlign w:val="center"/>
          </w:tcPr>
          <w:p w14:paraId="378A957A">
            <w:pPr>
              <w:widowControl/>
              <w:jc w:val="left"/>
              <w:rPr>
                <w:rFonts w:ascii="黑体" w:hAnsi="宋体" w:eastAsia="黑体" w:cs="宋体"/>
                <w:color w:val="000000"/>
                <w:kern w:val="0"/>
                <w:sz w:val="22"/>
              </w:rPr>
            </w:pPr>
          </w:p>
        </w:tc>
        <w:tc>
          <w:tcPr>
            <w:tcW w:w="2835" w:type="dxa"/>
            <w:vMerge w:val="continue"/>
            <w:shd w:val="clear" w:color="auto" w:fill="auto"/>
            <w:vAlign w:val="center"/>
          </w:tcPr>
          <w:p w14:paraId="6A5384AC">
            <w:pPr>
              <w:widowControl/>
              <w:jc w:val="left"/>
              <w:rPr>
                <w:rFonts w:ascii="黑体" w:hAnsi="宋体" w:eastAsia="黑体" w:cs="宋体"/>
                <w:color w:val="000000"/>
                <w:kern w:val="0"/>
                <w:sz w:val="22"/>
              </w:rPr>
            </w:pPr>
          </w:p>
        </w:tc>
        <w:tc>
          <w:tcPr>
            <w:tcW w:w="1559" w:type="dxa"/>
            <w:vMerge w:val="continue"/>
            <w:shd w:val="clear" w:color="auto" w:fill="auto"/>
            <w:vAlign w:val="center"/>
          </w:tcPr>
          <w:p w14:paraId="19D5FA16">
            <w:pPr>
              <w:widowControl/>
              <w:jc w:val="left"/>
              <w:rPr>
                <w:rFonts w:ascii="黑体" w:hAnsi="宋体" w:eastAsia="黑体" w:cs="宋体"/>
                <w:color w:val="000000"/>
                <w:kern w:val="0"/>
                <w:sz w:val="22"/>
              </w:rPr>
            </w:pPr>
          </w:p>
        </w:tc>
        <w:tc>
          <w:tcPr>
            <w:tcW w:w="1134" w:type="dxa"/>
            <w:vMerge w:val="continue"/>
            <w:shd w:val="clear" w:color="auto" w:fill="auto"/>
            <w:vAlign w:val="center"/>
          </w:tcPr>
          <w:p w14:paraId="299BBFE8">
            <w:pPr>
              <w:widowControl/>
              <w:jc w:val="left"/>
              <w:rPr>
                <w:rFonts w:ascii="黑体" w:hAnsi="宋体" w:eastAsia="黑体" w:cs="宋体"/>
                <w:color w:val="000000"/>
                <w:kern w:val="0"/>
                <w:sz w:val="22"/>
              </w:rPr>
            </w:pPr>
          </w:p>
        </w:tc>
        <w:tc>
          <w:tcPr>
            <w:tcW w:w="1302" w:type="dxa"/>
            <w:vMerge w:val="continue"/>
            <w:shd w:val="clear" w:color="auto" w:fill="auto"/>
            <w:vAlign w:val="center"/>
          </w:tcPr>
          <w:p w14:paraId="18BE0322">
            <w:pPr>
              <w:widowControl/>
              <w:jc w:val="left"/>
              <w:rPr>
                <w:rFonts w:ascii="黑体" w:hAnsi="宋体" w:eastAsia="黑体" w:cs="宋体"/>
                <w:kern w:val="0"/>
                <w:sz w:val="22"/>
              </w:rPr>
            </w:pPr>
          </w:p>
        </w:tc>
        <w:tc>
          <w:tcPr>
            <w:tcW w:w="540" w:type="dxa"/>
            <w:shd w:val="clear" w:color="auto" w:fill="auto"/>
            <w:vAlign w:val="center"/>
          </w:tcPr>
          <w:p w14:paraId="2AAB0C9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900" w:type="dxa"/>
            <w:shd w:val="clear" w:color="auto" w:fill="auto"/>
            <w:vAlign w:val="center"/>
          </w:tcPr>
          <w:p w14:paraId="5921195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40" w:type="dxa"/>
            <w:shd w:val="clear" w:color="auto" w:fill="auto"/>
            <w:vAlign w:val="center"/>
          </w:tcPr>
          <w:p w14:paraId="3A931975">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shd w:val="clear" w:color="auto" w:fill="auto"/>
            <w:vAlign w:val="center"/>
          </w:tcPr>
          <w:p w14:paraId="6F9AEE61">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shd w:val="clear" w:color="auto" w:fill="auto"/>
            <w:vAlign w:val="center"/>
          </w:tcPr>
          <w:p w14:paraId="1215243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shd w:val="clear" w:color="auto" w:fill="auto"/>
            <w:vAlign w:val="center"/>
          </w:tcPr>
          <w:p w14:paraId="27EB677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14:paraId="160B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76AA3835">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1</w:t>
            </w:r>
          </w:p>
        </w:tc>
        <w:tc>
          <w:tcPr>
            <w:tcW w:w="900" w:type="dxa"/>
            <w:vMerge w:val="restart"/>
            <w:shd w:val="clear" w:color="auto" w:fill="auto"/>
            <w:vAlign w:val="center"/>
          </w:tcPr>
          <w:p w14:paraId="3C0CE92E">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法治宣传教育</w:t>
            </w:r>
          </w:p>
        </w:tc>
        <w:tc>
          <w:tcPr>
            <w:tcW w:w="1440" w:type="dxa"/>
            <w:shd w:val="clear" w:color="auto" w:fill="auto"/>
            <w:vAlign w:val="center"/>
          </w:tcPr>
          <w:p w14:paraId="3F601298">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法律知识普及服务</w:t>
            </w:r>
          </w:p>
        </w:tc>
        <w:tc>
          <w:tcPr>
            <w:tcW w:w="1810" w:type="dxa"/>
            <w:shd w:val="clear" w:color="auto" w:fill="auto"/>
            <w:vAlign w:val="center"/>
          </w:tcPr>
          <w:p w14:paraId="127B536C">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法律法规资讯；普法动态资讯；等</w:t>
            </w:r>
          </w:p>
        </w:tc>
        <w:tc>
          <w:tcPr>
            <w:tcW w:w="2835" w:type="dxa"/>
            <w:shd w:val="clear" w:color="auto" w:fill="auto"/>
            <w:vAlign w:val="center"/>
          </w:tcPr>
          <w:p w14:paraId="402A6BB1">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《中共中央、国务院转发&lt;中央宣传部、司法部关于在公民中开展法治宣传教育的第七个五年规划（2016－2020年）&gt;》、省、市、区“七五”普法规划</w:t>
            </w:r>
          </w:p>
        </w:tc>
        <w:tc>
          <w:tcPr>
            <w:tcW w:w="1559" w:type="dxa"/>
            <w:shd w:val="clear" w:color="auto" w:fill="auto"/>
            <w:vAlign w:val="center"/>
          </w:tcPr>
          <w:p w14:paraId="64DAF063">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自制作或获取该信息之日起20个工作日内公开</w:t>
            </w:r>
          </w:p>
        </w:tc>
        <w:tc>
          <w:tcPr>
            <w:tcW w:w="1134" w:type="dxa"/>
            <w:shd w:val="clear" w:color="auto" w:fill="auto"/>
            <w:vAlign w:val="center"/>
          </w:tcPr>
          <w:p w14:paraId="5066A166">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区司法局</w:t>
            </w:r>
          </w:p>
        </w:tc>
        <w:tc>
          <w:tcPr>
            <w:tcW w:w="1302" w:type="dxa"/>
            <w:shd w:val="clear" w:color="auto" w:fill="auto"/>
            <w:vAlign w:val="center"/>
          </w:tcPr>
          <w:p w14:paraId="713E5078">
            <w:pPr>
              <w:widowControl/>
              <w:jc w:val="left"/>
              <w:textAlignment w:val="center"/>
              <w:rPr>
                <w:rFonts w:hint="eastAsia" w:ascii="仿宋_GB2312" w:hAnsi="宋体" w:eastAsia="仿宋_GB2312"/>
                <w:color w:val="000000"/>
                <w:sz w:val="18"/>
                <w:szCs w:val="18"/>
              </w:rPr>
            </w:pPr>
            <w:r>
              <w:rPr>
                <w:rFonts w:ascii="仿宋_GB2312" w:hAnsi="宋体" w:eastAsia="仿宋_GB2312"/>
                <w:color w:val="000000"/>
                <w:sz w:val="18"/>
                <w:szCs w:val="18"/>
              </w:rPr>
              <w:t xml:space="preserve">■政府网站 </w:t>
            </w:r>
          </w:p>
          <w:p w14:paraId="384FDE1C">
            <w:pPr>
              <w:widowControl/>
              <w:jc w:val="left"/>
              <w:textAlignment w:val="center"/>
              <w:rPr>
                <w:rFonts w:ascii="仿宋_GB2312" w:hAnsi="宋体" w:eastAsia="仿宋_GB2312"/>
                <w:color w:val="000000"/>
                <w:sz w:val="18"/>
                <w:szCs w:val="18"/>
              </w:rPr>
            </w:pPr>
            <w:r>
              <w:rPr>
                <w:rFonts w:ascii="仿宋_GB2312" w:hAnsi="宋体" w:eastAsia="仿宋_GB2312"/>
                <w:color w:val="000000"/>
                <w:sz w:val="18"/>
                <w:szCs w:val="18"/>
              </w:rPr>
              <w:t xml:space="preserve">■两微一端    </w:t>
            </w:r>
          </w:p>
        </w:tc>
        <w:tc>
          <w:tcPr>
            <w:tcW w:w="540" w:type="dxa"/>
            <w:shd w:val="clear" w:color="auto" w:fill="auto"/>
            <w:vAlign w:val="center"/>
          </w:tcPr>
          <w:p w14:paraId="31FBA94E">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900" w:type="dxa"/>
            <w:shd w:val="clear" w:color="auto" w:fill="auto"/>
            <w:vAlign w:val="center"/>
          </w:tcPr>
          <w:p w14:paraId="5AC41A9D">
            <w:pPr>
              <w:jc w:val="center"/>
              <w:rPr>
                <w:rFonts w:ascii="仿宋_GB2312" w:hAnsi="宋体" w:eastAsia="仿宋_GB2312"/>
                <w:color w:val="000000"/>
                <w:sz w:val="18"/>
                <w:szCs w:val="18"/>
              </w:rPr>
            </w:pPr>
          </w:p>
        </w:tc>
        <w:tc>
          <w:tcPr>
            <w:tcW w:w="540" w:type="dxa"/>
            <w:shd w:val="clear" w:color="auto" w:fill="auto"/>
            <w:vAlign w:val="center"/>
          </w:tcPr>
          <w:p w14:paraId="36A2B21E">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54B8F196">
            <w:pPr>
              <w:jc w:val="center"/>
              <w:rPr>
                <w:rFonts w:ascii="仿宋_GB2312" w:hAnsi="宋体" w:eastAsia="仿宋_GB2312"/>
                <w:color w:val="000000"/>
                <w:sz w:val="18"/>
                <w:szCs w:val="18"/>
              </w:rPr>
            </w:pPr>
          </w:p>
        </w:tc>
        <w:tc>
          <w:tcPr>
            <w:tcW w:w="540" w:type="dxa"/>
            <w:shd w:val="clear" w:color="auto" w:fill="auto"/>
            <w:vAlign w:val="center"/>
          </w:tcPr>
          <w:p w14:paraId="6CE9114E">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3A120B5C">
            <w:pPr>
              <w:widowControl/>
              <w:jc w:val="center"/>
              <w:textAlignment w:val="center"/>
              <w:rPr>
                <w:rFonts w:ascii="仿宋_GB2312" w:hAnsi="宋体" w:eastAsia="仿宋_GB2312"/>
                <w:color w:val="000000"/>
                <w:sz w:val="18"/>
                <w:szCs w:val="18"/>
              </w:rPr>
            </w:pPr>
          </w:p>
        </w:tc>
      </w:tr>
      <w:tr w14:paraId="5680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0807250D">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2</w:t>
            </w:r>
          </w:p>
        </w:tc>
        <w:tc>
          <w:tcPr>
            <w:tcW w:w="900" w:type="dxa"/>
            <w:vMerge w:val="continue"/>
            <w:shd w:val="clear" w:color="auto" w:fill="auto"/>
            <w:vAlign w:val="center"/>
          </w:tcPr>
          <w:p w14:paraId="2EDE46C1">
            <w:pPr>
              <w:jc w:val="center"/>
              <w:rPr>
                <w:rFonts w:ascii="仿宋_GB2312" w:hAnsi="宋体" w:eastAsia="仿宋_GB2312"/>
                <w:color w:val="000000"/>
                <w:sz w:val="18"/>
                <w:szCs w:val="18"/>
              </w:rPr>
            </w:pPr>
          </w:p>
        </w:tc>
        <w:tc>
          <w:tcPr>
            <w:tcW w:w="1440" w:type="dxa"/>
            <w:shd w:val="clear" w:color="auto" w:fill="auto"/>
            <w:vAlign w:val="center"/>
          </w:tcPr>
          <w:p w14:paraId="63DE5F87">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推广法治文化服务</w:t>
            </w:r>
          </w:p>
        </w:tc>
        <w:tc>
          <w:tcPr>
            <w:tcW w:w="1810" w:type="dxa"/>
            <w:shd w:val="clear" w:color="auto" w:fill="auto"/>
            <w:vAlign w:val="center"/>
          </w:tcPr>
          <w:p w14:paraId="55A302F6">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辖区内法治文化阵地信息；法治文化作品、产品</w:t>
            </w:r>
          </w:p>
        </w:tc>
        <w:tc>
          <w:tcPr>
            <w:tcW w:w="2835" w:type="dxa"/>
            <w:shd w:val="clear" w:color="auto" w:fill="auto"/>
            <w:vAlign w:val="center"/>
          </w:tcPr>
          <w:p w14:paraId="76539E27">
            <w:pPr>
              <w:rPr>
                <w:rFonts w:ascii="仿宋_GB2312" w:hAnsi="宋体" w:eastAsia="仿宋_GB2312"/>
                <w:color w:val="000000"/>
                <w:sz w:val="18"/>
                <w:szCs w:val="18"/>
              </w:rPr>
            </w:pPr>
            <w:r>
              <w:rPr>
                <w:rFonts w:hint="eastAsia" w:ascii="仿宋_GB2312" w:hAnsi="宋体" w:eastAsia="仿宋_GB2312"/>
                <w:color w:val="000000"/>
                <w:sz w:val="18"/>
                <w:szCs w:val="18"/>
              </w:rPr>
              <w:t>《中共中央、国务院转发&lt;中央宣传部、司法部关于在公民中开展法治宣传教育的第七个五年规划（2016－2020年）&gt;》、省、市、区“七五”普法规划</w:t>
            </w:r>
          </w:p>
        </w:tc>
        <w:tc>
          <w:tcPr>
            <w:tcW w:w="1559" w:type="dxa"/>
            <w:shd w:val="clear" w:color="auto" w:fill="auto"/>
            <w:vAlign w:val="center"/>
          </w:tcPr>
          <w:p w14:paraId="29F04CF4">
            <w:pPr>
              <w:rPr>
                <w:rFonts w:ascii="仿宋_GB2312" w:hAnsi="宋体" w:eastAsia="仿宋_GB2312"/>
                <w:color w:val="000000"/>
                <w:sz w:val="18"/>
                <w:szCs w:val="18"/>
              </w:rPr>
            </w:pPr>
            <w:r>
              <w:rPr>
                <w:rFonts w:hint="eastAsia" w:ascii="仿宋_GB2312" w:hAnsi="宋体" w:eastAsia="仿宋_GB2312"/>
                <w:color w:val="000000"/>
                <w:sz w:val="18"/>
                <w:szCs w:val="18"/>
              </w:rPr>
              <w:t>自制作或获取该信息之日起20个工作日内公开</w:t>
            </w:r>
          </w:p>
        </w:tc>
        <w:tc>
          <w:tcPr>
            <w:tcW w:w="1134" w:type="dxa"/>
            <w:shd w:val="clear" w:color="auto" w:fill="auto"/>
            <w:vAlign w:val="center"/>
          </w:tcPr>
          <w:p w14:paraId="0D37493A">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区司法局</w:t>
            </w:r>
          </w:p>
        </w:tc>
        <w:tc>
          <w:tcPr>
            <w:tcW w:w="1302" w:type="dxa"/>
            <w:shd w:val="clear" w:color="auto" w:fill="auto"/>
            <w:vAlign w:val="center"/>
          </w:tcPr>
          <w:p w14:paraId="42E7EB08">
            <w:pPr>
              <w:widowControl/>
              <w:jc w:val="left"/>
              <w:textAlignment w:val="center"/>
              <w:rPr>
                <w:rFonts w:hint="eastAsia" w:ascii="仿宋_GB2312" w:hAnsi="宋体" w:eastAsia="仿宋_GB2312"/>
                <w:color w:val="000000"/>
                <w:sz w:val="18"/>
                <w:szCs w:val="18"/>
              </w:rPr>
            </w:pPr>
            <w:r>
              <w:rPr>
                <w:rFonts w:ascii="仿宋_GB2312" w:hAnsi="宋体" w:eastAsia="仿宋_GB2312"/>
                <w:color w:val="000000"/>
                <w:sz w:val="18"/>
                <w:szCs w:val="18"/>
              </w:rPr>
              <w:t xml:space="preserve">■政府网站  </w:t>
            </w:r>
          </w:p>
          <w:p w14:paraId="1563860D">
            <w:pPr>
              <w:widowControl/>
              <w:jc w:val="left"/>
              <w:textAlignment w:val="center"/>
              <w:rPr>
                <w:rFonts w:ascii="仿宋_GB2312" w:hAnsi="宋体" w:eastAsia="仿宋_GB2312"/>
                <w:color w:val="000000"/>
                <w:sz w:val="18"/>
                <w:szCs w:val="18"/>
              </w:rPr>
            </w:pPr>
            <w:r>
              <w:rPr>
                <w:rFonts w:ascii="仿宋_GB2312" w:hAnsi="宋体" w:eastAsia="仿宋_GB2312"/>
                <w:color w:val="000000"/>
                <w:sz w:val="18"/>
                <w:szCs w:val="18"/>
              </w:rPr>
              <w:t xml:space="preserve">■两微一端   </w:t>
            </w:r>
          </w:p>
        </w:tc>
        <w:tc>
          <w:tcPr>
            <w:tcW w:w="540" w:type="dxa"/>
            <w:shd w:val="clear" w:color="auto" w:fill="auto"/>
            <w:vAlign w:val="center"/>
          </w:tcPr>
          <w:p w14:paraId="4DB49B3C">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900" w:type="dxa"/>
            <w:shd w:val="clear" w:color="auto" w:fill="auto"/>
            <w:vAlign w:val="center"/>
          </w:tcPr>
          <w:p w14:paraId="36D58EF0">
            <w:pPr>
              <w:jc w:val="center"/>
              <w:rPr>
                <w:rFonts w:ascii="仿宋_GB2312" w:hAnsi="宋体" w:eastAsia="仿宋_GB2312"/>
                <w:color w:val="000000"/>
                <w:sz w:val="18"/>
                <w:szCs w:val="18"/>
              </w:rPr>
            </w:pPr>
          </w:p>
        </w:tc>
        <w:tc>
          <w:tcPr>
            <w:tcW w:w="540" w:type="dxa"/>
            <w:shd w:val="clear" w:color="auto" w:fill="auto"/>
            <w:vAlign w:val="center"/>
          </w:tcPr>
          <w:p w14:paraId="793FF03E">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03EAAB5F">
            <w:pPr>
              <w:jc w:val="center"/>
              <w:rPr>
                <w:rFonts w:ascii="仿宋_GB2312" w:hAnsi="宋体" w:eastAsia="仿宋_GB2312"/>
                <w:color w:val="000000"/>
                <w:sz w:val="18"/>
                <w:szCs w:val="18"/>
              </w:rPr>
            </w:pPr>
          </w:p>
        </w:tc>
        <w:tc>
          <w:tcPr>
            <w:tcW w:w="540" w:type="dxa"/>
            <w:shd w:val="clear" w:color="auto" w:fill="auto"/>
            <w:vAlign w:val="center"/>
          </w:tcPr>
          <w:p w14:paraId="46B03D01">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1A60C4E0">
            <w:pPr>
              <w:jc w:val="center"/>
              <w:rPr>
                <w:rFonts w:ascii="仿宋_GB2312" w:hAnsi="宋体" w:eastAsia="仿宋_GB2312"/>
                <w:color w:val="000000"/>
                <w:sz w:val="18"/>
                <w:szCs w:val="18"/>
              </w:rPr>
            </w:pPr>
          </w:p>
        </w:tc>
      </w:tr>
      <w:tr w14:paraId="14E3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2A2E50BC">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3</w:t>
            </w:r>
          </w:p>
        </w:tc>
        <w:tc>
          <w:tcPr>
            <w:tcW w:w="900" w:type="dxa"/>
            <w:vMerge w:val="continue"/>
            <w:shd w:val="clear" w:color="auto" w:fill="auto"/>
            <w:vAlign w:val="center"/>
          </w:tcPr>
          <w:p w14:paraId="6C9E32F4">
            <w:pPr>
              <w:jc w:val="center"/>
              <w:rPr>
                <w:rFonts w:ascii="仿宋_GB2312" w:hAnsi="宋体" w:eastAsia="仿宋_GB2312"/>
                <w:color w:val="000000"/>
                <w:sz w:val="18"/>
                <w:szCs w:val="18"/>
              </w:rPr>
            </w:pPr>
          </w:p>
        </w:tc>
        <w:tc>
          <w:tcPr>
            <w:tcW w:w="1440" w:type="dxa"/>
            <w:shd w:val="clear" w:color="auto" w:fill="auto"/>
            <w:vAlign w:val="center"/>
          </w:tcPr>
          <w:p w14:paraId="7DBE8678">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对在法治宣传教育工作中做出显著成绩的单位和个人进行表彰奖励</w:t>
            </w:r>
          </w:p>
        </w:tc>
        <w:tc>
          <w:tcPr>
            <w:tcW w:w="1810" w:type="dxa"/>
            <w:shd w:val="clear" w:color="auto" w:fill="auto"/>
            <w:vAlign w:val="center"/>
          </w:tcPr>
          <w:p w14:paraId="34D860E9">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评选表彰通知；先进集体和个人申报表（空白表）；拟表彰的先进集体先进个人名单；表彰决定</w:t>
            </w:r>
          </w:p>
        </w:tc>
        <w:tc>
          <w:tcPr>
            <w:tcW w:w="2835" w:type="dxa"/>
            <w:shd w:val="clear" w:color="auto" w:fill="auto"/>
            <w:vAlign w:val="center"/>
          </w:tcPr>
          <w:p w14:paraId="24F8C26B">
            <w:pPr>
              <w:rPr>
                <w:rFonts w:ascii="仿宋_GB2312" w:hAnsi="宋体" w:eastAsia="仿宋_GB2312"/>
                <w:color w:val="000000"/>
                <w:sz w:val="18"/>
                <w:szCs w:val="18"/>
              </w:rPr>
            </w:pPr>
            <w:r>
              <w:rPr>
                <w:rFonts w:hint="eastAsia" w:ascii="仿宋_GB2312" w:hAnsi="宋体" w:eastAsia="仿宋_GB2312"/>
                <w:color w:val="000000"/>
                <w:sz w:val="18"/>
                <w:szCs w:val="18"/>
              </w:rPr>
              <w:t>《中共中央、国务院转发&lt;中央宣传部、司法部关于在公民中开展法治宣传教育的第七个五年规划（2016－2020年）&gt;》、省、市、区“七五”普法规划</w:t>
            </w:r>
          </w:p>
        </w:tc>
        <w:tc>
          <w:tcPr>
            <w:tcW w:w="1559" w:type="dxa"/>
            <w:shd w:val="clear" w:color="auto" w:fill="auto"/>
            <w:vAlign w:val="center"/>
          </w:tcPr>
          <w:p w14:paraId="106186C9">
            <w:pPr>
              <w:rPr>
                <w:rFonts w:ascii="仿宋_GB2312" w:hAnsi="宋体" w:eastAsia="仿宋_GB2312"/>
                <w:color w:val="000000"/>
                <w:sz w:val="18"/>
                <w:szCs w:val="18"/>
              </w:rPr>
            </w:pPr>
            <w:r>
              <w:rPr>
                <w:rFonts w:hint="eastAsia" w:ascii="仿宋_GB2312" w:hAnsi="宋体" w:eastAsia="仿宋_GB2312"/>
                <w:color w:val="000000"/>
                <w:sz w:val="18"/>
                <w:szCs w:val="18"/>
              </w:rPr>
              <w:t>自制作或获取该信息之日起20个工作日内公开</w:t>
            </w:r>
          </w:p>
        </w:tc>
        <w:tc>
          <w:tcPr>
            <w:tcW w:w="1134" w:type="dxa"/>
            <w:shd w:val="clear" w:color="auto" w:fill="auto"/>
            <w:vAlign w:val="center"/>
          </w:tcPr>
          <w:p w14:paraId="3014541F">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区司法局</w:t>
            </w:r>
          </w:p>
        </w:tc>
        <w:tc>
          <w:tcPr>
            <w:tcW w:w="1302" w:type="dxa"/>
            <w:shd w:val="clear" w:color="auto" w:fill="auto"/>
            <w:vAlign w:val="center"/>
          </w:tcPr>
          <w:p w14:paraId="23761B18">
            <w:pPr>
              <w:rPr>
                <w:rFonts w:ascii="仿宋_GB2312" w:hAnsi="宋体" w:eastAsia="仿宋_GB2312"/>
                <w:color w:val="000000"/>
                <w:sz w:val="18"/>
                <w:szCs w:val="18"/>
              </w:rPr>
            </w:pPr>
            <w:r>
              <w:rPr>
                <w:rFonts w:hint="eastAsia" w:ascii="仿宋_GB2312" w:hAnsi="宋体" w:eastAsia="仿宋_GB2312"/>
                <w:color w:val="000000"/>
                <w:sz w:val="18"/>
                <w:szCs w:val="18"/>
              </w:rPr>
              <w:t>同上</w:t>
            </w:r>
          </w:p>
        </w:tc>
        <w:tc>
          <w:tcPr>
            <w:tcW w:w="540" w:type="dxa"/>
            <w:shd w:val="clear" w:color="auto" w:fill="auto"/>
            <w:vAlign w:val="center"/>
          </w:tcPr>
          <w:p w14:paraId="2DF4D261">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900" w:type="dxa"/>
            <w:shd w:val="clear" w:color="auto" w:fill="auto"/>
            <w:vAlign w:val="center"/>
          </w:tcPr>
          <w:p w14:paraId="6306D2BE">
            <w:pPr>
              <w:jc w:val="center"/>
              <w:rPr>
                <w:rFonts w:ascii="仿宋_GB2312" w:hAnsi="宋体" w:eastAsia="仿宋_GB2312"/>
                <w:color w:val="000000"/>
                <w:sz w:val="18"/>
                <w:szCs w:val="18"/>
              </w:rPr>
            </w:pPr>
          </w:p>
        </w:tc>
        <w:tc>
          <w:tcPr>
            <w:tcW w:w="540" w:type="dxa"/>
            <w:shd w:val="clear" w:color="auto" w:fill="auto"/>
            <w:vAlign w:val="center"/>
          </w:tcPr>
          <w:p w14:paraId="3826F820">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6808EB7C">
            <w:pPr>
              <w:jc w:val="center"/>
              <w:rPr>
                <w:rFonts w:ascii="仿宋_GB2312" w:hAnsi="宋体" w:eastAsia="仿宋_GB2312"/>
                <w:color w:val="000000"/>
                <w:sz w:val="18"/>
                <w:szCs w:val="18"/>
              </w:rPr>
            </w:pPr>
          </w:p>
        </w:tc>
        <w:tc>
          <w:tcPr>
            <w:tcW w:w="540" w:type="dxa"/>
            <w:shd w:val="clear" w:color="auto" w:fill="auto"/>
            <w:vAlign w:val="center"/>
          </w:tcPr>
          <w:p w14:paraId="29BCCB77">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4FD892FB">
            <w:pPr>
              <w:jc w:val="center"/>
              <w:rPr>
                <w:rFonts w:ascii="仿宋_GB2312" w:hAnsi="宋体" w:eastAsia="仿宋_GB2312"/>
                <w:color w:val="000000"/>
                <w:sz w:val="18"/>
                <w:szCs w:val="18"/>
              </w:rPr>
            </w:pPr>
          </w:p>
        </w:tc>
      </w:tr>
      <w:tr w14:paraId="2F3FE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6EE42971">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4</w:t>
            </w:r>
          </w:p>
        </w:tc>
        <w:tc>
          <w:tcPr>
            <w:tcW w:w="900" w:type="dxa"/>
            <w:shd w:val="clear" w:color="auto" w:fill="auto"/>
            <w:vAlign w:val="center"/>
          </w:tcPr>
          <w:p w14:paraId="42F1999C">
            <w:pPr>
              <w:jc w:val="center"/>
              <w:rPr>
                <w:rFonts w:ascii="仿宋_GB2312" w:hAnsi="宋体" w:eastAsia="仿宋_GB2312"/>
                <w:color w:val="000000"/>
                <w:sz w:val="18"/>
                <w:szCs w:val="18"/>
              </w:rPr>
            </w:pPr>
            <w:r>
              <w:rPr>
                <w:rFonts w:hint="eastAsia" w:ascii="仿宋_GB2312" w:hAnsi="宋体" w:eastAsia="仿宋_GB2312"/>
                <w:color w:val="000000"/>
                <w:sz w:val="18"/>
                <w:szCs w:val="18"/>
              </w:rPr>
              <w:t>律师</w:t>
            </w:r>
          </w:p>
        </w:tc>
        <w:tc>
          <w:tcPr>
            <w:tcW w:w="1440" w:type="dxa"/>
            <w:shd w:val="clear" w:color="auto" w:fill="auto"/>
            <w:vAlign w:val="center"/>
          </w:tcPr>
          <w:p w14:paraId="6E61CE73">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对没有取得律师执业证书以律师名义从事法律业务行为的处罚</w:t>
            </w:r>
          </w:p>
        </w:tc>
        <w:tc>
          <w:tcPr>
            <w:tcW w:w="1810" w:type="dxa"/>
            <w:shd w:val="clear" w:color="auto" w:fill="auto"/>
            <w:vAlign w:val="center"/>
          </w:tcPr>
          <w:p w14:paraId="41538586">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行政处罚决定或行政处罚决定书</w:t>
            </w:r>
          </w:p>
        </w:tc>
        <w:tc>
          <w:tcPr>
            <w:tcW w:w="2835" w:type="dxa"/>
            <w:shd w:val="clear" w:color="auto" w:fill="auto"/>
            <w:vAlign w:val="center"/>
          </w:tcPr>
          <w:p w14:paraId="6637ED8D">
            <w:pPr>
              <w:rPr>
                <w:rFonts w:ascii="仿宋_GB2312" w:hAnsi="宋体" w:eastAsia="仿宋_GB2312"/>
                <w:color w:val="000000"/>
                <w:sz w:val="18"/>
                <w:szCs w:val="18"/>
              </w:rPr>
            </w:pPr>
            <w:r>
              <w:rPr>
                <w:rFonts w:hint="eastAsia" w:ascii="仿宋_GB2312" w:hAnsi="宋体" w:eastAsia="仿宋_GB2312"/>
                <w:color w:val="000000"/>
                <w:sz w:val="18"/>
                <w:szCs w:val="18"/>
              </w:rPr>
              <w:t>《律师法》</w:t>
            </w:r>
          </w:p>
        </w:tc>
        <w:tc>
          <w:tcPr>
            <w:tcW w:w="1559" w:type="dxa"/>
            <w:shd w:val="clear" w:color="auto" w:fill="auto"/>
            <w:vAlign w:val="center"/>
          </w:tcPr>
          <w:p w14:paraId="520CB726">
            <w:pPr>
              <w:rPr>
                <w:rFonts w:ascii="仿宋_GB2312" w:hAnsi="宋体" w:eastAsia="仿宋_GB2312"/>
                <w:color w:val="000000"/>
                <w:sz w:val="18"/>
                <w:szCs w:val="18"/>
              </w:rPr>
            </w:pPr>
            <w:r>
              <w:rPr>
                <w:rFonts w:hint="eastAsia" w:ascii="仿宋_GB2312" w:hAnsi="宋体" w:eastAsia="仿宋_GB2312"/>
                <w:color w:val="000000"/>
                <w:sz w:val="18"/>
                <w:szCs w:val="18"/>
              </w:rPr>
              <w:t>自制作或获取该信息之日起20个工作日内公开</w:t>
            </w:r>
          </w:p>
        </w:tc>
        <w:tc>
          <w:tcPr>
            <w:tcW w:w="1134" w:type="dxa"/>
            <w:shd w:val="clear" w:color="auto" w:fill="auto"/>
            <w:vAlign w:val="center"/>
          </w:tcPr>
          <w:p w14:paraId="21AF1BD2">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司法行政部门</w:t>
            </w:r>
          </w:p>
        </w:tc>
        <w:tc>
          <w:tcPr>
            <w:tcW w:w="1302" w:type="dxa"/>
            <w:shd w:val="clear" w:color="auto" w:fill="auto"/>
            <w:vAlign w:val="center"/>
          </w:tcPr>
          <w:p w14:paraId="220F9DD2">
            <w:pPr>
              <w:rPr>
                <w:rFonts w:ascii="仿宋_GB2312" w:hAnsi="宋体" w:eastAsia="仿宋_GB2312"/>
                <w:color w:val="000000"/>
                <w:sz w:val="18"/>
                <w:szCs w:val="18"/>
              </w:rPr>
            </w:pPr>
            <w:r>
              <w:rPr>
                <w:rFonts w:hint="eastAsia" w:ascii="仿宋_GB2312" w:hAnsi="宋体" w:eastAsia="仿宋_GB2312"/>
                <w:color w:val="000000"/>
                <w:sz w:val="18"/>
                <w:szCs w:val="18"/>
              </w:rPr>
              <w:t>同上</w:t>
            </w:r>
          </w:p>
        </w:tc>
        <w:tc>
          <w:tcPr>
            <w:tcW w:w="540" w:type="dxa"/>
            <w:shd w:val="clear" w:color="auto" w:fill="auto"/>
            <w:vAlign w:val="center"/>
          </w:tcPr>
          <w:p w14:paraId="22739033">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900" w:type="dxa"/>
            <w:shd w:val="clear" w:color="auto" w:fill="auto"/>
            <w:vAlign w:val="center"/>
          </w:tcPr>
          <w:p w14:paraId="09E963F6">
            <w:pPr>
              <w:jc w:val="center"/>
              <w:rPr>
                <w:rFonts w:ascii="仿宋_GB2312" w:hAnsi="宋体" w:eastAsia="仿宋_GB2312"/>
                <w:color w:val="000000"/>
                <w:sz w:val="18"/>
                <w:szCs w:val="18"/>
              </w:rPr>
            </w:pPr>
          </w:p>
        </w:tc>
        <w:tc>
          <w:tcPr>
            <w:tcW w:w="540" w:type="dxa"/>
            <w:shd w:val="clear" w:color="auto" w:fill="auto"/>
            <w:vAlign w:val="center"/>
          </w:tcPr>
          <w:p w14:paraId="28CA9338">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7F1B65BD">
            <w:pPr>
              <w:jc w:val="center"/>
              <w:rPr>
                <w:rFonts w:ascii="仿宋_GB2312" w:hAnsi="宋体" w:eastAsia="仿宋_GB2312"/>
                <w:color w:val="000000"/>
                <w:sz w:val="18"/>
                <w:szCs w:val="18"/>
              </w:rPr>
            </w:pPr>
          </w:p>
        </w:tc>
        <w:tc>
          <w:tcPr>
            <w:tcW w:w="540" w:type="dxa"/>
            <w:shd w:val="clear" w:color="auto" w:fill="auto"/>
            <w:vAlign w:val="center"/>
          </w:tcPr>
          <w:p w14:paraId="0F6277FB">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3F20C072">
            <w:pPr>
              <w:jc w:val="center"/>
              <w:rPr>
                <w:rFonts w:ascii="仿宋_GB2312" w:hAnsi="宋体" w:eastAsia="仿宋_GB2312"/>
                <w:color w:val="000000"/>
                <w:sz w:val="18"/>
                <w:szCs w:val="18"/>
              </w:rPr>
            </w:pPr>
          </w:p>
        </w:tc>
      </w:tr>
      <w:tr w14:paraId="665BF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4" w:hRule="atLeast"/>
        </w:trPr>
        <w:tc>
          <w:tcPr>
            <w:tcW w:w="540" w:type="dxa"/>
            <w:shd w:val="clear" w:color="auto" w:fill="auto"/>
            <w:vAlign w:val="center"/>
          </w:tcPr>
          <w:p w14:paraId="3DFCE2BC">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5</w:t>
            </w:r>
          </w:p>
        </w:tc>
        <w:tc>
          <w:tcPr>
            <w:tcW w:w="900" w:type="dxa"/>
            <w:shd w:val="clear" w:color="auto" w:fill="auto"/>
            <w:vAlign w:val="center"/>
          </w:tcPr>
          <w:p w14:paraId="38E3F3DA">
            <w:pPr>
              <w:rPr>
                <w:rFonts w:ascii="仿宋_GB2312" w:hAnsi="宋体" w:eastAsia="仿宋_GB2312"/>
                <w:color w:val="000000"/>
                <w:sz w:val="18"/>
                <w:szCs w:val="18"/>
              </w:rPr>
            </w:pPr>
            <w:r>
              <w:rPr>
                <w:rFonts w:hint="eastAsia" w:ascii="仿宋_GB2312" w:hAnsi="宋体" w:eastAsia="仿宋_GB2312"/>
                <w:color w:val="000000"/>
                <w:sz w:val="18"/>
                <w:szCs w:val="18"/>
              </w:rPr>
              <w:t>法律援助</w:t>
            </w:r>
          </w:p>
        </w:tc>
        <w:tc>
          <w:tcPr>
            <w:tcW w:w="1440" w:type="dxa"/>
            <w:shd w:val="clear" w:color="auto" w:fill="auto"/>
            <w:vAlign w:val="center"/>
          </w:tcPr>
          <w:p w14:paraId="79F1E707">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法律援助服务</w:t>
            </w:r>
          </w:p>
        </w:tc>
        <w:tc>
          <w:tcPr>
            <w:tcW w:w="1810" w:type="dxa"/>
            <w:shd w:val="clear" w:color="auto" w:fill="auto"/>
            <w:vAlign w:val="center"/>
          </w:tcPr>
          <w:p w14:paraId="26FCDC1F">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给予法律援助决定书；不予法律援助决定书；指派通知书</w:t>
            </w:r>
          </w:p>
        </w:tc>
        <w:tc>
          <w:tcPr>
            <w:tcW w:w="2835" w:type="dxa"/>
            <w:shd w:val="clear" w:color="auto" w:fill="auto"/>
            <w:vAlign w:val="center"/>
          </w:tcPr>
          <w:p w14:paraId="1F71CB30">
            <w:pPr>
              <w:rPr>
                <w:rFonts w:ascii="仿宋_GB2312" w:hAnsi="宋体" w:eastAsia="仿宋_GB2312"/>
                <w:color w:val="000000"/>
                <w:sz w:val="18"/>
                <w:szCs w:val="18"/>
              </w:rPr>
            </w:pPr>
            <w:r>
              <w:rPr>
                <w:rFonts w:hint="eastAsia" w:ascii="仿宋_GB2312" w:hAnsi="宋体" w:eastAsia="仿宋_GB2312"/>
                <w:color w:val="000000"/>
                <w:sz w:val="18"/>
                <w:szCs w:val="18"/>
              </w:rPr>
              <w:t>《法律援助条例》、《江西省法律援助条例》</w:t>
            </w:r>
          </w:p>
        </w:tc>
        <w:tc>
          <w:tcPr>
            <w:tcW w:w="1559" w:type="dxa"/>
            <w:shd w:val="clear" w:color="auto" w:fill="auto"/>
            <w:vAlign w:val="center"/>
          </w:tcPr>
          <w:p w14:paraId="5AB39D2B">
            <w:pPr>
              <w:rPr>
                <w:rFonts w:ascii="仿宋_GB2312" w:hAnsi="宋体" w:eastAsia="仿宋_GB2312"/>
                <w:color w:val="000000"/>
                <w:sz w:val="18"/>
                <w:szCs w:val="18"/>
              </w:rPr>
            </w:pPr>
            <w:r>
              <w:rPr>
                <w:rFonts w:hint="eastAsia" w:ascii="仿宋_GB2312" w:hAnsi="宋体" w:eastAsia="仿宋_GB2312"/>
                <w:color w:val="000000"/>
                <w:sz w:val="18"/>
                <w:szCs w:val="18"/>
              </w:rPr>
              <w:t>自制作或获取该信息之日起20个工作日内公开</w:t>
            </w:r>
          </w:p>
        </w:tc>
        <w:tc>
          <w:tcPr>
            <w:tcW w:w="1134" w:type="dxa"/>
            <w:shd w:val="clear" w:color="auto" w:fill="auto"/>
            <w:vAlign w:val="center"/>
          </w:tcPr>
          <w:p w14:paraId="51E595AA">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区司法局</w:t>
            </w:r>
          </w:p>
        </w:tc>
        <w:tc>
          <w:tcPr>
            <w:tcW w:w="1302" w:type="dxa"/>
            <w:shd w:val="clear" w:color="auto" w:fill="auto"/>
            <w:vAlign w:val="center"/>
          </w:tcPr>
          <w:p w14:paraId="0ACCAE9B">
            <w:pPr>
              <w:widowControl/>
              <w:jc w:val="left"/>
              <w:textAlignment w:val="center"/>
              <w:rPr>
                <w:rFonts w:ascii="仿宋_GB2312" w:hAnsi="宋体" w:eastAsia="仿宋_GB2312"/>
                <w:color w:val="000000"/>
                <w:sz w:val="18"/>
                <w:szCs w:val="18"/>
              </w:rPr>
            </w:pPr>
            <w:r>
              <w:rPr>
                <w:rFonts w:ascii="仿宋_GB2312" w:hAnsi="宋体" w:eastAsia="仿宋_GB2312"/>
                <w:color w:val="000000"/>
                <w:sz w:val="18"/>
                <w:szCs w:val="18"/>
              </w:rPr>
              <w:t>■精准推送</w:t>
            </w:r>
          </w:p>
        </w:tc>
        <w:tc>
          <w:tcPr>
            <w:tcW w:w="540" w:type="dxa"/>
            <w:shd w:val="clear" w:color="auto" w:fill="auto"/>
            <w:vAlign w:val="center"/>
          </w:tcPr>
          <w:p w14:paraId="5DBBF5BB">
            <w:pPr>
              <w:jc w:val="center"/>
              <w:rPr>
                <w:rFonts w:ascii="仿宋_GB2312" w:hAnsi="宋体" w:eastAsia="仿宋_GB2312"/>
                <w:color w:val="000000"/>
                <w:sz w:val="18"/>
                <w:szCs w:val="18"/>
              </w:rPr>
            </w:pPr>
          </w:p>
        </w:tc>
        <w:tc>
          <w:tcPr>
            <w:tcW w:w="900" w:type="dxa"/>
            <w:shd w:val="clear" w:color="auto" w:fill="auto"/>
            <w:vAlign w:val="center"/>
          </w:tcPr>
          <w:p w14:paraId="273E2F7D">
            <w:pPr>
              <w:jc w:val="center"/>
              <w:rPr>
                <w:rFonts w:ascii="仿宋_GB2312" w:hAnsi="宋体" w:eastAsia="仿宋_GB2312"/>
                <w:color w:val="000000"/>
                <w:sz w:val="18"/>
                <w:szCs w:val="18"/>
              </w:rPr>
            </w:pPr>
            <w:r>
              <w:rPr>
                <w:rFonts w:hint="eastAsia" w:ascii="仿宋_GB2312" w:hAnsi="宋体" w:eastAsia="仿宋_GB2312"/>
                <w:color w:val="000000"/>
                <w:sz w:val="18"/>
                <w:szCs w:val="18"/>
              </w:rPr>
              <w:t>法律援助申请人、受指派的律师事务所或其他组织等</w:t>
            </w:r>
          </w:p>
        </w:tc>
        <w:tc>
          <w:tcPr>
            <w:tcW w:w="540" w:type="dxa"/>
            <w:shd w:val="clear" w:color="auto" w:fill="auto"/>
            <w:vAlign w:val="center"/>
          </w:tcPr>
          <w:p w14:paraId="130107DD">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31AFC7CD">
            <w:pPr>
              <w:jc w:val="center"/>
              <w:rPr>
                <w:rFonts w:ascii="仿宋_GB2312" w:hAnsi="宋体" w:eastAsia="仿宋_GB2312"/>
                <w:color w:val="000000"/>
                <w:sz w:val="18"/>
                <w:szCs w:val="18"/>
              </w:rPr>
            </w:pPr>
          </w:p>
        </w:tc>
        <w:tc>
          <w:tcPr>
            <w:tcW w:w="540" w:type="dxa"/>
            <w:shd w:val="clear" w:color="auto" w:fill="auto"/>
            <w:vAlign w:val="center"/>
          </w:tcPr>
          <w:p w14:paraId="3E064ABD">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7EEE0AF3">
            <w:pPr>
              <w:jc w:val="center"/>
              <w:rPr>
                <w:rFonts w:ascii="仿宋_GB2312" w:hAnsi="宋体" w:eastAsia="仿宋_GB2312"/>
                <w:color w:val="000000"/>
                <w:sz w:val="18"/>
                <w:szCs w:val="18"/>
              </w:rPr>
            </w:pPr>
          </w:p>
        </w:tc>
      </w:tr>
      <w:tr w14:paraId="07B8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71805AFE">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6</w:t>
            </w:r>
          </w:p>
        </w:tc>
        <w:tc>
          <w:tcPr>
            <w:tcW w:w="900" w:type="dxa"/>
            <w:vMerge w:val="restart"/>
            <w:shd w:val="clear" w:color="auto" w:fill="auto"/>
            <w:vAlign w:val="center"/>
          </w:tcPr>
          <w:p w14:paraId="70CD861E">
            <w:pPr>
              <w:rPr>
                <w:rFonts w:ascii="仿宋_GB2312" w:hAnsi="宋体" w:eastAsia="仿宋_GB2312"/>
                <w:color w:val="000000"/>
                <w:sz w:val="18"/>
                <w:szCs w:val="18"/>
              </w:rPr>
            </w:pPr>
            <w:r>
              <w:rPr>
                <w:rFonts w:hint="eastAsia" w:ascii="仿宋_GB2312" w:hAnsi="宋体" w:eastAsia="仿宋_GB2312"/>
                <w:color w:val="000000"/>
                <w:sz w:val="18"/>
                <w:szCs w:val="18"/>
              </w:rPr>
              <w:t>法律援助</w:t>
            </w:r>
          </w:p>
        </w:tc>
        <w:tc>
          <w:tcPr>
            <w:tcW w:w="1440" w:type="dxa"/>
            <w:shd w:val="clear" w:color="auto" w:fill="auto"/>
            <w:vAlign w:val="center"/>
          </w:tcPr>
          <w:p w14:paraId="270D588C">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法律援助办案人员办案补贴的审核发放</w:t>
            </w:r>
          </w:p>
        </w:tc>
        <w:tc>
          <w:tcPr>
            <w:tcW w:w="1810" w:type="dxa"/>
            <w:shd w:val="clear" w:color="auto" w:fill="auto"/>
            <w:vAlign w:val="center"/>
          </w:tcPr>
          <w:p w14:paraId="5CD10C13">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案件补贴审核发放表</w:t>
            </w:r>
          </w:p>
        </w:tc>
        <w:tc>
          <w:tcPr>
            <w:tcW w:w="2835" w:type="dxa"/>
            <w:shd w:val="clear" w:color="auto" w:fill="auto"/>
            <w:vAlign w:val="center"/>
          </w:tcPr>
          <w:p w14:paraId="2A34E5EF">
            <w:pPr>
              <w:rPr>
                <w:rFonts w:ascii="仿宋_GB2312" w:hAnsi="宋体" w:eastAsia="仿宋_GB2312"/>
                <w:color w:val="000000"/>
                <w:sz w:val="18"/>
                <w:szCs w:val="18"/>
              </w:rPr>
            </w:pPr>
            <w:r>
              <w:rPr>
                <w:rFonts w:hint="eastAsia" w:ascii="仿宋_GB2312" w:hAnsi="宋体" w:eastAsia="仿宋_GB2312"/>
                <w:color w:val="000000"/>
                <w:sz w:val="18"/>
                <w:szCs w:val="18"/>
              </w:rPr>
              <w:t>《法律援助条例》、《江西省法律援助条例》</w:t>
            </w:r>
          </w:p>
        </w:tc>
        <w:tc>
          <w:tcPr>
            <w:tcW w:w="1559" w:type="dxa"/>
            <w:shd w:val="clear" w:color="auto" w:fill="auto"/>
            <w:vAlign w:val="center"/>
          </w:tcPr>
          <w:p w14:paraId="6731A7AD">
            <w:pPr>
              <w:rPr>
                <w:rFonts w:ascii="仿宋_GB2312" w:hAnsi="宋体" w:eastAsia="仿宋_GB2312"/>
                <w:color w:val="000000"/>
                <w:sz w:val="18"/>
                <w:szCs w:val="18"/>
              </w:rPr>
            </w:pPr>
            <w:r>
              <w:rPr>
                <w:rFonts w:hint="eastAsia" w:ascii="仿宋_GB2312" w:hAnsi="宋体" w:eastAsia="仿宋_GB2312"/>
                <w:color w:val="000000"/>
                <w:sz w:val="18"/>
                <w:szCs w:val="18"/>
              </w:rPr>
              <w:t>自收到公开申请之日起20个工作日内公开</w:t>
            </w:r>
          </w:p>
        </w:tc>
        <w:tc>
          <w:tcPr>
            <w:tcW w:w="1134" w:type="dxa"/>
            <w:shd w:val="clear" w:color="auto" w:fill="auto"/>
            <w:vAlign w:val="center"/>
          </w:tcPr>
          <w:p w14:paraId="1C178C10">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区司法局</w:t>
            </w:r>
          </w:p>
        </w:tc>
        <w:tc>
          <w:tcPr>
            <w:tcW w:w="1302" w:type="dxa"/>
            <w:shd w:val="clear" w:color="auto" w:fill="auto"/>
            <w:vAlign w:val="center"/>
          </w:tcPr>
          <w:p w14:paraId="66A0E3EC">
            <w:pPr>
              <w:widowControl/>
              <w:jc w:val="left"/>
              <w:textAlignment w:val="center"/>
              <w:rPr>
                <w:rFonts w:ascii="仿宋_GB2312" w:hAnsi="宋体" w:eastAsia="仿宋_GB2312"/>
                <w:color w:val="000000"/>
                <w:sz w:val="18"/>
                <w:szCs w:val="18"/>
              </w:rPr>
            </w:pPr>
            <w:r>
              <w:rPr>
                <w:rFonts w:ascii="仿宋_GB2312" w:hAnsi="宋体" w:eastAsia="仿宋_GB2312"/>
                <w:color w:val="000000"/>
                <w:sz w:val="18"/>
                <w:szCs w:val="18"/>
              </w:rPr>
              <w:t xml:space="preserve">■精准推送 </w:t>
            </w:r>
          </w:p>
        </w:tc>
        <w:tc>
          <w:tcPr>
            <w:tcW w:w="540" w:type="dxa"/>
            <w:shd w:val="clear" w:color="auto" w:fill="auto"/>
            <w:vAlign w:val="center"/>
          </w:tcPr>
          <w:p w14:paraId="0A7DB08D">
            <w:pPr>
              <w:jc w:val="center"/>
              <w:rPr>
                <w:rFonts w:ascii="仿宋_GB2312" w:hAnsi="宋体" w:eastAsia="仿宋_GB2312"/>
                <w:color w:val="000000"/>
                <w:sz w:val="18"/>
                <w:szCs w:val="18"/>
              </w:rPr>
            </w:pPr>
          </w:p>
        </w:tc>
        <w:tc>
          <w:tcPr>
            <w:tcW w:w="900" w:type="dxa"/>
            <w:shd w:val="clear" w:color="auto" w:fill="auto"/>
            <w:vAlign w:val="center"/>
          </w:tcPr>
          <w:p w14:paraId="10ED5900">
            <w:pPr>
              <w:jc w:val="center"/>
              <w:rPr>
                <w:rFonts w:ascii="仿宋_GB2312" w:hAnsi="宋体" w:eastAsia="仿宋_GB2312"/>
                <w:color w:val="000000"/>
                <w:sz w:val="18"/>
                <w:szCs w:val="18"/>
              </w:rPr>
            </w:pPr>
            <w:r>
              <w:rPr>
                <w:rFonts w:hint="eastAsia" w:ascii="仿宋_GB2312" w:hAnsi="宋体" w:eastAsia="仿宋_GB2312"/>
                <w:color w:val="000000"/>
                <w:sz w:val="18"/>
                <w:szCs w:val="18"/>
              </w:rPr>
              <w:t>申请人</w:t>
            </w:r>
          </w:p>
        </w:tc>
        <w:tc>
          <w:tcPr>
            <w:tcW w:w="540" w:type="dxa"/>
            <w:shd w:val="clear" w:color="auto" w:fill="auto"/>
            <w:vAlign w:val="center"/>
          </w:tcPr>
          <w:p w14:paraId="307ABABD">
            <w:pPr>
              <w:jc w:val="center"/>
              <w:rPr>
                <w:rFonts w:ascii="仿宋_GB2312" w:hAnsi="宋体" w:eastAsia="仿宋_GB2312"/>
                <w:color w:val="000000"/>
                <w:sz w:val="18"/>
                <w:szCs w:val="18"/>
              </w:rPr>
            </w:pPr>
          </w:p>
        </w:tc>
        <w:tc>
          <w:tcPr>
            <w:tcW w:w="720" w:type="dxa"/>
            <w:shd w:val="clear" w:color="auto" w:fill="auto"/>
            <w:vAlign w:val="center"/>
          </w:tcPr>
          <w:p w14:paraId="3BBC35A8">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540" w:type="dxa"/>
            <w:shd w:val="clear" w:color="auto" w:fill="auto"/>
            <w:vAlign w:val="center"/>
          </w:tcPr>
          <w:p w14:paraId="4002BE69">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390CB699">
            <w:pPr>
              <w:jc w:val="center"/>
              <w:rPr>
                <w:rFonts w:ascii="仿宋_GB2312" w:hAnsi="宋体" w:eastAsia="仿宋_GB2312"/>
                <w:color w:val="000000"/>
                <w:sz w:val="18"/>
                <w:szCs w:val="18"/>
              </w:rPr>
            </w:pPr>
          </w:p>
        </w:tc>
      </w:tr>
      <w:tr w14:paraId="5DE83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461C2835">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7</w:t>
            </w:r>
          </w:p>
        </w:tc>
        <w:tc>
          <w:tcPr>
            <w:tcW w:w="900" w:type="dxa"/>
            <w:vMerge w:val="continue"/>
            <w:shd w:val="clear" w:color="auto" w:fill="auto"/>
            <w:vAlign w:val="center"/>
          </w:tcPr>
          <w:p w14:paraId="57BD677D">
            <w:pPr>
              <w:jc w:val="center"/>
              <w:rPr>
                <w:rFonts w:ascii="仿宋_GB2312" w:hAnsi="宋体" w:eastAsia="仿宋_GB2312"/>
                <w:color w:val="000000"/>
                <w:sz w:val="18"/>
                <w:szCs w:val="18"/>
              </w:rPr>
            </w:pPr>
          </w:p>
        </w:tc>
        <w:tc>
          <w:tcPr>
            <w:tcW w:w="1440" w:type="dxa"/>
            <w:shd w:val="clear" w:color="auto" w:fill="auto"/>
            <w:vAlign w:val="center"/>
          </w:tcPr>
          <w:p w14:paraId="6B4A4EB4">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对法律援助机构不予援助决定异议的审查</w:t>
            </w:r>
          </w:p>
        </w:tc>
        <w:tc>
          <w:tcPr>
            <w:tcW w:w="1810" w:type="dxa"/>
            <w:shd w:val="clear" w:color="auto" w:fill="auto"/>
            <w:vAlign w:val="center"/>
          </w:tcPr>
          <w:p w14:paraId="03B3FE31">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处理决定书</w:t>
            </w:r>
          </w:p>
        </w:tc>
        <w:tc>
          <w:tcPr>
            <w:tcW w:w="2835" w:type="dxa"/>
            <w:shd w:val="clear" w:color="auto" w:fill="auto"/>
            <w:vAlign w:val="center"/>
          </w:tcPr>
          <w:p w14:paraId="32213DD6">
            <w:pPr>
              <w:rPr>
                <w:rFonts w:ascii="仿宋_GB2312" w:hAnsi="宋体" w:eastAsia="仿宋_GB2312"/>
                <w:color w:val="000000"/>
                <w:sz w:val="18"/>
                <w:szCs w:val="18"/>
              </w:rPr>
            </w:pPr>
            <w:r>
              <w:rPr>
                <w:rFonts w:hint="eastAsia" w:ascii="仿宋_GB2312" w:hAnsi="宋体" w:eastAsia="仿宋_GB2312"/>
                <w:color w:val="000000"/>
                <w:sz w:val="18"/>
                <w:szCs w:val="18"/>
              </w:rPr>
              <w:t>《法律援助条例》、《江西省法律援助条例》</w:t>
            </w:r>
          </w:p>
        </w:tc>
        <w:tc>
          <w:tcPr>
            <w:tcW w:w="1559" w:type="dxa"/>
            <w:shd w:val="clear" w:color="auto" w:fill="auto"/>
            <w:vAlign w:val="center"/>
          </w:tcPr>
          <w:p w14:paraId="782688D9">
            <w:pPr>
              <w:rPr>
                <w:rFonts w:ascii="仿宋_GB2312" w:hAnsi="宋体" w:eastAsia="仿宋_GB2312"/>
                <w:color w:val="000000"/>
                <w:sz w:val="18"/>
                <w:szCs w:val="18"/>
              </w:rPr>
            </w:pPr>
            <w:r>
              <w:rPr>
                <w:rFonts w:hint="eastAsia" w:ascii="仿宋_GB2312" w:hAnsi="宋体" w:eastAsia="仿宋_GB2312"/>
                <w:color w:val="000000"/>
                <w:sz w:val="18"/>
                <w:szCs w:val="18"/>
              </w:rPr>
              <w:t>自收到公开申请之日起20个工作日内公开</w:t>
            </w:r>
          </w:p>
        </w:tc>
        <w:tc>
          <w:tcPr>
            <w:tcW w:w="1134" w:type="dxa"/>
            <w:shd w:val="clear" w:color="auto" w:fill="auto"/>
            <w:vAlign w:val="center"/>
          </w:tcPr>
          <w:p w14:paraId="544FF5F0">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区司法局</w:t>
            </w:r>
          </w:p>
        </w:tc>
        <w:tc>
          <w:tcPr>
            <w:tcW w:w="1302" w:type="dxa"/>
            <w:shd w:val="clear" w:color="auto" w:fill="auto"/>
            <w:vAlign w:val="center"/>
          </w:tcPr>
          <w:p w14:paraId="4BE85141">
            <w:pPr>
              <w:widowControl/>
              <w:jc w:val="left"/>
              <w:textAlignment w:val="center"/>
              <w:rPr>
                <w:rFonts w:ascii="仿宋_GB2312" w:hAnsi="宋体" w:eastAsia="仿宋_GB2312"/>
                <w:color w:val="000000"/>
                <w:sz w:val="18"/>
                <w:szCs w:val="18"/>
              </w:rPr>
            </w:pPr>
            <w:r>
              <w:rPr>
                <w:rFonts w:ascii="仿宋_GB2312" w:hAnsi="宋体" w:eastAsia="仿宋_GB2312"/>
                <w:color w:val="000000"/>
                <w:sz w:val="18"/>
                <w:szCs w:val="18"/>
              </w:rPr>
              <w:t>■精准推送</w:t>
            </w:r>
          </w:p>
        </w:tc>
        <w:tc>
          <w:tcPr>
            <w:tcW w:w="540" w:type="dxa"/>
            <w:shd w:val="clear" w:color="auto" w:fill="auto"/>
            <w:vAlign w:val="center"/>
          </w:tcPr>
          <w:p w14:paraId="24DF711C">
            <w:pPr>
              <w:jc w:val="center"/>
              <w:rPr>
                <w:rFonts w:ascii="仿宋_GB2312" w:hAnsi="宋体" w:eastAsia="仿宋_GB2312"/>
                <w:color w:val="000000"/>
                <w:sz w:val="18"/>
                <w:szCs w:val="18"/>
              </w:rPr>
            </w:pPr>
          </w:p>
        </w:tc>
        <w:tc>
          <w:tcPr>
            <w:tcW w:w="900" w:type="dxa"/>
            <w:shd w:val="clear" w:color="auto" w:fill="auto"/>
            <w:vAlign w:val="center"/>
          </w:tcPr>
          <w:p w14:paraId="743C9B98">
            <w:pPr>
              <w:jc w:val="center"/>
              <w:rPr>
                <w:rFonts w:ascii="仿宋_GB2312" w:hAnsi="宋体" w:eastAsia="仿宋_GB2312"/>
                <w:color w:val="000000"/>
                <w:sz w:val="18"/>
                <w:szCs w:val="18"/>
              </w:rPr>
            </w:pPr>
            <w:r>
              <w:rPr>
                <w:rFonts w:hint="eastAsia" w:ascii="仿宋_GB2312" w:hAnsi="宋体" w:eastAsia="仿宋_GB2312"/>
                <w:color w:val="000000"/>
                <w:sz w:val="18"/>
                <w:szCs w:val="18"/>
              </w:rPr>
              <w:t>申请人</w:t>
            </w:r>
          </w:p>
        </w:tc>
        <w:tc>
          <w:tcPr>
            <w:tcW w:w="540" w:type="dxa"/>
            <w:shd w:val="clear" w:color="auto" w:fill="auto"/>
            <w:vAlign w:val="center"/>
          </w:tcPr>
          <w:p w14:paraId="40663C35">
            <w:pPr>
              <w:jc w:val="center"/>
              <w:rPr>
                <w:rFonts w:ascii="仿宋_GB2312" w:hAnsi="宋体" w:eastAsia="仿宋_GB2312"/>
                <w:color w:val="000000"/>
                <w:sz w:val="18"/>
                <w:szCs w:val="18"/>
              </w:rPr>
            </w:pPr>
          </w:p>
        </w:tc>
        <w:tc>
          <w:tcPr>
            <w:tcW w:w="720" w:type="dxa"/>
            <w:shd w:val="clear" w:color="auto" w:fill="auto"/>
            <w:vAlign w:val="center"/>
          </w:tcPr>
          <w:p w14:paraId="3241DC71">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540" w:type="dxa"/>
            <w:shd w:val="clear" w:color="auto" w:fill="auto"/>
            <w:vAlign w:val="center"/>
          </w:tcPr>
          <w:p w14:paraId="3F672622">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793640B7">
            <w:pPr>
              <w:jc w:val="center"/>
              <w:rPr>
                <w:rFonts w:ascii="仿宋_GB2312" w:hAnsi="宋体" w:eastAsia="仿宋_GB2312"/>
                <w:color w:val="000000"/>
                <w:sz w:val="18"/>
                <w:szCs w:val="18"/>
              </w:rPr>
            </w:pPr>
          </w:p>
        </w:tc>
      </w:tr>
      <w:tr w14:paraId="193C6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509D6A27">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8</w:t>
            </w:r>
          </w:p>
        </w:tc>
        <w:tc>
          <w:tcPr>
            <w:tcW w:w="900" w:type="dxa"/>
            <w:vMerge w:val="continue"/>
            <w:shd w:val="clear" w:color="auto" w:fill="auto"/>
            <w:vAlign w:val="center"/>
          </w:tcPr>
          <w:p w14:paraId="70C37370">
            <w:pPr>
              <w:jc w:val="center"/>
              <w:rPr>
                <w:rFonts w:ascii="仿宋_GB2312" w:hAnsi="宋体" w:eastAsia="仿宋_GB2312"/>
                <w:color w:val="000000"/>
                <w:sz w:val="18"/>
                <w:szCs w:val="18"/>
              </w:rPr>
            </w:pPr>
          </w:p>
        </w:tc>
        <w:tc>
          <w:tcPr>
            <w:tcW w:w="1440" w:type="dxa"/>
            <w:shd w:val="clear" w:color="auto" w:fill="auto"/>
            <w:vAlign w:val="center"/>
          </w:tcPr>
          <w:p w14:paraId="3B48D908">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对在法律援助工作中作出突出贡献的组织和个人进行表彰奖励</w:t>
            </w:r>
          </w:p>
        </w:tc>
        <w:tc>
          <w:tcPr>
            <w:tcW w:w="1810" w:type="dxa"/>
            <w:shd w:val="clear" w:color="auto" w:fill="auto"/>
            <w:vAlign w:val="center"/>
          </w:tcPr>
          <w:p w14:paraId="68001997">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评选表彰通知；先进集体和个人申报表（空白表）；拟表彰的先进集体先进个人名单；表彰决定</w:t>
            </w:r>
          </w:p>
        </w:tc>
        <w:tc>
          <w:tcPr>
            <w:tcW w:w="2835" w:type="dxa"/>
            <w:shd w:val="clear" w:color="auto" w:fill="auto"/>
            <w:vAlign w:val="center"/>
          </w:tcPr>
          <w:p w14:paraId="3554DCF3">
            <w:pPr>
              <w:rPr>
                <w:rFonts w:ascii="仿宋_GB2312" w:hAnsi="宋体" w:eastAsia="仿宋_GB2312"/>
                <w:color w:val="000000"/>
                <w:sz w:val="18"/>
                <w:szCs w:val="18"/>
              </w:rPr>
            </w:pPr>
            <w:r>
              <w:rPr>
                <w:rFonts w:hint="eastAsia" w:ascii="仿宋_GB2312" w:hAnsi="宋体" w:eastAsia="仿宋_GB2312"/>
                <w:color w:val="000000"/>
                <w:sz w:val="18"/>
                <w:szCs w:val="18"/>
              </w:rPr>
              <w:t>《法律援助条例》、《江西省法律援助条例》</w:t>
            </w:r>
          </w:p>
        </w:tc>
        <w:tc>
          <w:tcPr>
            <w:tcW w:w="1559" w:type="dxa"/>
            <w:shd w:val="clear" w:color="auto" w:fill="auto"/>
            <w:vAlign w:val="center"/>
          </w:tcPr>
          <w:p w14:paraId="25A194B6">
            <w:pPr>
              <w:rPr>
                <w:rFonts w:ascii="仿宋_GB2312" w:hAnsi="宋体" w:eastAsia="仿宋_GB2312"/>
                <w:color w:val="000000"/>
                <w:sz w:val="18"/>
                <w:szCs w:val="18"/>
              </w:rPr>
            </w:pPr>
            <w:r>
              <w:rPr>
                <w:rFonts w:hint="eastAsia" w:ascii="仿宋_GB2312" w:hAnsi="宋体" w:eastAsia="仿宋_GB2312"/>
                <w:color w:val="000000"/>
                <w:sz w:val="18"/>
                <w:szCs w:val="18"/>
              </w:rPr>
              <w:t>自制作或获取该信息之日起20个工作日内公开</w:t>
            </w:r>
          </w:p>
        </w:tc>
        <w:tc>
          <w:tcPr>
            <w:tcW w:w="1134" w:type="dxa"/>
            <w:shd w:val="clear" w:color="auto" w:fill="auto"/>
            <w:vAlign w:val="center"/>
          </w:tcPr>
          <w:p w14:paraId="12683081">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区司法局</w:t>
            </w:r>
          </w:p>
        </w:tc>
        <w:tc>
          <w:tcPr>
            <w:tcW w:w="1302" w:type="dxa"/>
            <w:shd w:val="clear" w:color="auto" w:fill="auto"/>
            <w:vAlign w:val="center"/>
          </w:tcPr>
          <w:p w14:paraId="7348D241">
            <w:pPr>
              <w:widowControl/>
              <w:jc w:val="left"/>
              <w:textAlignment w:val="center"/>
              <w:rPr>
                <w:rFonts w:ascii="仿宋_GB2312" w:hAnsi="宋体" w:eastAsia="仿宋_GB2312"/>
                <w:color w:val="000000"/>
                <w:sz w:val="18"/>
                <w:szCs w:val="18"/>
              </w:rPr>
            </w:pPr>
            <w:r>
              <w:rPr>
                <w:rFonts w:ascii="仿宋_GB2312" w:hAnsi="宋体" w:eastAsia="仿宋_GB2312"/>
                <w:color w:val="000000"/>
                <w:sz w:val="18"/>
                <w:szCs w:val="18"/>
              </w:rPr>
              <w:t xml:space="preserve">■政府网站   ■两微一端    </w:t>
            </w:r>
          </w:p>
        </w:tc>
        <w:tc>
          <w:tcPr>
            <w:tcW w:w="540" w:type="dxa"/>
            <w:shd w:val="clear" w:color="auto" w:fill="auto"/>
            <w:vAlign w:val="center"/>
          </w:tcPr>
          <w:p w14:paraId="6BB60CCC">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900" w:type="dxa"/>
            <w:shd w:val="clear" w:color="auto" w:fill="auto"/>
            <w:vAlign w:val="center"/>
          </w:tcPr>
          <w:p w14:paraId="27AD2C1D">
            <w:pPr>
              <w:jc w:val="center"/>
              <w:rPr>
                <w:rFonts w:ascii="仿宋_GB2312" w:hAnsi="宋体" w:eastAsia="仿宋_GB2312"/>
                <w:color w:val="000000"/>
                <w:sz w:val="18"/>
                <w:szCs w:val="18"/>
              </w:rPr>
            </w:pPr>
          </w:p>
        </w:tc>
        <w:tc>
          <w:tcPr>
            <w:tcW w:w="540" w:type="dxa"/>
            <w:shd w:val="clear" w:color="auto" w:fill="auto"/>
            <w:vAlign w:val="center"/>
          </w:tcPr>
          <w:p w14:paraId="4F67012D">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6476019E">
            <w:pPr>
              <w:jc w:val="center"/>
              <w:rPr>
                <w:rFonts w:ascii="仿宋_GB2312" w:hAnsi="宋体" w:eastAsia="仿宋_GB2312"/>
                <w:color w:val="000000"/>
                <w:sz w:val="18"/>
                <w:szCs w:val="18"/>
              </w:rPr>
            </w:pPr>
          </w:p>
        </w:tc>
        <w:tc>
          <w:tcPr>
            <w:tcW w:w="540" w:type="dxa"/>
            <w:shd w:val="clear" w:color="auto" w:fill="auto"/>
            <w:vAlign w:val="center"/>
          </w:tcPr>
          <w:p w14:paraId="64CF263D">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16B0C210">
            <w:pPr>
              <w:jc w:val="center"/>
              <w:rPr>
                <w:rFonts w:ascii="仿宋_GB2312" w:hAnsi="宋体" w:eastAsia="仿宋_GB2312"/>
                <w:color w:val="000000"/>
                <w:sz w:val="18"/>
                <w:szCs w:val="18"/>
              </w:rPr>
            </w:pPr>
          </w:p>
        </w:tc>
      </w:tr>
      <w:tr w14:paraId="741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40437047">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9</w:t>
            </w:r>
          </w:p>
        </w:tc>
        <w:tc>
          <w:tcPr>
            <w:tcW w:w="900" w:type="dxa"/>
            <w:shd w:val="clear" w:color="auto" w:fill="auto"/>
            <w:vAlign w:val="center"/>
          </w:tcPr>
          <w:p w14:paraId="1E906AB1">
            <w:pPr>
              <w:rPr>
                <w:rFonts w:ascii="仿宋_GB2312" w:hAnsi="宋体" w:eastAsia="仿宋_GB2312"/>
                <w:color w:val="000000"/>
                <w:sz w:val="18"/>
                <w:szCs w:val="18"/>
              </w:rPr>
            </w:pPr>
            <w:r>
              <w:rPr>
                <w:rFonts w:hint="eastAsia" w:ascii="仿宋_GB2312" w:hAnsi="宋体" w:eastAsia="仿宋_GB2312"/>
                <w:color w:val="000000"/>
                <w:sz w:val="18"/>
                <w:szCs w:val="18"/>
              </w:rPr>
              <w:t>法律援助</w:t>
            </w:r>
          </w:p>
        </w:tc>
        <w:tc>
          <w:tcPr>
            <w:tcW w:w="1440" w:type="dxa"/>
            <w:shd w:val="clear" w:color="auto" w:fill="auto"/>
            <w:vAlign w:val="center"/>
          </w:tcPr>
          <w:p w14:paraId="5FBDBEAF">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对律师事务所拒绝法律援助机构指派，不安排本所律师办理法律援助案件、律师无正当理由拒绝接受、擅自终止法律援助案件或办理法律援助案件收取财物的处罚</w:t>
            </w:r>
          </w:p>
        </w:tc>
        <w:tc>
          <w:tcPr>
            <w:tcW w:w="1810" w:type="dxa"/>
            <w:shd w:val="clear" w:color="auto" w:fill="auto"/>
            <w:vAlign w:val="center"/>
          </w:tcPr>
          <w:p w14:paraId="74415FD3">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行政处罚决定或行政处罚决定书</w:t>
            </w:r>
          </w:p>
        </w:tc>
        <w:tc>
          <w:tcPr>
            <w:tcW w:w="2835" w:type="dxa"/>
            <w:shd w:val="clear" w:color="auto" w:fill="auto"/>
            <w:vAlign w:val="center"/>
          </w:tcPr>
          <w:p w14:paraId="0B2AEBAE">
            <w:pPr>
              <w:rPr>
                <w:rFonts w:ascii="仿宋_GB2312" w:hAnsi="宋体" w:eastAsia="仿宋_GB2312"/>
                <w:color w:val="000000"/>
                <w:sz w:val="18"/>
                <w:szCs w:val="18"/>
              </w:rPr>
            </w:pPr>
            <w:r>
              <w:rPr>
                <w:rFonts w:hint="eastAsia" w:ascii="仿宋_GB2312" w:hAnsi="宋体" w:eastAsia="仿宋_GB2312"/>
                <w:color w:val="000000"/>
                <w:sz w:val="18"/>
                <w:szCs w:val="18"/>
              </w:rPr>
              <w:t>《法律援助条例》、《江西省法律援助条例》</w:t>
            </w:r>
          </w:p>
        </w:tc>
        <w:tc>
          <w:tcPr>
            <w:tcW w:w="1559" w:type="dxa"/>
            <w:shd w:val="clear" w:color="auto" w:fill="auto"/>
            <w:vAlign w:val="center"/>
          </w:tcPr>
          <w:p w14:paraId="11ECB5A3">
            <w:pPr>
              <w:rPr>
                <w:rFonts w:ascii="仿宋_GB2312" w:hAnsi="宋体" w:eastAsia="仿宋_GB2312"/>
                <w:color w:val="000000"/>
                <w:sz w:val="18"/>
                <w:szCs w:val="18"/>
              </w:rPr>
            </w:pPr>
            <w:r>
              <w:rPr>
                <w:rFonts w:hint="eastAsia" w:ascii="仿宋_GB2312" w:hAnsi="宋体" w:eastAsia="仿宋_GB2312"/>
                <w:color w:val="000000"/>
                <w:sz w:val="18"/>
                <w:szCs w:val="18"/>
              </w:rPr>
              <w:t>自制作或获取该信息之日起20个工作日内公开</w:t>
            </w:r>
          </w:p>
        </w:tc>
        <w:tc>
          <w:tcPr>
            <w:tcW w:w="1134" w:type="dxa"/>
            <w:shd w:val="clear" w:color="auto" w:fill="auto"/>
            <w:vAlign w:val="center"/>
          </w:tcPr>
          <w:p w14:paraId="13E826B1">
            <w:pPr>
              <w:jc w:val="center"/>
              <w:rPr>
                <w:rFonts w:ascii="仿宋_GB2312" w:hAnsi="宋体" w:eastAsia="仿宋_GB2312"/>
                <w:color w:val="000000"/>
                <w:sz w:val="18"/>
                <w:szCs w:val="18"/>
              </w:rPr>
            </w:pPr>
            <w:r>
              <w:rPr>
                <w:rFonts w:hint="eastAsia" w:ascii="仿宋_GB2312" w:hAnsi="宋体" w:eastAsia="仿宋_GB2312"/>
                <w:color w:val="000000"/>
                <w:sz w:val="18"/>
                <w:szCs w:val="18"/>
              </w:rPr>
              <w:t>区司法局</w:t>
            </w:r>
          </w:p>
        </w:tc>
        <w:tc>
          <w:tcPr>
            <w:tcW w:w="1302" w:type="dxa"/>
            <w:shd w:val="clear" w:color="auto" w:fill="auto"/>
            <w:vAlign w:val="center"/>
          </w:tcPr>
          <w:p w14:paraId="71C92B3E">
            <w:pPr>
              <w:widowControl/>
              <w:jc w:val="left"/>
              <w:textAlignment w:val="center"/>
              <w:rPr>
                <w:rFonts w:ascii="仿宋_GB2312" w:hAnsi="宋体" w:eastAsia="仿宋_GB2312"/>
                <w:color w:val="000000"/>
                <w:sz w:val="18"/>
                <w:szCs w:val="18"/>
              </w:rPr>
            </w:pPr>
            <w:r>
              <w:rPr>
                <w:rFonts w:ascii="仿宋_GB2312" w:hAnsi="宋体" w:eastAsia="仿宋_GB2312"/>
                <w:color w:val="000000"/>
                <w:sz w:val="18"/>
                <w:szCs w:val="18"/>
              </w:rPr>
              <w:t xml:space="preserve">■政府网站   </w:t>
            </w:r>
            <w:r>
              <w:rPr>
                <w:rFonts w:hint="eastAsia" w:ascii="仿宋_GB2312" w:hAnsi="宋体" w:eastAsia="仿宋_GB2312"/>
                <w:color w:val="000000"/>
                <w:sz w:val="18"/>
                <w:szCs w:val="18"/>
              </w:rPr>
              <w:t>■</w:t>
            </w:r>
            <w:r>
              <w:rPr>
                <w:rFonts w:ascii="仿宋_GB2312" w:hAnsi="宋体" w:eastAsia="仿宋_GB2312"/>
                <w:color w:val="000000"/>
                <w:sz w:val="18"/>
                <w:szCs w:val="18"/>
              </w:rPr>
              <w:t xml:space="preserve">两微一端        </w:t>
            </w:r>
            <w:r>
              <w:rPr>
                <w:rFonts w:hint="eastAsia" w:ascii="仿宋_GB2312" w:hAnsi="宋体" w:eastAsia="仿宋_GB2312"/>
                <w:color w:val="000000"/>
                <w:sz w:val="18"/>
                <w:szCs w:val="18"/>
              </w:rPr>
              <w:t xml:space="preserve">    </w:t>
            </w:r>
            <w:r>
              <w:rPr>
                <w:rFonts w:ascii="仿宋_GB2312" w:hAnsi="宋体" w:eastAsia="仿宋_GB2312"/>
                <w:color w:val="000000"/>
                <w:sz w:val="18"/>
                <w:szCs w:val="18"/>
              </w:rPr>
              <w:t xml:space="preserve">            </w:t>
            </w:r>
          </w:p>
        </w:tc>
        <w:tc>
          <w:tcPr>
            <w:tcW w:w="540" w:type="dxa"/>
            <w:shd w:val="clear" w:color="auto" w:fill="auto"/>
            <w:vAlign w:val="center"/>
          </w:tcPr>
          <w:p w14:paraId="426F800F">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900" w:type="dxa"/>
            <w:shd w:val="clear" w:color="auto" w:fill="auto"/>
            <w:vAlign w:val="center"/>
          </w:tcPr>
          <w:p w14:paraId="6A0231CD">
            <w:pPr>
              <w:jc w:val="center"/>
              <w:rPr>
                <w:rFonts w:ascii="仿宋_GB2312" w:hAnsi="宋体" w:eastAsia="仿宋_GB2312"/>
                <w:color w:val="000000"/>
                <w:sz w:val="18"/>
                <w:szCs w:val="18"/>
              </w:rPr>
            </w:pPr>
          </w:p>
        </w:tc>
        <w:tc>
          <w:tcPr>
            <w:tcW w:w="540" w:type="dxa"/>
            <w:shd w:val="clear" w:color="auto" w:fill="auto"/>
            <w:vAlign w:val="center"/>
          </w:tcPr>
          <w:p w14:paraId="6628C2BD">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14212D41">
            <w:pPr>
              <w:jc w:val="center"/>
              <w:rPr>
                <w:rFonts w:ascii="仿宋_GB2312" w:hAnsi="宋体" w:eastAsia="仿宋_GB2312"/>
                <w:color w:val="000000"/>
                <w:sz w:val="18"/>
                <w:szCs w:val="18"/>
              </w:rPr>
            </w:pPr>
          </w:p>
        </w:tc>
        <w:tc>
          <w:tcPr>
            <w:tcW w:w="540" w:type="dxa"/>
            <w:shd w:val="clear" w:color="auto" w:fill="auto"/>
            <w:vAlign w:val="center"/>
          </w:tcPr>
          <w:p w14:paraId="203D942E">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61CBB34E">
            <w:pPr>
              <w:jc w:val="center"/>
              <w:rPr>
                <w:rFonts w:ascii="仿宋_GB2312" w:hAnsi="宋体" w:eastAsia="仿宋_GB2312"/>
                <w:color w:val="000000"/>
                <w:sz w:val="18"/>
                <w:szCs w:val="18"/>
              </w:rPr>
            </w:pPr>
          </w:p>
        </w:tc>
      </w:tr>
      <w:tr w14:paraId="33D7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24C0B59F">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10</w:t>
            </w:r>
          </w:p>
        </w:tc>
        <w:tc>
          <w:tcPr>
            <w:tcW w:w="900" w:type="dxa"/>
            <w:vMerge w:val="restart"/>
            <w:shd w:val="clear" w:color="auto" w:fill="auto"/>
            <w:vAlign w:val="center"/>
          </w:tcPr>
          <w:p w14:paraId="5A323F56">
            <w:pPr>
              <w:jc w:val="center"/>
              <w:rPr>
                <w:rFonts w:ascii="仿宋_GB2312" w:hAnsi="宋体" w:eastAsia="仿宋_GB2312"/>
                <w:color w:val="000000"/>
                <w:sz w:val="18"/>
                <w:szCs w:val="18"/>
              </w:rPr>
            </w:pPr>
            <w:r>
              <w:rPr>
                <w:rFonts w:hint="eastAsia" w:ascii="仿宋_GB2312" w:hAnsi="宋体" w:eastAsia="仿宋_GB2312"/>
                <w:color w:val="000000"/>
                <w:sz w:val="18"/>
                <w:szCs w:val="18"/>
              </w:rPr>
              <w:t>基层</w:t>
            </w:r>
          </w:p>
          <w:p w14:paraId="4428D8E5">
            <w:pPr>
              <w:jc w:val="center"/>
              <w:rPr>
                <w:rFonts w:ascii="仿宋_GB2312" w:hAnsi="宋体" w:eastAsia="仿宋_GB2312"/>
                <w:color w:val="000000"/>
                <w:sz w:val="18"/>
                <w:szCs w:val="18"/>
              </w:rPr>
            </w:pPr>
            <w:r>
              <w:rPr>
                <w:rFonts w:hint="eastAsia" w:ascii="仿宋_GB2312" w:hAnsi="宋体" w:eastAsia="仿宋_GB2312"/>
                <w:color w:val="000000"/>
                <w:sz w:val="18"/>
                <w:szCs w:val="18"/>
              </w:rPr>
              <w:t>法律</w:t>
            </w:r>
          </w:p>
          <w:p w14:paraId="68C6E90F">
            <w:pPr>
              <w:jc w:val="center"/>
              <w:rPr>
                <w:rFonts w:ascii="仿宋_GB2312" w:hAnsi="宋体" w:eastAsia="仿宋_GB2312"/>
                <w:color w:val="000000"/>
                <w:sz w:val="18"/>
                <w:szCs w:val="18"/>
              </w:rPr>
            </w:pPr>
            <w:r>
              <w:rPr>
                <w:rFonts w:hint="eastAsia" w:ascii="仿宋_GB2312" w:hAnsi="宋体" w:eastAsia="仿宋_GB2312"/>
                <w:color w:val="000000"/>
                <w:sz w:val="18"/>
                <w:szCs w:val="18"/>
              </w:rPr>
              <w:t>服务</w:t>
            </w:r>
          </w:p>
        </w:tc>
        <w:tc>
          <w:tcPr>
            <w:tcW w:w="1440" w:type="dxa"/>
            <w:shd w:val="clear" w:color="auto" w:fill="auto"/>
            <w:vAlign w:val="center"/>
          </w:tcPr>
          <w:p w14:paraId="4CD8DFAB">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对基层法律服务所、基层法律服务工作者违法违规行为的处罚</w:t>
            </w:r>
          </w:p>
        </w:tc>
        <w:tc>
          <w:tcPr>
            <w:tcW w:w="1810" w:type="dxa"/>
            <w:shd w:val="clear" w:color="auto" w:fill="auto"/>
            <w:vAlign w:val="center"/>
          </w:tcPr>
          <w:p w14:paraId="513C21EE">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行政处罚决定或行政处罚决定书</w:t>
            </w:r>
          </w:p>
        </w:tc>
        <w:tc>
          <w:tcPr>
            <w:tcW w:w="2835" w:type="dxa"/>
            <w:shd w:val="clear" w:color="auto" w:fill="auto"/>
            <w:vAlign w:val="center"/>
          </w:tcPr>
          <w:p w14:paraId="040E6B9F">
            <w:pPr>
              <w:rPr>
                <w:rFonts w:ascii="仿宋_GB2312" w:hAnsi="宋体" w:eastAsia="仿宋_GB2312"/>
                <w:color w:val="000000"/>
                <w:sz w:val="18"/>
                <w:szCs w:val="18"/>
              </w:rPr>
            </w:pPr>
            <w:r>
              <w:rPr>
                <w:rFonts w:hint="eastAsia" w:ascii="仿宋_GB2312" w:hAnsi="宋体" w:eastAsia="仿宋_GB2312"/>
                <w:color w:val="000000"/>
                <w:sz w:val="18"/>
                <w:szCs w:val="18"/>
              </w:rPr>
              <w:t>《基层法律服务所管理办法》、《基层法律服务工作者管理办法》</w:t>
            </w:r>
          </w:p>
        </w:tc>
        <w:tc>
          <w:tcPr>
            <w:tcW w:w="1559" w:type="dxa"/>
            <w:shd w:val="clear" w:color="auto" w:fill="auto"/>
            <w:vAlign w:val="center"/>
          </w:tcPr>
          <w:p w14:paraId="7444E37A">
            <w:pPr>
              <w:rPr>
                <w:rFonts w:ascii="仿宋_GB2312" w:hAnsi="宋体" w:eastAsia="仿宋_GB2312"/>
                <w:color w:val="000000"/>
                <w:sz w:val="18"/>
                <w:szCs w:val="18"/>
              </w:rPr>
            </w:pPr>
            <w:r>
              <w:rPr>
                <w:rFonts w:hint="eastAsia" w:ascii="仿宋_GB2312" w:hAnsi="宋体" w:eastAsia="仿宋_GB2312"/>
                <w:color w:val="000000"/>
                <w:sz w:val="18"/>
                <w:szCs w:val="18"/>
              </w:rPr>
              <w:t>自制作或获取该信息之日起20个工作日内公开</w:t>
            </w:r>
          </w:p>
        </w:tc>
        <w:tc>
          <w:tcPr>
            <w:tcW w:w="1134" w:type="dxa"/>
            <w:shd w:val="clear" w:color="auto" w:fill="auto"/>
            <w:vAlign w:val="center"/>
          </w:tcPr>
          <w:p w14:paraId="778CCE7C">
            <w:pPr>
              <w:jc w:val="center"/>
              <w:rPr>
                <w:rFonts w:ascii="仿宋_GB2312" w:hAnsi="宋体" w:eastAsia="仿宋_GB2312"/>
                <w:color w:val="000000"/>
                <w:sz w:val="18"/>
                <w:szCs w:val="18"/>
              </w:rPr>
            </w:pPr>
            <w:r>
              <w:rPr>
                <w:rFonts w:hint="eastAsia" w:ascii="仿宋_GB2312" w:hAnsi="宋体" w:eastAsia="仿宋_GB2312"/>
                <w:color w:val="000000"/>
                <w:sz w:val="18"/>
                <w:szCs w:val="18"/>
              </w:rPr>
              <w:t>区司法局</w:t>
            </w:r>
          </w:p>
        </w:tc>
        <w:tc>
          <w:tcPr>
            <w:tcW w:w="1302" w:type="dxa"/>
            <w:shd w:val="clear" w:color="auto" w:fill="auto"/>
            <w:vAlign w:val="center"/>
          </w:tcPr>
          <w:p w14:paraId="6ED94197">
            <w:pPr>
              <w:widowControl/>
              <w:jc w:val="left"/>
              <w:textAlignment w:val="center"/>
              <w:rPr>
                <w:rFonts w:ascii="仿宋_GB2312" w:hAnsi="宋体" w:eastAsia="仿宋_GB2312"/>
                <w:color w:val="000000"/>
                <w:sz w:val="18"/>
                <w:szCs w:val="18"/>
              </w:rPr>
            </w:pPr>
            <w:r>
              <w:rPr>
                <w:rFonts w:ascii="仿宋_GB2312" w:hAnsi="宋体" w:eastAsia="仿宋_GB2312"/>
                <w:color w:val="000000"/>
                <w:sz w:val="18"/>
                <w:szCs w:val="18"/>
              </w:rPr>
              <w:t>■政府网站</w:t>
            </w:r>
            <w:r>
              <w:rPr>
                <w:rFonts w:hint="eastAsia" w:ascii="仿宋_GB2312" w:hAnsi="宋体" w:eastAsia="仿宋_GB2312"/>
                <w:color w:val="000000"/>
                <w:sz w:val="18"/>
                <w:szCs w:val="18"/>
              </w:rPr>
              <w:t xml:space="preserve">   ■</w:t>
            </w:r>
            <w:r>
              <w:rPr>
                <w:rFonts w:ascii="仿宋_GB2312" w:hAnsi="宋体" w:eastAsia="仿宋_GB2312"/>
                <w:color w:val="000000"/>
                <w:sz w:val="18"/>
                <w:szCs w:val="18"/>
              </w:rPr>
              <w:t>两微一端</w:t>
            </w:r>
            <w:r>
              <w:rPr>
                <w:rFonts w:hint="eastAsia" w:ascii="仿宋_GB2312" w:hAnsi="宋体" w:eastAsia="仿宋_GB2312"/>
                <w:color w:val="000000"/>
                <w:sz w:val="18"/>
                <w:szCs w:val="18"/>
              </w:rPr>
              <w:t xml:space="preserve">    </w:t>
            </w:r>
          </w:p>
        </w:tc>
        <w:tc>
          <w:tcPr>
            <w:tcW w:w="540" w:type="dxa"/>
            <w:shd w:val="clear" w:color="auto" w:fill="auto"/>
            <w:vAlign w:val="center"/>
          </w:tcPr>
          <w:p w14:paraId="13EACE24">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900" w:type="dxa"/>
            <w:shd w:val="clear" w:color="auto" w:fill="auto"/>
            <w:vAlign w:val="center"/>
          </w:tcPr>
          <w:p w14:paraId="2DB4C888">
            <w:pPr>
              <w:jc w:val="center"/>
              <w:rPr>
                <w:rFonts w:ascii="仿宋_GB2312" w:hAnsi="宋体" w:eastAsia="仿宋_GB2312"/>
                <w:color w:val="000000"/>
                <w:sz w:val="18"/>
                <w:szCs w:val="18"/>
              </w:rPr>
            </w:pPr>
          </w:p>
        </w:tc>
        <w:tc>
          <w:tcPr>
            <w:tcW w:w="540" w:type="dxa"/>
            <w:shd w:val="clear" w:color="auto" w:fill="auto"/>
            <w:vAlign w:val="center"/>
          </w:tcPr>
          <w:p w14:paraId="0D18694B">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5CC29D6A">
            <w:pPr>
              <w:jc w:val="center"/>
              <w:rPr>
                <w:rFonts w:ascii="仿宋_GB2312" w:hAnsi="宋体" w:eastAsia="仿宋_GB2312"/>
                <w:color w:val="000000"/>
                <w:sz w:val="18"/>
                <w:szCs w:val="18"/>
              </w:rPr>
            </w:pPr>
          </w:p>
        </w:tc>
        <w:tc>
          <w:tcPr>
            <w:tcW w:w="540" w:type="dxa"/>
            <w:shd w:val="clear" w:color="auto" w:fill="auto"/>
            <w:vAlign w:val="center"/>
          </w:tcPr>
          <w:p w14:paraId="19BBA9CE">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7A860F19">
            <w:pPr>
              <w:jc w:val="center"/>
              <w:rPr>
                <w:rFonts w:ascii="仿宋_GB2312" w:hAnsi="宋体" w:eastAsia="仿宋_GB2312"/>
                <w:color w:val="000000"/>
                <w:sz w:val="18"/>
                <w:szCs w:val="18"/>
              </w:rPr>
            </w:pPr>
          </w:p>
        </w:tc>
      </w:tr>
      <w:tr w14:paraId="6935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24650838">
            <w:pPr>
              <w:widowControl/>
              <w:jc w:val="center"/>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11</w:t>
            </w:r>
          </w:p>
        </w:tc>
        <w:tc>
          <w:tcPr>
            <w:tcW w:w="900" w:type="dxa"/>
            <w:vMerge w:val="continue"/>
            <w:shd w:val="clear" w:color="auto" w:fill="auto"/>
            <w:vAlign w:val="center"/>
          </w:tcPr>
          <w:p w14:paraId="1B29EF04">
            <w:pPr>
              <w:jc w:val="center"/>
              <w:rPr>
                <w:rFonts w:ascii="仿宋_GB2312" w:hAnsi="宋体" w:eastAsia="仿宋_GB2312"/>
                <w:color w:val="000000"/>
                <w:sz w:val="18"/>
                <w:szCs w:val="18"/>
              </w:rPr>
            </w:pPr>
          </w:p>
        </w:tc>
        <w:tc>
          <w:tcPr>
            <w:tcW w:w="1440" w:type="dxa"/>
            <w:shd w:val="clear" w:color="auto" w:fill="auto"/>
            <w:vAlign w:val="center"/>
          </w:tcPr>
          <w:p w14:paraId="5B92A3D8">
            <w:pPr>
              <w:widowControl/>
              <w:textAlignment w:val="center"/>
              <w:rPr>
                <w:rFonts w:ascii="仿宋_GB2312" w:hAnsi="宋体" w:eastAsia="仿宋_GB2312"/>
                <w:color w:val="000000"/>
                <w:sz w:val="18"/>
                <w:szCs w:val="18"/>
              </w:rPr>
            </w:pPr>
            <w:r>
              <w:rPr>
                <w:rFonts w:hint="eastAsia" w:ascii="仿宋_GB2312" w:hAnsi="宋体" w:eastAsia="仿宋_GB2312"/>
                <w:color w:val="000000"/>
                <w:sz w:val="18"/>
                <w:szCs w:val="18"/>
              </w:rPr>
              <w:t>对基层法律服务所、基层法律服务工作者进行表彰奖励</w:t>
            </w:r>
          </w:p>
        </w:tc>
        <w:tc>
          <w:tcPr>
            <w:tcW w:w="1810" w:type="dxa"/>
            <w:shd w:val="clear" w:color="auto" w:fill="auto"/>
            <w:vAlign w:val="center"/>
          </w:tcPr>
          <w:p w14:paraId="2DE6971D">
            <w:pPr>
              <w:tabs>
                <w:tab w:val="center" w:pos="4153"/>
                <w:tab w:val="right" w:pos="8306"/>
              </w:tabs>
              <w:snapToGrid w:val="0"/>
              <w:spacing w:line="360" w:lineRule="auto"/>
              <w:rPr>
                <w:rFonts w:ascii="仿宋_GB2312" w:hAnsi="宋体" w:eastAsia="仿宋_GB2312"/>
                <w:color w:val="000000"/>
                <w:sz w:val="18"/>
                <w:szCs w:val="18"/>
              </w:rPr>
            </w:pPr>
            <w:r>
              <w:rPr>
                <w:rFonts w:hint="eastAsia" w:ascii="仿宋_GB2312" w:hAnsi="宋体" w:eastAsia="仿宋_GB2312"/>
                <w:color w:val="000000"/>
                <w:sz w:val="18"/>
                <w:szCs w:val="18"/>
              </w:rPr>
              <w:t>评选表彰通知；先进集体和个人申报表（空白表）；拟表彰的先进集体先进个人名单；表彰决定</w:t>
            </w:r>
          </w:p>
        </w:tc>
        <w:tc>
          <w:tcPr>
            <w:tcW w:w="2835" w:type="dxa"/>
            <w:shd w:val="clear" w:color="auto" w:fill="auto"/>
            <w:vAlign w:val="center"/>
          </w:tcPr>
          <w:p w14:paraId="3576B090">
            <w:pPr>
              <w:jc w:val="center"/>
              <w:rPr>
                <w:rFonts w:ascii="仿宋_GB2312" w:hAnsi="宋体" w:eastAsia="仿宋_GB2312"/>
                <w:color w:val="000000"/>
                <w:sz w:val="18"/>
                <w:szCs w:val="18"/>
              </w:rPr>
            </w:pPr>
            <w:r>
              <w:rPr>
                <w:rFonts w:hint="eastAsia" w:ascii="仿宋_GB2312" w:hAnsi="宋体" w:eastAsia="仿宋_GB2312"/>
                <w:color w:val="000000"/>
                <w:sz w:val="18"/>
                <w:szCs w:val="18"/>
              </w:rPr>
              <w:t>《基层法律服务所管理办法》、《基层法律服务工作者管理办法》</w:t>
            </w:r>
          </w:p>
        </w:tc>
        <w:tc>
          <w:tcPr>
            <w:tcW w:w="1559" w:type="dxa"/>
            <w:shd w:val="clear" w:color="auto" w:fill="auto"/>
            <w:vAlign w:val="center"/>
          </w:tcPr>
          <w:p w14:paraId="0A7CFB46">
            <w:pPr>
              <w:rPr>
                <w:rFonts w:ascii="仿宋_GB2312" w:hAnsi="宋体" w:eastAsia="仿宋_GB2312"/>
                <w:color w:val="000000"/>
                <w:sz w:val="18"/>
                <w:szCs w:val="18"/>
              </w:rPr>
            </w:pPr>
            <w:r>
              <w:rPr>
                <w:rFonts w:hint="eastAsia" w:ascii="仿宋_GB2312" w:hAnsi="宋体" w:eastAsia="仿宋_GB2312"/>
                <w:color w:val="000000"/>
                <w:sz w:val="18"/>
                <w:szCs w:val="18"/>
              </w:rPr>
              <w:t>自制作或获取该信息之日起20个工作日内公开</w:t>
            </w:r>
          </w:p>
        </w:tc>
        <w:tc>
          <w:tcPr>
            <w:tcW w:w="1134" w:type="dxa"/>
            <w:shd w:val="clear" w:color="auto" w:fill="auto"/>
            <w:vAlign w:val="center"/>
          </w:tcPr>
          <w:p w14:paraId="0E17A081">
            <w:pPr>
              <w:jc w:val="center"/>
              <w:rPr>
                <w:rFonts w:ascii="仿宋_GB2312" w:hAnsi="宋体" w:eastAsia="仿宋_GB2312"/>
                <w:color w:val="000000"/>
                <w:sz w:val="18"/>
                <w:szCs w:val="18"/>
              </w:rPr>
            </w:pPr>
            <w:r>
              <w:rPr>
                <w:rFonts w:hint="eastAsia" w:ascii="仿宋_GB2312" w:hAnsi="宋体" w:eastAsia="仿宋_GB2312"/>
                <w:color w:val="000000"/>
                <w:sz w:val="18"/>
                <w:szCs w:val="18"/>
              </w:rPr>
              <w:t>司法行政部门</w:t>
            </w:r>
          </w:p>
        </w:tc>
        <w:tc>
          <w:tcPr>
            <w:tcW w:w="1302" w:type="dxa"/>
            <w:shd w:val="clear" w:color="auto" w:fill="auto"/>
            <w:vAlign w:val="center"/>
          </w:tcPr>
          <w:p w14:paraId="7C27B926">
            <w:pPr>
              <w:widowControl/>
              <w:jc w:val="left"/>
              <w:textAlignment w:val="center"/>
              <w:rPr>
                <w:rFonts w:ascii="仿宋_GB2312" w:hAnsi="宋体" w:eastAsia="仿宋_GB2312"/>
                <w:color w:val="000000"/>
                <w:sz w:val="18"/>
                <w:szCs w:val="18"/>
              </w:rPr>
            </w:pPr>
            <w:r>
              <w:rPr>
                <w:rFonts w:ascii="仿宋_GB2312" w:hAnsi="宋体" w:eastAsia="仿宋_GB2312"/>
                <w:color w:val="000000"/>
                <w:sz w:val="18"/>
                <w:szCs w:val="18"/>
              </w:rPr>
              <w:t xml:space="preserve">■政府网站   ■两微一端    </w:t>
            </w:r>
          </w:p>
        </w:tc>
        <w:tc>
          <w:tcPr>
            <w:tcW w:w="540" w:type="dxa"/>
            <w:shd w:val="clear" w:color="auto" w:fill="auto"/>
            <w:vAlign w:val="center"/>
          </w:tcPr>
          <w:p w14:paraId="24E2F2E9">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900" w:type="dxa"/>
            <w:shd w:val="clear" w:color="auto" w:fill="auto"/>
            <w:vAlign w:val="center"/>
          </w:tcPr>
          <w:p w14:paraId="21B6521C">
            <w:pPr>
              <w:jc w:val="center"/>
              <w:rPr>
                <w:rFonts w:ascii="仿宋_GB2312" w:hAnsi="宋体" w:eastAsia="仿宋_GB2312"/>
                <w:color w:val="000000"/>
                <w:sz w:val="18"/>
                <w:szCs w:val="18"/>
              </w:rPr>
            </w:pPr>
          </w:p>
        </w:tc>
        <w:tc>
          <w:tcPr>
            <w:tcW w:w="540" w:type="dxa"/>
            <w:shd w:val="clear" w:color="auto" w:fill="auto"/>
            <w:vAlign w:val="center"/>
          </w:tcPr>
          <w:p w14:paraId="29A7F97C">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5B9A560C">
            <w:pPr>
              <w:jc w:val="center"/>
              <w:rPr>
                <w:rFonts w:ascii="仿宋_GB2312" w:hAnsi="宋体" w:eastAsia="仿宋_GB2312"/>
                <w:color w:val="000000"/>
                <w:sz w:val="18"/>
                <w:szCs w:val="18"/>
              </w:rPr>
            </w:pPr>
          </w:p>
        </w:tc>
        <w:tc>
          <w:tcPr>
            <w:tcW w:w="540" w:type="dxa"/>
            <w:shd w:val="clear" w:color="auto" w:fill="auto"/>
            <w:vAlign w:val="center"/>
          </w:tcPr>
          <w:p w14:paraId="5F88EFD2">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720" w:type="dxa"/>
            <w:shd w:val="clear" w:color="auto" w:fill="auto"/>
            <w:vAlign w:val="center"/>
          </w:tcPr>
          <w:p w14:paraId="597480F7">
            <w:pPr>
              <w:jc w:val="center"/>
              <w:rPr>
                <w:rFonts w:ascii="仿宋_GB2312" w:hAnsi="宋体" w:eastAsia="仿宋_GB2312"/>
                <w:color w:val="000000"/>
                <w:sz w:val="18"/>
                <w:szCs w:val="18"/>
              </w:rPr>
            </w:pPr>
          </w:p>
        </w:tc>
      </w:tr>
      <w:tr w14:paraId="620B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40" w:type="dxa"/>
            <w:shd w:val="clear" w:color="auto" w:fill="auto"/>
            <w:vAlign w:val="center"/>
          </w:tcPr>
          <w:p w14:paraId="2ED62521">
            <w:pPr>
              <w:widowControl/>
              <w:jc w:val="center"/>
              <w:textAlignment w:val="center"/>
              <w:rPr>
                <w:rFonts w:ascii="仿宋_GB2312" w:hAnsi="宋体" w:eastAsia="仿宋_GB2312"/>
                <w:sz w:val="18"/>
                <w:szCs w:val="18"/>
              </w:rPr>
            </w:pPr>
            <w:r>
              <w:rPr>
                <w:rFonts w:hint="eastAsia" w:ascii="仿宋_GB2312" w:hAnsi="宋体" w:eastAsia="仿宋_GB2312"/>
                <w:sz w:val="18"/>
                <w:szCs w:val="18"/>
              </w:rPr>
              <w:t>12</w:t>
            </w:r>
          </w:p>
        </w:tc>
        <w:tc>
          <w:tcPr>
            <w:tcW w:w="900" w:type="dxa"/>
            <w:shd w:val="clear" w:color="auto" w:fill="auto"/>
            <w:vAlign w:val="center"/>
          </w:tcPr>
          <w:p w14:paraId="5F7A7899">
            <w:pPr>
              <w:rPr>
                <w:rFonts w:ascii="仿宋_GB2312" w:hAnsi="宋体" w:eastAsia="仿宋_GB2312"/>
                <w:sz w:val="18"/>
                <w:szCs w:val="18"/>
              </w:rPr>
            </w:pPr>
            <w:r>
              <w:rPr>
                <w:rFonts w:hint="eastAsia" w:ascii="仿宋_GB2312" w:hAnsi="宋体" w:eastAsia="仿宋_GB2312"/>
                <w:sz w:val="18"/>
                <w:szCs w:val="18"/>
              </w:rPr>
              <w:t>人民调解</w:t>
            </w:r>
          </w:p>
        </w:tc>
        <w:tc>
          <w:tcPr>
            <w:tcW w:w="1440" w:type="dxa"/>
            <w:shd w:val="clear" w:color="auto" w:fill="auto"/>
            <w:vAlign w:val="center"/>
          </w:tcPr>
          <w:p w14:paraId="3933B3FF">
            <w:pPr>
              <w:widowControl/>
              <w:textAlignment w:val="center"/>
              <w:rPr>
                <w:rFonts w:ascii="仿宋_GB2312" w:hAnsi="宋体" w:eastAsia="仿宋_GB2312"/>
                <w:sz w:val="18"/>
                <w:szCs w:val="18"/>
              </w:rPr>
            </w:pPr>
            <w:r>
              <w:rPr>
                <w:rFonts w:hint="eastAsia" w:ascii="仿宋_GB2312" w:hAnsi="宋体" w:eastAsia="仿宋_GB2312"/>
                <w:sz w:val="18"/>
                <w:szCs w:val="18"/>
              </w:rPr>
              <w:t>对有突出贡献的人民调解委员会和人民调解员按照国家规定给予表彰奖励</w:t>
            </w:r>
          </w:p>
        </w:tc>
        <w:tc>
          <w:tcPr>
            <w:tcW w:w="1810" w:type="dxa"/>
            <w:shd w:val="clear" w:color="auto" w:fill="auto"/>
            <w:vAlign w:val="center"/>
          </w:tcPr>
          <w:p w14:paraId="4DAE60DF">
            <w:pPr>
              <w:tabs>
                <w:tab w:val="center" w:pos="4153"/>
                <w:tab w:val="right" w:pos="8306"/>
              </w:tabs>
              <w:snapToGrid w:val="0"/>
              <w:spacing w:line="360" w:lineRule="auto"/>
              <w:rPr>
                <w:rFonts w:ascii="仿宋_GB2312" w:hAnsi="宋体" w:eastAsia="仿宋_GB2312"/>
                <w:sz w:val="18"/>
                <w:szCs w:val="18"/>
              </w:rPr>
            </w:pPr>
            <w:r>
              <w:rPr>
                <w:rFonts w:hint="eastAsia" w:ascii="仿宋_GB2312" w:hAnsi="宋体" w:eastAsia="仿宋_GB2312"/>
                <w:sz w:val="18"/>
                <w:szCs w:val="18"/>
              </w:rPr>
              <w:t>评选表彰通知；先进集体和个人申报表（空白表）；拟表彰的先进集体先进个人名单；</w:t>
            </w:r>
          </w:p>
          <w:p w14:paraId="5E50BB05">
            <w:pPr>
              <w:tabs>
                <w:tab w:val="center" w:pos="4153"/>
                <w:tab w:val="right" w:pos="8306"/>
              </w:tabs>
              <w:snapToGrid w:val="0"/>
              <w:spacing w:line="360" w:lineRule="auto"/>
              <w:rPr>
                <w:rFonts w:ascii="仿宋_GB2312" w:hAnsi="宋体" w:eastAsia="仿宋_GB2312"/>
                <w:sz w:val="18"/>
                <w:szCs w:val="18"/>
              </w:rPr>
            </w:pPr>
            <w:r>
              <w:rPr>
                <w:rFonts w:hint="eastAsia" w:ascii="仿宋_GB2312" w:hAnsi="宋体" w:eastAsia="仿宋_GB2312"/>
                <w:sz w:val="18"/>
                <w:szCs w:val="18"/>
              </w:rPr>
              <w:t>表彰决定</w:t>
            </w:r>
          </w:p>
        </w:tc>
        <w:tc>
          <w:tcPr>
            <w:tcW w:w="2835" w:type="dxa"/>
            <w:shd w:val="clear" w:color="auto" w:fill="auto"/>
            <w:vAlign w:val="center"/>
          </w:tcPr>
          <w:p w14:paraId="0E3F747D">
            <w:pPr>
              <w:rPr>
                <w:rFonts w:ascii="仿宋_GB2312" w:hAnsi="宋体" w:eastAsia="仿宋_GB2312"/>
                <w:sz w:val="18"/>
                <w:szCs w:val="18"/>
              </w:rPr>
            </w:pPr>
            <w:r>
              <w:rPr>
                <w:rFonts w:hint="eastAsia" w:ascii="仿宋_GB2312" w:hAnsi="宋体" w:eastAsia="仿宋_GB2312"/>
                <w:sz w:val="18"/>
                <w:szCs w:val="18"/>
              </w:rPr>
              <w:t>《人民调解法》、《江西省人民调解条例》</w:t>
            </w:r>
          </w:p>
        </w:tc>
        <w:tc>
          <w:tcPr>
            <w:tcW w:w="1559" w:type="dxa"/>
            <w:shd w:val="clear" w:color="auto" w:fill="auto"/>
            <w:vAlign w:val="center"/>
          </w:tcPr>
          <w:p w14:paraId="0A9D6730">
            <w:pPr>
              <w:rPr>
                <w:rFonts w:ascii="仿宋_GB2312" w:hAnsi="宋体" w:eastAsia="仿宋_GB2312"/>
                <w:sz w:val="18"/>
                <w:szCs w:val="18"/>
              </w:rPr>
            </w:pPr>
            <w:r>
              <w:rPr>
                <w:rFonts w:hint="eastAsia" w:ascii="仿宋_GB2312" w:hAnsi="宋体" w:eastAsia="仿宋_GB2312"/>
                <w:sz w:val="18"/>
                <w:szCs w:val="18"/>
              </w:rPr>
              <w:t>自制作或获取该信息之日起20个工作日内公开</w:t>
            </w:r>
          </w:p>
        </w:tc>
        <w:tc>
          <w:tcPr>
            <w:tcW w:w="1134" w:type="dxa"/>
            <w:shd w:val="clear" w:color="auto" w:fill="auto"/>
            <w:vAlign w:val="center"/>
          </w:tcPr>
          <w:p w14:paraId="5DC47D1C">
            <w:pPr>
              <w:jc w:val="center"/>
              <w:rPr>
                <w:rFonts w:ascii="仿宋_GB2312" w:hAnsi="宋体" w:eastAsia="仿宋_GB2312"/>
                <w:sz w:val="18"/>
                <w:szCs w:val="18"/>
              </w:rPr>
            </w:pPr>
            <w:r>
              <w:rPr>
                <w:rFonts w:hint="eastAsia" w:ascii="仿宋_GB2312" w:hAnsi="宋体" w:eastAsia="仿宋_GB2312"/>
                <w:sz w:val="18"/>
                <w:szCs w:val="18"/>
              </w:rPr>
              <w:t>司法行政部门</w:t>
            </w:r>
          </w:p>
        </w:tc>
        <w:tc>
          <w:tcPr>
            <w:tcW w:w="1302" w:type="dxa"/>
            <w:shd w:val="clear" w:color="auto" w:fill="auto"/>
            <w:vAlign w:val="center"/>
          </w:tcPr>
          <w:p w14:paraId="7EF22C05">
            <w:pPr>
              <w:widowControl/>
              <w:jc w:val="left"/>
              <w:textAlignment w:val="center"/>
              <w:rPr>
                <w:rFonts w:ascii="仿宋_GB2312" w:hAnsi="宋体" w:eastAsia="仿宋_GB2312"/>
                <w:sz w:val="18"/>
                <w:szCs w:val="18"/>
              </w:rPr>
            </w:pPr>
            <w:r>
              <w:rPr>
                <w:rFonts w:ascii="仿宋_GB2312" w:hAnsi="宋体" w:eastAsia="仿宋_GB2312"/>
                <w:sz w:val="18"/>
                <w:szCs w:val="18"/>
              </w:rPr>
              <w:t xml:space="preserve">■政府网站   ■两微一端    </w:t>
            </w:r>
          </w:p>
        </w:tc>
        <w:tc>
          <w:tcPr>
            <w:tcW w:w="540" w:type="dxa"/>
            <w:shd w:val="clear" w:color="auto" w:fill="auto"/>
            <w:vAlign w:val="center"/>
          </w:tcPr>
          <w:p w14:paraId="64BAF98A">
            <w:pPr>
              <w:jc w:val="center"/>
              <w:rPr>
                <w:rFonts w:ascii="仿宋_GB2312" w:hAnsi="宋体" w:eastAsia="仿宋_GB2312"/>
                <w:sz w:val="18"/>
                <w:szCs w:val="18"/>
              </w:rPr>
            </w:pPr>
            <w:r>
              <w:rPr>
                <w:rFonts w:hint="eastAsia" w:ascii="仿宋_GB2312" w:hAnsi="宋体" w:eastAsia="仿宋_GB2312"/>
                <w:sz w:val="18"/>
                <w:szCs w:val="18"/>
              </w:rPr>
              <w:t>√</w:t>
            </w:r>
          </w:p>
        </w:tc>
        <w:tc>
          <w:tcPr>
            <w:tcW w:w="900" w:type="dxa"/>
            <w:shd w:val="clear" w:color="auto" w:fill="auto"/>
            <w:vAlign w:val="center"/>
          </w:tcPr>
          <w:p w14:paraId="0066BF8B">
            <w:pPr>
              <w:jc w:val="center"/>
              <w:rPr>
                <w:rFonts w:ascii="仿宋_GB2312" w:hAnsi="宋体" w:eastAsia="仿宋_GB2312"/>
                <w:sz w:val="18"/>
                <w:szCs w:val="18"/>
              </w:rPr>
            </w:pPr>
          </w:p>
        </w:tc>
        <w:tc>
          <w:tcPr>
            <w:tcW w:w="540" w:type="dxa"/>
            <w:shd w:val="clear" w:color="auto" w:fill="auto"/>
            <w:vAlign w:val="center"/>
          </w:tcPr>
          <w:p w14:paraId="13CCB762">
            <w:pPr>
              <w:jc w:val="center"/>
              <w:rPr>
                <w:rFonts w:ascii="仿宋_GB2312" w:hAnsi="宋体" w:eastAsia="仿宋_GB2312"/>
                <w:sz w:val="18"/>
                <w:szCs w:val="18"/>
              </w:rPr>
            </w:pPr>
            <w:r>
              <w:rPr>
                <w:rFonts w:hint="eastAsia" w:ascii="仿宋_GB2312" w:hAnsi="宋体" w:eastAsia="仿宋_GB2312"/>
                <w:sz w:val="18"/>
                <w:szCs w:val="18"/>
              </w:rPr>
              <w:t>√</w:t>
            </w:r>
          </w:p>
        </w:tc>
        <w:tc>
          <w:tcPr>
            <w:tcW w:w="720" w:type="dxa"/>
            <w:shd w:val="clear" w:color="auto" w:fill="auto"/>
            <w:vAlign w:val="center"/>
          </w:tcPr>
          <w:p w14:paraId="42E5AF13">
            <w:pPr>
              <w:jc w:val="center"/>
              <w:rPr>
                <w:rFonts w:ascii="仿宋_GB2312" w:hAnsi="宋体" w:eastAsia="仿宋_GB2312"/>
                <w:sz w:val="18"/>
                <w:szCs w:val="18"/>
              </w:rPr>
            </w:pPr>
          </w:p>
        </w:tc>
        <w:tc>
          <w:tcPr>
            <w:tcW w:w="540" w:type="dxa"/>
            <w:shd w:val="clear" w:color="auto" w:fill="auto"/>
            <w:vAlign w:val="center"/>
          </w:tcPr>
          <w:p w14:paraId="38C9CC14">
            <w:pPr>
              <w:jc w:val="center"/>
              <w:rPr>
                <w:rFonts w:ascii="仿宋_GB2312" w:hAnsi="宋体" w:eastAsia="仿宋_GB2312"/>
                <w:sz w:val="18"/>
                <w:szCs w:val="18"/>
              </w:rPr>
            </w:pPr>
            <w:r>
              <w:rPr>
                <w:rFonts w:hint="eastAsia" w:ascii="仿宋_GB2312" w:hAnsi="宋体" w:eastAsia="仿宋_GB2312"/>
                <w:sz w:val="18"/>
                <w:szCs w:val="18"/>
              </w:rPr>
              <w:t>√</w:t>
            </w:r>
          </w:p>
        </w:tc>
        <w:tc>
          <w:tcPr>
            <w:tcW w:w="720" w:type="dxa"/>
            <w:shd w:val="clear" w:color="auto" w:fill="auto"/>
            <w:vAlign w:val="center"/>
          </w:tcPr>
          <w:p w14:paraId="4FBBFD37">
            <w:pPr>
              <w:jc w:val="center"/>
              <w:rPr>
                <w:rFonts w:ascii="仿宋_GB2312" w:hAnsi="宋体" w:eastAsia="仿宋_GB2312"/>
                <w:sz w:val="18"/>
                <w:szCs w:val="18"/>
              </w:rPr>
            </w:pPr>
          </w:p>
        </w:tc>
      </w:tr>
      <w:tr w14:paraId="6B54A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shd w:val="clear" w:color="auto" w:fill="auto"/>
            <w:vAlign w:val="center"/>
          </w:tcPr>
          <w:p w14:paraId="45D5D5A3">
            <w:pPr>
              <w:widowControl/>
              <w:jc w:val="center"/>
              <w:textAlignment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13</w:t>
            </w:r>
          </w:p>
        </w:tc>
        <w:tc>
          <w:tcPr>
            <w:tcW w:w="900" w:type="dxa"/>
            <w:shd w:val="clear" w:color="auto" w:fill="auto"/>
            <w:vAlign w:val="center"/>
          </w:tcPr>
          <w:p w14:paraId="26114768">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法律咨询</w:t>
            </w:r>
          </w:p>
          <w:p w14:paraId="37FAFE7F">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服务</w:t>
            </w:r>
          </w:p>
        </w:tc>
        <w:tc>
          <w:tcPr>
            <w:tcW w:w="1440" w:type="dxa"/>
            <w:shd w:val="clear" w:color="auto" w:fill="auto"/>
            <w:vAlign w:val="center"/>
          </w:tcPr>
          <w:p w14:paraId="05E4BCF9">
            <w:pPr>
              <w:widowControl/>
              <w:textAlignment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公共法律服务实体平台、网络平台咨询服务</w:t>
            </w:r>
          </w:p>
        </w:tc>
        <w:tc>
          <w:tcPr>
            <w:tcW w:w="1810" w:type="dxa"/>
            <w:shd w:val="clear" w:color="auto" w:fill="auto"/>
            <w:vAlign w:val="center"/>
          </w:tcPr>
          <w:p w14:paraId="54909502">
            <w:pPr>
              <w:tabs>
                <w:tab w:val="center" w:pos="4153"/>
                <w:tab w:val="right" w:pos="8306"/>
              </w:tabs>
              <w:snapToGrid w:val="0"/>
              <w:spacing w:line="360" w:lineRule="auto"/>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公共法律服务实体、网络平台法律咨询服务指南</w:t>
            </w:r>
          </w:p>
        </w:tc>
        <w:tc>
          <w:tcPr>
            <w:tcW w:w="2835" w:type="dxa"/>
            <w:shd w:val="clear" w:color="auto" w:fill="auto"/>
            <w:vAlign w:val="center"/>
          </w:tcPr>
          <w:p w14:paraId="135967C3">
            <w:pPr>
              <w:jc w:val="center"/>
              <w:rPr>
                <w:rFonts w:hint="eastAsia" w:ascii="仿宋_GB2312" w:hAnsi="宋体" w:eastAsia="仿宋_GB2312"/>
                <w:color w:val="000000" w:themeColor="text1"/>
                <w:sz w:val="18"/>
                <w:szCs w:val="18"/>
                <w:lang w:eastAsia="zh-CN"/>
                <w14:textFill>
                  <w14:solidFill>
                    <w14:schemeClr w14:val="tx1"/>
                  </w14:solidFill>
                </w14:textFill>
              </w:rPr>
            </w:pPr>
            <w:r>
              <w:rPr>
                <w:rFonts w:hint="eastAsia" w:ascii="仿宋_GB2312" w:hAnsi="宋体" w:eastAsia="仿宋_GB2312"/>
                <w:color w:val="000000" w:themeColor="text1"/>
                <w:sz w:val="18"/>
                <w:szCs w:val="18"/>
                <w:lang w:eastAsia="zh-CN"/>
                <w14:textFill>
                  <w14:solidFill>
                    <w14:schemeClr w14:val="tx1"/>
                  </w14:solidFill>
                </w14:textFill>
              </w:rPr>
              <w:t>《中华人民共和国政府信息公开条例》</w:t>
            </w:r>
          </w:p>
        </w:tc>
        <w:tc>
          <w:tcPr>
            <w:tcW w:w="1559" w:type="dxa"/>
            <w:shd w:val="clear" w:color="auto" w:fill="auto"/>
            <w:vAlign w:val="center"/>
          </w:tcPr>
          <w:p w14:paraId="46EC0DC4">
            <w:pP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自制作或获取该信息之日起20个工作日内公开</w:t>
            </w:r>
          </w:p>
        </w:tc>
        <w:tc>
          <w:tcPr>
            <w:tcW w:w="1134" w:type="dxa"/>
            <w:shd w:val="clear" w:color="auto" w:fill="auto"/>
            <w:vAlign w:val="center"/>
          </w:tcPr>
          <w:p w14:paraId="5849B863">
            <w:pP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司法行政部门、公共法律服务中心、公共法律服务工作站</w:t>
            </w:r>
          </w:p>
        </w:tc>
        <w:tc>
          <w:tcPr>
            <w:tcW w:w="1302" w:type="dxa"/>
            <w:shd w:val="clear" w:color="auto" w:fill="auto"/>
            <w:vAlign w:val="center"/>
          </w:tcPr>
          <w:p w14:paraId="7DDF8782">
            <w:pPr>
              <w:widowControl/>
              <w:jc w:val="left"/>
              <w:textAlignment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 xml:space="preserve">■政府网站 ■公开查阅点  </w:t>
            </w:r>
          </w:p>
        </w:tc>
        <w:tc>
          <w:tcPr>
            <w:tcW w:w="540" w:type="dxa"/>
            <w:shd w:val="clear" w:color="auto" w:fill="auto"/>
            <w:vAlign w:val="center"/>
          </w:tcPr>
          <w:p w14:paraId="1FC2402D">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w:t>
            </w:r>
          </w:p>
        </w:tc>
        <w:tc>
          <w:tcPr>
            <w:tcW w:w="900" w:type="dxa"/>
            <w:shd w:val="clear" w:color="auto" w:fill="auto"/>
            <w:vAlign w:val="center"/>
          </w:tcPr>
          <w:p w14:paraId="13A927DB">
            <w:pPr>
              <w:jc w:val="center"/>
              <w:rPr>
                <w:rFonts w:ascii="仿宋_GB2312" w:hAnsi="宋体" w:eastAsia="仿宋_GB2312"/>
                <w:color w:val="000000" w:themeColor="text1"/>
                <w:sz w:val="18"/>
                <w:szCs w:val="18"/>
                <w14:textFill>
                  <w14:solidFill>
                    <w14:schemeClr w14:val="tx1"/>
                  </w14:solidFill>
                </w14:textFill>
              </w:rPr>
            </w:pPr>
          </w:p>
        </w:tc>
        <w:tc>
          <w:tcPr>
            <w:tcW w:w="540" w:type="dxa"/>
            <w:shd w:val="clear" w:color="auto" w:fill="auto"/>
            <w:vAlign w:val="center"/>
          </w:tcPr>
          <w:p w14:paraId="785C89C5">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w:t>
            </w:r>
          </w:p>
        </w:tc>
        <w:tc>
          <w:tcPr>
            <w:tcW w:w="720" w:type="dxa"/>
            <w:shd w:val="clear" w:color="auto" w:fill="auto"/>
            <w:vAlign w:val="center"/>
          </w:tcPr>
          <w:p w14:paraId="21791282">
            <w:pPr>
              <w:jc w:val="center"/>
              <w:rPr>
                <w:rFonts w:ascii="仿宋_GB2312" w:hAnsi="宋体" w:eastAsia="仿宋_GB2312"/>
                <w:color w:val="000000" w:themeColor="text1"/>
                <w:sz w:val="18"/>
                <w:szCs w:val="18"/>
                <w14:textFill>
                  <w14:solidFill>
                    <w14:schemeClr w14:val="tx1"/>
                  </w14:solidFill>
                </w14:textFill>
              </w:rPr>
            </w:pPr>
          </w:p>
        </w:tc>
        <w:tc>
          <w:tcPr>
            <w:tcW w:w="540" w:type="dxa"/>
            <w:shd w:val="clear" w:color="auto" w:fill="auto"/>
            <w:vAlign w:val="center"/>
          </w:tcPr>
          <w:p w14:paraId="46F1220C">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w:t>
            </w:r>
          </w:p>
        </w:tc>
        <w:tc>
          <w:tcPr>
            <w:tcW w:w="720" w:type="dxa"/>
            <w:shd w:val="clear" w:color="auto" w:fill="auto"/>
            <w:vAlign w:val="center"/>
          </w:tcPr>
          <w:p w14:paraId="026A711E">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w:t>
            </w:r>
          </w:p>
        </w:tc>
      </w:tr>
      <w:tr w14:paraId="400DD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9" w:hRule="atLeast"/>
        </w:trPr>
        <w:tc>
          <w:tcPr>
            <w:tcW w:w="540" w:type="dxa"/>
            <w:shd w:val="clear" w:color="auto" w:fill="auto"/>
            <w:vAlign w:val="center"/>
          </w:tcPr>
          <w:p w14:paraId="39D9EADA">
            <w:pPr>
              <w:widowControl/>
              <w:jc w:val="center"/>
              <w:textAlignment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14</w:t>
            </w:r>
          </w:p>
        </w:tc>
        <w:tc>
          <w:tcPr>
            <w:tcW w:w="900" w:type="dxa"/>
            <w:shd w:val="clear" w:color="auto" w:fill="auto"/>
            <w:vAlign w:val="center"/>
          </w:tcPr>
          <w:p w14:paraId="43B9B882">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公共法律服务平台</w:t>
            </w:r>
          </w:p>
        </w:tc>
        <w:tc>
          <w:tcPr>
            <w:tcW w:w="1440" w:type="dxa"/>
            <w:shd w:val="clear" w:color="auto" w:fill="auto"/>
            <w:vAlign w:val="center"/>
          </w:tcPr>
          <w:p w14:paraId="0CF41839">
            <w:pPr>
              <w:widowControl/>
              <w:textAlignment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公共法律服务实体、网络平台信息</w:t>
            </w:r>
          </w:p>
        </w:tc>
        <w:tc>
          <w:tcPr>
            <w:tcW w:w="1810" w:type="dxa"/>
            <w:shd w:val="clear" w:color="auto" w:fill="auto"/>
            <w:vAlign w:val="center"/>
          </w:tcPr>
          <w:p w14:paraId="169AC96D">
            <w:pPr>
              <w:tabs>
                <w:tab w:val="center" w:pos="4153"/>
                <w:tab w:val="right" w:pos="8306"/>
              </w:tabs>
              <w:snapToGrid w:val="0"/>
              <w:spacing w:line="360" w:lineRule="auto"/>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公共法律服务平台建设相关规划；公共法律服务中心、工作站具体地址；中国法律服务网和江西省法律服务网网址；实体平台和网络平台提供的公共法律服务事项清单及服务指南</w:t>
            </w:r>
          </w:p>
        </w:tc>
        <w:tc>
          <w:tcPr>
            <w:tcW w:w="2835" w:type="dxa"/>
            <w:shd w:val="clear" w:color="auto" w:fill="auto"/>
            <w:vAlign w:val="center"/>
          </w:tcPr>
          <w:p w14:paraId="6F038488">
            <w:pPr>
              <w:jc w:val="center"/>
              <w:rPr>
                <w:rFonts w:hint="eastAsia" w:ascii="仿宋_GB2312" w:hAnsi="宋体" w:eastAsia="仿宋_GB2312"/>
                <w:color w:val="000000" w:themeColor="text1"/>
                <w:sz w:val="18"/>
                <w:szCs w:val="18"/>
                <w:lang w:eastAsia="zh-CN"/>
                <w14:textFill>
                  <w14:solidFill>
                    <w14:schemeClr w14:val="tx1"/>
                  </w14:solidFill>
                </w14:textFill>
              </w:rPr>
            </w:pPr>
            <w:r>
              <w:rPr>
                <w:rFonts w:hint="eastAsia" w:ascii="仿宋_GB2312" w:hAnsi="宋体" w:eastAsia="仿宋_GB2312"/>
                <w:color w:val="000000" w:themeColor="text1"/>
                <w:sz w:val="18"/>
                <w:szCs w:val="18"/>
                <w:lang w:eastAsia="zh-CN"/>
                <w14:textFill>
                  <w14:solidFill>
                    <w14:schemeClr w14:val="tx1"/>
                  </w14:solidFill>
                </w14:textFill>
              </w:rPr>
              <w:t>《中华人民共和国政府信息公开条例》</w:t>
            </w:r>
          </w:p>
        </w:tc>
        <w:tc>
          <w:tcPr>
            <w:tcW w:w="1559" w:type="dxa"/>
            <w:shd w:val="clear" w:color="auto" w:fill="auto"/>
            <w:vAlign w:val="center"/>
          </w:tcPr>
          <w:p w14:paraId="42721160">
            <w:pP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自制作或获取该信息之日起20个工作日内公开</w:t>
            </w:r>
          </w:p>
        </w:tc>
        <w:tc>
          <w:tcPr>
            <w:tcW w:w="1134" w:type="dxa"/>
            <w:shd w:val="clear" w:color="auto" w:fill="auto"/>
            <w:vAlign w:val="center"/>
          </w:tcPr>
          <w:p w14:paraId="27CEEDF8">
            <w:pP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sz w:val="18"/>
                <w:szCs w:val="18"/>
              </w:rPr>
              <w:t>区司法局</w:t>
            </w:r>
          </w:p>
        </w:tc>
        <w:tc>
          <w:tcPr>
            <w:tcW w:w="1302" w:type="dxa"/>
            <w:shd w:val="clear" w:color="auto" w:fill="auto"/>
            <w:vAlign w:val="center"/>
          </w:tcPr>
          <w:p w14:paraId="7BD4031D">
            <w:pPr>
              <w:widowControl/>
              <w:jc w:val="left"/>
              <w:textAlignment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 xml:space="preserve">■政府网站     ■两微一端   </w:t>
            </w:r>
          </w:p>
          <w:p w14:paraId="2B8F4602">
            <w:pPr>
              <w:widowControl/>
              <w:jc w:val="left"/>
              <w:textAlignment w:val="center"/>
              <w:rPr>
                <w:rFonts w:ascii="仿宋_GB2312" w:hAnsi="宋体" w:eastAsia="仿宋_GB2312"/>
                <w:color w:val="000000" w:themeColor="text1"/>
                <w:sz w:val="18"/>
                <w:szCs w:val="18"/>
                <w14:textFill>
                  <w14:solidFill>
                    <w14:schemeClr w14:val="tx1"/>
                  </w14:solidFill>
                </w14:textFill>
              </w:rPr>
            </w:pPr>
          </w:p>
        </w:tc>
        <w:tc>
          <w:tcPr>
            <w:tcW w:w="540" w:type="dxa"/>
            <w:shd w:val="clear" w:color="auto" w:fill="auto"/>
            <w:vAlign w:val="center"/>
          </w:tcPr>
          <w:p w14:paraId="4DA6C834">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w:t>
            </w:r>
          </w:p>
        </w:tc>
        <w:tc>
          <w:tcPr>
            <w:tcW w:w="900" w:type="dxa"/>
            <w:shd w:val="clear" w:color="auto" w:fill="auto"/>
            <w:vAlign w:val="center"/>
          </w:tcPr>
          <w:p w14:paraId="0E1D5D97">
            <w:pPr>
              <w:jc w:val="center"/>
              <w:rPr>
                <w:rFonts w:ascii="仿宋_GB2312" w:hAnsi="宋体" w:eastAsia="仿宋_GB2312"/>
                <w:color w:val="000000" w:themeColor="text1"/>
                <w:sz w:val="18"/>
                <w:szCs w:val="18"/>
                <w14:textFill>
                  <w14:solidFill>
                    <w14:schemeClr w14:val="tx1"/>
                  </w14:solidFill>
                </w14:textFill>
              </w:rPr>
            </w:pPr>
          </w:p>
        </w:tc>
        <w:tc>
          <w:tcPr>
            <w:tcW w:w="540" w:type="dxa"/>
            <w:shd w:val="clear" w:color="auto" w:fill="auto"/>
            <w:vAlign w:val="center"/>
          </w:tcPr>
          <w:p w14:paraId="18D94CA4">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w:t>
            </w:r>
          </w:p>
        </w:tc>
        <w:tc>
          <w:tcPr>
            <w:tcW w:w="720" w:type="dxa"/>
            <w:shd w:val="clear" w:color="auto" w:fill="auto"/>
            <w:vAlign w:val="center"/>
          </w:tcPr>
          <w:p w14:paraId="1B8EA1EA">
            <w:pPr>
              <w:jc w:val="center"/>
              <w:rPr>
                <w:rFonts w:ascii="仿宋_GB2312" w:hAnsi="宋体" w:eastAsia="仿宋_GB2312"/>
                <w:color w:val="000000" w:themeColor="text1"/>
                <w:sz w:val="18"/>
                <w:szCs w:val="18"/>
                <w14:textFill>
                  <w14:solidFill>
                    <w14:schemeClr w14:val="tx1"/>
                  </w14:solidFill>
                </w14:textFill>
              </w:rPr>
            </w:pPr>
          </w:p>
        </w:tc>
        <w:tc>
          <w:tcPr>
            <w:tcW w:w="540" w:type="dxa"/>
            <w:shd w:val="clear" w:color="auto" w:fill="auto"/>
            <w:vAlign w:val="center"/>
          </w:tcPr>
          <w:p w14:paraId="50D0BAC8">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w:t>
            </w:r>
          </w:p>
        </w:tc>
        <w:tc>
          <w:tcPr>
            <w:tcW w:w="720" w:type="dxa"/>
            <w:shd w:val="clear" w:color="auto" w:fill="auto"/>
            <w:vAlign w:val="center"/>
          </w:tcPr>
          <w:p w14:paraId="09D0AD75">
            <w:pPr>
              <w:jc w:val="center"/>
              <w:rPr>
                <w:rFonts w:ascii="仿宋_GB2312" w:hAnsi="宋体" w:eastAsia="仿宋_GB2312"/>
                <w:color w:val="000000" w:themeColor="text1"/>
                <w:sz w:val="18"/>
                <w:szCs w:val="18"/>
                <w14:textFill>
                  <w14:solidFill>
                    <w14:schemeClr w14:val="tx1"/>
                  </w14:solidFill>
                </w14:textFill>
              </w:rPr>
            </w:pPr>
            <w:r>
              <w:rPr>
                <w:rFonts w:hint="eastAsia" w:ascii="仿宋_GB2312" w:hAnsi="宋体" w:eastAsia="仿宋_GB2312"/>
                <w:color w:val="000000" w:themeColor="text1"/>
                <w:sz w:val="18"/>
                <w:szCs w:val="18"/>
                <w14:textFill>
                  <w14:solidFill>
                    <w14:schemeClr w14:val="tx1"/>
                  </w14:solidFill>
                </w14:textFill>
              </w:rPr>
              <w:t>√</w:t>
            </w:r>
          </w:p>
        </w:tc>
      </w:tr>
    </w:tbl>
    <w:p w14:paraId="081351C2"/>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17177"/>
    <w:rsid w:val="0014666F"/>
    <w:rsid w:val="0037444B"/>
    <w:rsid w:val="011035EE"/>
    <w:rsid w:val="0EDF33FC"/>
    <w:rsid w:val="1B973841"/>
    <w:rsid w:val="22033324"/>
    <w:rsid w:val="55B23D4F"/>
    <w:rsid w:val="71733B17"/>
    <w:rsid w:val="75317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4</Pages>
  <Words>1800</Words>
  <Characters>1837</Characters>
  <Lines>15</Lines>
  <Paragraphs>4</Paragraphs>
  <TotalTime>3</TotalTime>
  <ScaleCrop>false</ScaleCrop>
  <LinksUpToDate>false</LinksUpToDate>
  <CharactersWithSpaces>1914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2020-08-11T07:53:00Z</dcterms:created>
  <dc:creator>提拉米苏</dc:creator>
  <cp:lastModifiedBy>WPS_1528625045</cp:lastModifiedBy>
  <cp:lastPrinted>2020-08-13T01:42:00Z</cp:lastPrinted>
  <dcterms:modified xsi:type="dcterms:W3CDTF">2025-03-18T11:50:23Z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3D0DAC61001B4689883FBF4631F34F6F</vt:lpwstr>
  </property>
  <property fmtid="{D5CDD505-2E9C-101B-9397-08002B2CF9AE}" pid="4" name="KSOTemplateDocerSaveRecord">
    <vt:lpwstr>eyJoZGlkIjoiNDJjYzFmMzU4NmE4NjM3NTQ2ZmVlZTVmMDQ4YTE1Y2MiLCJ1c2VySWQiOiIzNzczOTM4MzgifQ==</vt:lpwstr>
  </property>
</Properties>
</file>