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 2：</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珠山区</w:t>
      </w:r>
      <w:r>
        <w:rPr>
          <w:rFonts w:hint="eastAsia" w:ascii="方正小标宋_GBK" w:hAnsi="方正小标宋_GBK" w:eastAsia="方正小标宋_GBK" w:cs="方正小标宋_GBK"/>
          <w:sz w:val="44"/>
          <w:szCs w:val="44"/>
        </w:rPr>
        <w:t>“</w:t>
      </w:r>
      <w:bookmarkStart w:id="0" w:name="_GoBack"/>
      <w:r>
        <w:rPr>
          <w:rFonts w:hint="eastAsia" w:ascii="方正小标宋_GBK" w:hAnsi="方正小标宋_GBK" w:eastAsia="方正小标宋_GBK" w:cs="方正小标宋_GBK"/>
          <w:sz w:val="44"/>
          <w:szCs w:val="44"/>
        </w:rPr>
        <w:t>新官不理旧账</w:t>
      </w:r>
      <w:bookmarkEnd w:id="0"/>
      <w:r>
        <w:rPr>
          <w:rFonts w:hint="eastAsia" w:ascii="方正小标宋_GBK" w:hAnsi="方正小标宋_GBK" w:eastAsia="方正小标宋_GBK" w:cs="方正小标宋_GBK"/>
          <w:sz w:val="44"/>
          <w:szCs w:val="44"/>
        </w:rPr>
        <w:t>”问题线索表</w:t>
      </w:r>
    </w:p>
    <w:tbl>
      <w:tblPr>
        <w:tblStyle w:val="5"/>
        <w:tblW w:w="0" w:type="auto"/>
        <w:tblInd w:w="-3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5"/>
        <w:gridCol w:w="1588"/>
        <w:gridCol w:w="1512"/>
        <w:gridCol w:w="1416"/>
        <w:gridCol w:w="1354"/>
        <w:gridCol w:w="1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1515" w:type="dxa"/>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案件名称</w:t>
            </w:r>
          </w:p>
        </w:tc>
        <w:tc>
          <w:tcPr>
            <w:tcW w:w="7466" w:type="dxa"/>
            <w:gridSpan w:val="5"/>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51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案件当事</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各方基本信息</w:t>
            </w:r>
          </w:p>
        </w:tc>
        <w:tc>
          <w:tcPr>
            <w:tcW w:w="1588"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jc w:val="center"/>
              <w:textAlignment w:val="auto"/>
              <w:rPr>
                <w:rFonts w:hint="eastAsia" w:ascii="仿宋_GB2312" w:hAnsi="仿宋_GB2312" w:eastAsia="仿宋_GB2312" w:cs="仿宋_GB2312"/>
                <w:sz w:val="24"/>
                <w:szCs w:val="24"/>
              </w:rPr>
            </w:pPr>
          </w:p>
        </w:tc>
        <w:tc>
          <w:tcPr>
            <w:tcW w:w="1512"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1416"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950"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51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jc w:val="center"/>
              <w:textAlignment w:val="auto"/>
              <w:rPr>
                <w:rFonts w:hint="eastAsia" w:ascii="仿宋_GB2312" w:hAnsi="仿宋_GB2312" w:eastAsia="仿宋_GB2312" w:cs="仿宋_GB2312"/>
                <w:sz w:val="24"/>
                <w:szCs w:val="24"/>
              </w:rPr>
            </w:pPr>
          </w:p>
        </w:tc>
        <w:tc>
          <w:tcPr>
            <w:tcW w:w="1588"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政府机构</w:t>
            </w:r>
          </w:p>
        </w:tc>
        <w:tc>
          <w:tcPr>
            <w:tcW w:w="1512"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jc w:val="center"/>
              <w:textAlignment w:val="auto"/>
              <w:rPr>
                <w:rFonts w:hint="eastAsia" w:ascii="仿宋_GB2312" w:hAnsi="仿宋_GB2312" w:eastAsia="仿宋_GB2312" w:cs="仿宋_GB2312"/>
                <w:sz w:val="24"/>
                <w:szCs w:val="24"/>
              </w:rPr>
            </w:pPr>
          </w:p>
        </w:tc>
        <w:tc>
          <w:tcPr>
            <w:tcW w:w="1416"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jc w:val="center"/>
              <w:textAlignment w:val="auto"/>
              <w:rPr>
                <w:rFonts w:hint="eastAsia" w:ascii="仿宋_GB2312" w:hAnsi="仿宋_GB2312" w:eastAsia="仿宋_GB2312" w:cs="仿宋_GB2312"/>
                <w:sz w:val="24"/>
                <w:szCs w:val="24"/>
              </w:rPr>
            </w:pPr>
          </w:p>
        </w:tc>
        <w:tc>
          <w:tcPr>
            <w:tcW w:w="2950"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51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jc w:val="center"/>
              <w:textAlignment w:val="auto"/>
              <w:rPr>
                <w:rFonts w:hint="eastAsia" w:ascii="仿宋_GB2312" w:hAnsi="仿宋_GB2312" w:eastAsia="仿宋_GB2312" w:cs="仿宋_GB2312"/>
                <w:sz w:val="24"/>
                <w:szCs w:val="24"/>
              </w:rPr>
            </w:pPr>
          </w:p>
        </w:tc>
        <w:tc>
          <w:tcPr>
            <w:tcW w:w="1588"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企业或企业家</w:t>
            </w:r>
          </w:p>
        </w:tc>
        <w:tc>
          <w:tcPr>
            <w:tcW w:w="1512"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jc w:val="center"/>
              <w:textAlignment w:val="auto"/>
              <w:rPr>
                <w:rFonts w:hint="eastAsia" w:ascii="仿宋_GB2312" w:hAnsi="仿宋_GB2312" w:eastAsia="仿宋_GB2312" w:cs="仿宋_GB2312"/>
                <w:sz w:val="24"/>
                <w:szCs w:val="24"/>
              </w:rPr>
            </w:pPr>
          </w:p>
        </w:tc>
        <w:tc>
          <w:tcPr>
            <w:tcW w:w="1416" w:type="dxa"/>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jc w:val="center"/>
              <w:textAlignment w:val="auto"/>
              <w:rPr>
                <w:rFonts w:hint="eastAsia" w:ascii="仿宋_GB2312" w:hAnsi="仿宋_GB2312" w:eastAsia="仿宋_GB2312" w:cs="仿宋_GB2312"/>
                <w:sz w:val="24"/>
                <w:szCs w:val="24"/>
              </w:rPr>
            </w:pPr>
          </w:p>
        </w:tc>
        <w:tc>
          <w:tcPr>
            <w:tcW w:w="2950"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6" w:hRule="atLeast"/>
        </w:trPr>
        <w:tc>
          <w:tcPr>
            <w:tcW w:w="1515"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案件基本情况（包括案件的形 成及发展， 协调解决 情况、诉讼情况、执行</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情况等）</w:t>
            </w:r>
          </w:p>
        </w:tc>
        <w:tc>
          <w:tcPr>
            <w:tcW w:w="7466" w:type="dxa"/>
            <w:gridSpan w:val="5"/>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1515"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案件类型（请在符合的类型后面打“√”）</w:t>
            </w:r>
          </w:p>
        </w:tc>
        <w:tc>
          <w:tcPr>
            <w:tcW w:w="5870" w:type="dxa"/>
            <w:gridSpan w:val="4"/>
          </w:tcPr>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1.招商引资政策不兑现：政府机构不履行招商引资过程中承诺的优惠条件，不兑现奖励和扶持政策等问题；</w:t>
            </w:r>
          </w:p>
        </w:tc>
        <w:tc>
          <w:tcPr>
            <w:tcW w:w="1596"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515" w:type="dxa"/>
            <w:vMerge w:val="continue"/>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c>
          <w:tcPr>
            <w:tcW w:w="5870" w:type="dxa"/>
            <w:gridSpan w:val="4"/>
          </w:tcPr>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2.合作协议不履行：政府机构不履行与市场主体依法签订的有效合同，不推动项目建设，不履行约定的相关义务等 问题；</w:t>
            </w:r>
          </w:p>
        </w:tc>
        <w:tc>
          <w:tcPr>
            <w:tcW w:w="1596"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515" w:type="dxa"/>
            <w:vMerge w:val="continue"/>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c>
          <w:tcPr>
            <w:tcW w:w="5870" w:type="dxa"/>
            <w:gridSpan w:val="4"/>
          </w:tcPr>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3.账款支付不到位：政府机构拖欠市场主体的货款、工程款、服务费等问题；</w:t>
            </w:r>
          </w:p>
        </w:tc>
        <w:tc>
          <w:tcPr>
            <w:tcW w:w="1596"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5" w:type="dxa"/>
            <w:vMerge w:val="continue"/>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c>
          <w:tcPr>
            <w:tcW w:w="5870" w:type="dxa"/>
            <w:gridSpan w:val="4"/>
          </w:tcPr>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4.法院判决不执行：政府机构与企业和企业家之间的纠纷已经法院判决但因各种因素长期未能执行等问题；</w:t>
            </w:r>
          </w:p>
        </w:tc>
        <w:tc>
          <w:tcPr>
            <w:tcW w:w="1596"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5" w:type="dxa"/>
            <w:vMerge w:val="continue"/>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c>
          <w:tcPr>
            <w:tcW w:w="5870" w:type="dxa"/>
            <w:gridSpan w:val="4"/>
            <w:vAlign w:val="top"/>
          </w:tcPr>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80" w:firstLineChars="200"/>
              <w:textAlignment w:val="auto"/>
              <w:rPr>
                <w:rFonts w:hint="eastAsia" w:ascii="仿宋_GB2312" w:hAnsi="仿宋_GB2312" w:eastAsia="仿宋_GB2312" w:cs="仿宋_GB2312"/>
                <w:sz w:val="24"/>
                <w:szCs w:val="24"/>
                <w:lang w:val="zh-CN" w:eastAsia="zh-CN" w:bidi="zh-CN"/>
              </w:rPr>
            </w:pPr>
            <w:r>
              <w:rPr>
                <w:rFonts w:hint="eastAsia" w:ascii="仿宋_GB2312" w:hAnsi="仿宋_GB2312" w:eastAsia="仿宋_GB2312" w:cs="仿宋_GB2312"/>
                <w:sz w:val="24"/>
                <w:szCs w:val="24"/>
              </w:rPr>
              <w:t>5.涉政府产权纠纷：政府机构实施征地拆迁、企业搬迁等， 未依法给予补偿等问题；</w:t>
            </w:r>
          </w:p>
        </w:tc>
        <w:tc>
          <w:tcPr>
            <w:tcW w:w="1596"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5" w:type="dxa"/>
            <w:vMerge w:val="continue"/>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c>
          <w:tcPr>
            <w:tcW w:w="5870" w:type="dxa"/>
            <w:gridSpan w:val="4"/>
            <w:vAlign w:val="top"/>
          </w:tcPr>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firstLine="480" w:firstLineChars="200"/>
              <w:textAlignment w:val="auto"/>
              <w:rPr>
                <w:rFonts w:hint="eastAsia" w:ascii="仿宋_GB2312" w:hAnsi="仿宋_GB2312" w:eastAsia="仿宋_GB2312" w:cs="仿宋_GB2312"/>
                <w:sz w:val="24"/>
                <w:szCs w:val="24"/>
                <w:lang w:val="zh-CN" w:eastAsia="zh-CN" w:bidi="zh-CN"/>
              </w:rPr>
            </w:pPr>
            <w:r>
              <w:rPr>
                <w:rFonts w:hint="eastAsia" w:ascii="仿宋_GB2312" w:hAnsi="仿宋_GB2312" w:eastAsia="仿宋_GB2312" w:cs="仿宋_GB2312"/>
                <w:sz w:val="24"/>
                <w:szCs w:val="24"/>
              </w:rPr>
              <w:t>6.其他情形：如，政府机构对历史遗留问题漠视不管、久 拖不决、决而不办等问题。</w:t>
            </w:r>
          </w:p>
        </w:tc>
        <w:tc>
          <w:tcPr>
            <w:tcW w:w="1596"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footerReference r:id="rId5" w:type="default"/>
          <w:pgSz w:w="11910" w:h="16840"/>
          <w:pgMar w:top="1540" w:right="1080" w:bottom="1300" w:left="1540" w:header="0" w:footer="1115" w:gutter="0"/>
          <w:pgNumType w:fmt="decimal"/>
          <w:cols w:space="720" w:num="1"/>
        </w:sect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9"/>
        <w:gridCol w:w="1350"/>
        <w:gridCol w:w="2280"/>
        <w:gridCol w:w="1817"/>
        <w:gridCol w:w="1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3" w:hRule="atLeast"/>
          <w:jc w:val="center"/>
        </w:trPr>
        <w:tc>
          <w:tcPr>
            <w:tcW w:w="1479"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您认为造成案件解决困难的原因（如政府不主动不配合协调、执行不力等）</w:t>
            </w:r>
          </w:p>
        </w:tc>
        <w:tc>
          <w:tcPr>
            <w:tcW w:w="7043" w:type="dxa"/>
            <w:gridSpan w:val="4"/>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6" w:hRule="atLeast"/>
          <w:jc w:val="center"/>
        </w:trPr>
        <w:tc>
          <w:tcPr>
            <w:tcW w:w="1479"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对协调解决此案的建议或其他要求</w:t>
            </w:r>
          </w:p>
        </w:tc>
        <w:tc>
          <w:tcPr>
            <w:tcW w:w="7043" w:type="dxa"/>
            <w:gridSpan w:val="4"/>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jc w:val="center"/>
        </w:trPr>
        <w:tc>
          <w:tcPr>
            <w:tcW w:w="1479"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申明</w:t>
            </w:r>
          </w:p>
        </w:tc>
        <w:tc>
          <w:tcPr>
            <w:tcW w:w="7043" w:type="dxa"/>
            <w:gridSpan w:val="4"/>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我谨承诺对上述材料的真实性负完全法律责任。</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承诺人：（签名）（企业公章）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479" w:type="dxa"/>
            <w:vMerge w:val="restart"/>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线索提供</w:t>
            </w: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者信息</w:t>
            </w:r>
          </w:p>
        </w:tc>
        <w:tc>
          <w:tcPr>
            <w:tcW w:w="1350"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280"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1817"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住址</w:t>
            </w:r>
          </w:p>
        </w:tc>
        <w:tc>
          <w:tcPr>
            <w:tcW w:w="1596"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1479" w:type="dxa"/>
            <w:vMerge w:val="continue"/>
            <w:tcBorders>
              <w:top w:val="nil"/>
            </w:tcBorders>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c>
          <w:tcPr>
            <w:tcW w:w="1350"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c>
          <w:tcPr>
            <w:tcW w:w="2280"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c>
          <w:tcPr>
            <w:tcW w:w="1817"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c>
          <w:tcPr>
            <w:tcW w:w="1596" w:type="dxa"/>
          </w:tcPr>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eastAsia="仿宋"/>
          <w:sz w:val="28"/>
        </w:rPr>
      </w:pPr>
      <w:r>
        <w:rPr>
          <w:rFonts w:hint="eastAsia" w:ascii="仿宋_GB2312" w:hAnsi="仿宋_GB2312" w:eastAsia="仿宋_GB2312" w:cs="仿宋_GB2312"/>
          <w:sz w:val="32"/>
          <w:szCs w:val="32"/>
        </w:rPr>
        <w:t>备注：1.相关素材可作为附件一并提供；2.黑体栏为必填栏。</w:t>
      </w:r>
    </w:p>
    <w:p/>
    <w:p/>
    <w:p/>
    <w:sectPr>
      <w:pgSz w:w="11910" w:h="16840"/>
      <w:pgMar w:top="1431" w:right="1535" w:bottom="0" w:left="154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3411220</wp:posOffset>
              </wp:positionH>
              <wp:positionV relativeFrom="page">
                <wp:posOffset>9843770</wp:posOffset>
              </wp:positionV>
              <wp:extent cx="737235" cy="20574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737235" cy="205740"/>
                      </a:xfrm>
                      <a:prstGeom prst="rect">
                        <a:avLst/>
                      </a:prstGeom>
                      <a:noFill/>
                      <a:ln>
                        <a:noFill/>
                      </a:ln>
                    </wps:spPr>
                    <wps:txbx>
                      <w:txbxContent>
                        <w:p/>
                      </w:txbxContent>
                    </wps:txbx>
                    <wps:bodyPr lIns="0" tIns="0" rIns="0" bIns="0" upright="1"/>
                  </wps:wsp>
                </a:graphicData>
              </a:graphic>
            </wp:anchor>
          </w:drawing>
        </mc:Choice>
        <mc:Fallback>
          <w:pict>
            <v:shape id="文本框 3" o:spid="_x0000_s1026" o:spt="202" type="#_x0000_t202" style="position:absolute;left:0pt;margin-left:268.6pt;margin-top:775.1pt;height:16.2pt;width:58.05pt;mso-position-horizontal-relative:page;mso-position-vertical-relative:page;z-index:-251657216;mso-width-relative:page;mso-height-relative:page;" filled="f" stroked="f" coordsize="21600,21600" o:gfxdata="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cmwCY2wAAAA0BAAAPAAAAAAAAAAEAIAAAACIAAABkcnMvZG93bnJldi54bWxQ&#10;SwECFAAUAAAACACHTuJAPJgA2rsBAAByAwAADgAAAAAAAAABACAAAAAqAQAAZHJzL2Uyb0RvYy54&#10;bWxQSwUGAAAAAAYABgBZAQAAVwUAAAAA&#10;">
              <v:fill on="f" focussize="0,0"/>
              <v:stroke on="f"/>
              <v:imagedata o:title=""/>
              <o:lock v:ext="edit" aspectratio="f"/>
              <v:textbox inset="0mm,0mm,0mm,0mm">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MjFmODcwZGIzNTE3MDA3NjE4MTAzMmZmZWQwY2EifQ=="/>
  </w:docVars>
  <w:rsids>
    <w:rsidRoot w:val="54963688"/>
    <w:rsid w:val="54963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qFormat/>
    <w:uiPriority w:val="2457"/>
    <w:pPr>
      <w:widowControl w:val="0"/>
      <w:spacing w:before="0" w:after="120"/>
      <w:ind w:left="420" w:right="0" w:firstLine="420"/>
      <w:jc w:val="both"/>
    </w:pPr>
    <w:rPr>
      <w:rFonts w:ascii="Times New Roman" w:hAnsi="Times New Roman" w:eastAsia="宋体" w:cs="Times New Roman"/>
      <w:kern w:val="2"/>
      <w:sz w:val="21"/>
      <w:lang w:val="en-US" w:eastAsia="zh-CN" w:bidi="ar-SA"/>
    </w:rPr>
  </w:style>
  <w:style w:type="paragraph" w:styleId="3">
    <w:name w:val="Body Text"/>
    <w:basedOn w:val="1"/>
    <w:qFormat/>
    <w:uiPriority w:val="1"/>
    <w:pPr>
      <w:ind w:left="260"/>
    </w:pPr>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2022-06-02T09:30:00Z</dcterms:created>
  <dc:creator>Administrator</dc:creator>
  <cp:lastModifiedBy>Administrator</cp:lastModifiedBy>
  <dcterms:modified xsi:type="dcterms:W3CDTF">2022-06-02T09:33:21Z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8C1B6F394CD745DAA28F9D800F6794E8</vt:lpwstr>
  </property>
</Properties>
</file>